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62.png" ContentType="image/png"/>
  <Override PartName="/word/media/rId96.png" ContentType="image/png"/>
  <Override PartName="/word/media/rId46.png" ContentType="image/png"/>
  <Override PartName="/word/media/rId50.png" ContentType="image/png"/>
  <Override PartName="/word/media/rId54.png" ContentType="image/png"/>
  <Override PartName="/word/media/rId58.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executive-summary"/>
    <w:p>
      <w:pPr>
        <w:pStyle w:val="Heading1"/>
      </w:pPr>
      <w:r>
        <w:t xml:space="preserve">Executive Summary</w:t>
      </w:r>
    </w:p>
    <w:bookmarkStart w:id="20" w:name="critical-finding"/>
    <w:p>
      <w:pPr>
        <w:pStyle w:val="Heading2"/>
      </w:pPr>
      <w:r>
        <w:t xml:space="preserve">Critical Finding</w:t>
      </w:r>
    </w:p>
    <w:p>
      <w:pPr>
        <w:pStyle w:val="FirstParagraph"/>
      </w:pPr>
      <w:r>
        <w:t xml:space="preserve">The live site at findtorontoevents.ca sources all 4,422 displayed events from a static</w:t>
      </w:r>
      <w:r>
        <w:t xml:space="preserve"> </w:t>
      </w:r>
      <w:r>
        <w:rPr>
          <w:rStyle w:val="VerbatimChar"/>
        </w:rPr>
        <w:t xml:space="preserve">events.json</w:t>
      </w:r>
      <w:r>
        <w:t xml:space="preserve"> </w:t>
      </w:r>
      <w:r>
        <w:t xml:space="preserve">file — the SQL database containing 1,046 events is entirely disconnected from production and has been effectively abandoned for over two months</w:t>
      </w:r>
      <w:r>
        <w:t xml:space="preserve"> </w:t>
      </w:r>
      <w:r>
        <w:rPr>
          <w:vertAlign w:val="superscript"/>
        </w:rPr>
        <w:footnoteReference w:id="1"/>
      </w:r>
      <w:r>
        <w:t xml:space="preserve">. This architecture decision means that data quality improvements to the database would produce zero visible impact on users, while the site’s coverage captures only 8–16% of Toronto’s estimated 10,000–15,000 annual event inventory, leaving massive competitive gaps unaddressed</w:t>
      </w:r>
      <w:r>
        <w:t xml:space="preserve"> </w:t>
      </w:r>
      <w:r>
        <w:rPr>
          <w:vertAlign w:val="superscript"/>
        </w:rPr>
        <w:footnoteReference w:id="2"/>
      </w:r>
      <w:r>
        <w:t xml:space="preserve"> </w:t>
      </w:r>
      <w:r>
        <w:rPr>
          <w:vertAlign w:val="superscript"/>
        </w:rPr>
        <w:footnoteReference w:id="3"/>
      </w:r>
      <w:r>
        <w:t xml:space="preserve">. The immediate priority is reorienting the entire data pipeline — retiring the disconnected database, rebuilding scrapers around the JSON-driven frontend, and capturing high-value missing sources — before any quality or coverage investments can yield stakeholder-visible results.</w:t>
      </w:r>
    </w:p>
    <w:bookmarkEnd w:id="20"/>
    <w:bookmarkStart w:id="21" w:name="key-metrics-at-a-glance"/>
    <w:p>
      <w:pPr>
        <w:pStyle w:val="Heading2"/>
      </w:pPr>
      <w:r>
        <w:t xml:space="preserve">Key Metrics at a Glance</w:t>
      </w:r>
    </w:p>
    <w:tbl>
      <w:tblPr>
        <w:tblStyle w:val="Table"/>
        <w:tblW w:type="pct" w:w="5000"/>
        <w:tblLook w:firstRow="1" w:lastRow="0" w:firstColumn="0" w:lastColumn="0" w:noHBand="0" w:noVBand="0" w:val="0020"/>
      </w:tblPr>
      <w:tblGrid>
        <w:gridCol w:w="2262"/>
        <w:gridCol w:w="1980"/>
        <w:gridCol w:w="367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Implication</w:t>
            </w:r>
          </w:p>
        </w:tc>
      </w:tr>
      <w:tr>
        <w:tc>
          <w:tcPr/>
          <w:p>
            <w:pPr>
              <w:pStyle w:val="Compact"/>
              <w:jc w:val="left"/>
            </w:pPr>
            <w:r>
              <w:t xml:space="preserve">Live event source</w:t>
            </w:r>
          </w:p>
        </w:tc>
        <w:tc>
          <w:tcPr/>
          <w:p>
            <w:pPr>
              <w:pStyle w:val="Compact"/>
              <w:jc w:val="left"/>
            </w:pPr>
            <w:r>
              <w:rPr>
                <w:rStyle w:val="VerbatimChar"/>
              </w:rPr>
              <w:t xml:space="preserve">events.json</w:t>
            </w:r>
            <w:r>
              <w:t xml:space="preserve"> </w:t>
            </w:r>
            <w:r>
              <w:t xml:space="preserve">(4,422 events)</w:t>
            </w:r>
            <w:r>
              <w:t xml:space="preserve"> </w:t>
            </w:r>
            <w:fldSimple w:instr="NOTEREF _Ref_Footnote_1 \h \f">
              <w:r>
                <w:rPr>
                  <w:vertAlign w:val="superscript"/>
                </w:rPr>
                <w:t>1</w:t>
              </w:r>
            </w:fldSimple>
          </w:p>
        </w:tc>
        <w:tc>
          <w:tcPr/>
          <w:p>
            <w:pPr>
              <w:pStyle w:val="Compact"/>
              <w:jc w:val="left"/>
            </w:pPr>
            <w:r>
              <w:t xml:space="preserve">Static file; no runtime backend</w:t>
            </w:r>
          </w:p>
        </w:tc>
      </w:tr>
      <w:tr>
        <w:tc>
          <w:tcPr/>
          <w:p>
            <w:pPr>
              <w:pStyle w:val="Compact"/>
              <w:jc w:val="left"/>
            </w:pPr>
            <w:r>
              <w:t xml:space="preserve">SQL database events</w:t>
            </w:r>
          </w:p>
        </w:tc>
        <w:tc>
          <w:tcPr/>
          <w:p>
            <w:pPr>
              <w:pStyle w:val="Compact"/>
              <w:jc w:val="left"/>
            </w:pPr>
            <w:r>
              <w:t xml:space="preserve">1,046 events, 227 upcoming (21.7%)</w:t>
            </w:r>
            <w:r>
              <w:t xml:space="preserve"> </w:t>
            </w:r>
            <w:fldSimple w:instr="NOTEREF _Ref_Footnote_2 \h \f">
              <w:r>
                <w:rPr>
                  <w:vertAlign w:val="superscript"/>
                </w:rPr>
                <w:t>2</w:t>
              </w:r>
            </w:fldSimple>
          </w:p>
        </w:tc>
        <w:tc>
          <w:tcPr/>
          <w:p>
            <w:pPr>
              <w:pStyle w:val="Compact"/>
              <w:jc w:val="left"/>
            </w:pPr>
            <w:r>
              <w:t xml:space="preserve">78.3% stale; zero frontend connection</w:t>
            </w:r>
          </w:p>
        </w:tc>
      </w:tr>
      <w:tr>
        <w:tc>
          <w:tcPr/>
          <w:p>
            <w:pPr>
              <w:pStyle w:val="Compact"/>
              <w:jc w:val="left"/>
            </w:pPr>
            <w:r>
              <w:t xml:space="preserve">SQL description completeness</w:t>
            </w:r>
          </w:p>
        </w:tc>
        <w:tc>
          <w:tcPr/>
          <w:p>
            <w:pPr>
              <w:pStyle w:val="Compact"/>
              <w:jc w:val="left"/>
            </w:pPr>
            <w:r>
              <w:t xml:space="preserve">46.18% (563 of 1,046 empty)</w:t>
            </w:r>
            <w:r>
              <w:t xml:space="preserve"> </w:t>
            </w:r>
            <w:fldSimple w:instr="NOTEREF _Ref_Footnote_2 \h \f">
              <w:r>
                <w:rPr>
                  <w:vertAlign w:val="superscript"/>
                </w:rPr>
                <w:t>2</w:t>
              </w:r>
            </w:fldSimple>
          </w:p>
        </w:tc>
        <w:tc>
          <w:tcPr/>
          <w:p>
            <w:pPr>
              <w:pStyle w:val="Compact"/>
              <w:jc w:val="left"/>
            </w:pPr>
            <w:r>
              <w:t xml:space="preserve">Majority of records lack basic detail</w:t>
            </w:r>
          </w:p>
        </w:tc>
      </w:tr>
      <w:tr>
        <w:tc>
          <w:tcPr/>
          <w:p>
            <w:pPr>
              <w:pStyle w:val="Compact"/>
              <w:jc w:val="left"/>
            </w:pPr>
            <w:r>
              <w:t xml:space="preserve">Price/free flag inconsistency</w:t>
            </w:r>
          </w:p>
        </w:tc>
        <w:tc>
          <w:tcPr/>
          <w:p>
            <w:pPr>
              <w:pStyle w:val="Compact"/>
              <w:jc w:val="left"/>
            </w:pPr>
            <w:r>
              <w:t xml:space="preserve">706 events at $0, not marked free</w:t>
            </w:r>
            <w:r>
              <w:t xml:space="preserve"> </w:t>
            </w:r>
            <w:fldSimple w:instr="NOTEREF _Ref_Footnote_2 \h \f">
              <w:r>
                <w:rPr>
                  <w:vertAlign w:val="superscript"/>
                </w:rPr>
                <w:t>2</w:t>
              </w:r>
            </w:fldSimple>
          </w:p>
        </w:tc>
        <w:tc>
          <w:tcPr/>
          <w:p>
            <w:pPr>
              <w:pStyle w:val="Compact"/>
              <w:jc w:val="left"/>
            </w:pPr>
            <w:r>
              <w:t xml:space="preserve">User-facing filters unreliable</w:t>
            </w:r>
          </w:p>
        </w:tc>
      </w:tr>
      <w:tr>
        <w:tc>
          <w:tcPr/>
          <w:p>
            <w:pPr>
              <w:pStyle w:val="Compact"/>
              <w:jc w:val="left"/>
            </w:pPr>
            <w:r>
              <w:t xml:space="preserve">Last SQL database update</w:t>
            </w:r>
          </w:p>
        </w:tc>
        <w:tc>
          <w:tcPr/>
          <w:p>
            <w:pPr>
              <w:pStyle w:val="Compact"/>
              <w:jc w:val="left"/>
            </w:pPr>
            <w:r>
              <w:t xml:space="preserve">February 21, 2026</w:t>
            </w:r>
            <w:r>
              <w:t xml:space="preserve"> </w:t>
            </w:r>
            <w:fldSimple w:instr="NOTEREF _Ref_Footnote_2 \h \f">
              <w:r>
                <w:rPr>
                  <w:vertAlign w:val="superscript"/>
                </w:rPr>
                <w:t>2</w:t>
              </w:r>
            </w:fldSimple>
          </w:p>
        </w:tc>
        <w:tc>
          <w:tcPr/>
          <w:p>
            <w:pPr>
              <w:pStyle w:val="Compact"/>
              <w:jc w:val="left"/>
            </w:pPr>
            <w:r>
              <w:t xml:space="preserve">2+ months stale at time of audit</w:t>
            </w:r>
          </w:p>
        </w:tc>
      </w:tr>
      <w:tr>
        <w:tc>
          <w:tcPr/>
          <w:p>
            <w:pPr>
              <w:pStyle w:val="Compact"/>
              <w:jc w:val="left"/>
            </w:pPr>
            <w:r>
              <w:t xml:space="preserve">Estimated Toronto annual inventory</w:t>
            </w:r>
          </w:p>
        </w:tc>
        <w:tc>
          <w:tcPr/>
          <w:p>
            <w:pPr>
              <w:pStyle w:val="Compact"/>
              <w:jc w:val="left"/>
            </w:pPr>
            <w:r>
              <w:t xml:space="preserve">10,000–15,000 events</w:t>
            </w:r>
            <w:r>
              <w:t xml:space="preserve"> </w:t>
            </w:r>
            <w:fldSimple w:instr="NOTEREF _Ref_Footnote_3 \h \f">
              <w:r>
                <w:rPr>
                  <w:vertAlign w:val="superscript"/>
                </w:rPr>
                <w:t>3</w:t>
              </w:r>
            </w:fldSimple>
          </w:p>
        </w:tc>
        <w:tc>
          <w:tcPr/>
          <w:p>
            <w:pPr>
              <w:pStyle w:val="Compact"/>
              <w:jc w:val="left"/>
            </w:pPr>
            <w:r>
              <w:t xml:space="preserve">Site covers 35.3% of total market</w:t>
            </w:r>
          </w:p>
        </w:tc>
      </w:tr>
      <w:tr>
        <w:tc>
          <w:tcPr/>
          <w:p>
            <w:pPr>
              <w:pStyle w:val="Compact"/>
              <w:jc w:val="left"/>
            </w:pPr>
            <w:r>
              <w:t xml:space="preserve">Singles competitor events (unscraped)</w:t>
            </w:r>
          </w:p>
        </w:tc>
        <w:tc>
          <w:tcPr/>
          <w:p>
            <w:pPr>
              <w:pStyle w:val="Compact"/>
              <w:jc w:val="left"/>
            </w:pPr>
            <w:r>
              <w:t xml:space="preserve">32 combined upcoming</w:t>
            </w:r>
            <w:r>
              <w:t xml:space="preserve"> </w:t>
            </w:r>
            <w:r>
              <w:rPr>
                <w:vertAlign w:val="superscript"/>
              </w:rPr>
              <w:footnoteReference w:id="4"/>
            </w:r>
          </w:p>
        </w:tc>
        <w:tc>
          <w:tcPr/>
          <w:p>
            <w:pPr>
              <w:pStyle w:val="Compact"/>
              <w:jc w:val="left"/>
            </w:pPr>
            <w:r>
              <w:t xml:space="preserve">Zero coverage of active niche segment</w:t>
            </w:r>
          </w:p>
        </w:tc>
      </w:tr>
      <w:tr>
        <w:tc>
          <w:tcPr/>
          <w:p>
            <w:pPr>
              <w:pStyle w:val="Compact"/>
              <w:jc w:val="left"/>
            </w:pPr>
            <w:r>
              <w:t xml:space="preserve">TPL annual programs (unscraped)</w:t>
            </w:r>
          </w:p>
        </w:tc>
        <w:tc>
          <w:tcPr/>
          <w:p>
            <w:pPr>
              <w:pStyle w:val="Compact"/>
              <w:jc w:val="left"/>
            </w:pPr>
            <w:r>
              <w:t xml:space="preserve">7,000–10,000</w:t>
            </w:r>
            <w:r>
              <w:t xml:space="preserve"> </w:t>
            </w:r>
            <w:fldSimple w:instr="NOTEREF _Ref_Footnote_4 \h \f">
              <w:r>
                <w:rPr>
                  <w:vertAlign w:val="superscript"/>
                </w:rPr>
                <w:t>4</w:t>
              </w:r>
            </w:fldSimple>
          </w:p>
        </w:tc>
        <w:tc>
          <w:tcPr/>
          <w:p>
            <w:pPr>
              <w:pStyle w:val="Compact"/>
              <w:jc w:val="left"/>
            </w:pPr>
            <w:r>
              <w:t xml:space="preserve">Largest single coverage gap</w:t>
            </w:r>
          </w:p>
        </w:tc>
      </w:tr>
      <w:tr>
        <w:tc>
          <w:tcPr/>
          <w:p>
            <w:pPr>
              <w:pStyle w:val="Compact"/>
              <w:jc w:val="left"/>
            </w:pPr>
            <w:r>
              <w:t xml:space="preserve">Google ranking —</w:t>
            </w:r>
            <w:r>
              <w:t xml:space="preserve"> </w:t>
            </w:r>
            <w:r>
              <w:t xml:space="preserve">“</w:t>
            </w:r>
            <w:r>
              <w:t xml:space="preserve">Toronto events</w:t>
            </w:r>
            <w:r>
              <w:t xml:space="preserve">”</w:t>
            </w:r>
          </w:p>
        </w:tc>
        <w:tc>
          <w:tcPr/>
          <w:p>
            <w:pPr>
              <w:pStyle w:val="Compact"/>
              <w:jc w:val="left"/>
            </w:pPr>
            <w:r>
              <w:t xml:space="preserve">Unranked (top 10)</w:t>
            </w:r>
            <w:r>
              <w:t xml:space="preserve"> </w:t>
            </w:r>
            <w:fldSimple w:instr="NOTEREF _Ref_Footnote_3 \h \f">
              <w:r>
                <w:rPr>
                  <w:vertAlign w:val="superscript"/>
                </w:rPr>
                <w:t>3</w:t>
              </w:r>
            </w:fldSimple>
          </w:p>
        </w:tc>
        <w:tc>
          <w:tcPr/>
          <w:p>
            <w:pPr>
              <w:pStyle w:val="Compact"/>
              <w:jc w:val="left"/>
            </w:pPr>
            <w:r>
              <w:t xml:space="preserve">No organic discoverability</w:t>
            </w:r>
          </w:p>
        </w:tc>
      </w:tr>
    </w:tbl>
    <w:bookmarkEnd w:id="21"/>
    <w:bookmarkStart w:id="22" w:name="findings-overview"/>
    <w:p>
      <w:pPr>
        <w:pStyle w:val="Heading2"/>
      </w:pPr>
      <w:r>
        <w:t xml:space="preserve">Findings Overview</w:t>
      </w:r>
    </w:p>
    <w:p>
      <w:pPr>
        <w:pStyle w:val="FirstParagraph"/>
      </w:pPr>
      <w:r>
        <w:rPr>
          <w:bCs/>
          <w:b/>
        </w:rPr>
        <w:t xml:space="preserve">Architecture: The Database Is a Dead End.</w:t>
      </w:r>
      <w:r>
        <w:t xml:space="preserve"> </w:t>
      </w:r>
      <w:r>
        <w:t xml:space="preserve">The site’s frontend loads exclusively from</w:t>
      </w:r>
      <w:r>
        <w:t xml:space="preserve"> </w:t>
      </w:r>
      <w:r>
        <w:rPr>
          <w:rStyle w:val="VerbatimChar"/>
        </w:rPr>
        <w:t xml:space="preserve">/next/events.json</w:t>
      </w:r>
      <w:r>
        <w:t xml:space="preserve"> </w:t>
      </w:r>
      <w:r>
        <w:t xml:space="preserve">via</w:t>
      </w:r>
      <w:r>
        <w:t xml:space="preserve"> </w:t>
      </w:r>
      <w:r>
        <w:rPr>
          <w:rStyle w:val="VerbatimChar"/>
        </w:rPr>
        <w:t xml:space="preserve">window.__EVENTS_JSON_PATH__</w:t>
      </w:r>
      <w:r>
        <w:t xml:space="preserve">, with a</w:t>
      </w:r>
      <w:r>
        <w:t xml:space="preserve"> </w:t>
      </w:r>
      <w:r>
        <w:t xml:space="preserve">“</w:t>
      </w:r>
      <w:r>
        <w:t xml:space="preserve">Git-as-a-Database</w:t>
      </w:r>
      <w:r>
        <w:t xml:space="preserve">”</w:t>
      </w:r>
      <w:r>
        <w:t xml:space="preserve"> </w:t>
      </w:r>
      <w:r>
        <w:t xml:space="preserve">architecture that commits scraped data directly into version control and deploys it as static assets</w:t>
      </w:r>
      <w:r>
        <w:t xml:space="preserve"> </w:t>
      </w:r>
      <w:fldSimple w:instr="NOTEREF _Ref_Footnote_1 \h \f">
        <w:r>
          <w:rPr>
            <w:vertAlign w:val="superscript"/>
          </w:rPr>
          <w:t>1</w:t>
        </w:r>
      </w:fldSimple>
      <w:r>
        <w:t xml:space="preserve">. Twenty-plus Python scrapers run on a daily GitHub Actions cron at 12:00 UTC, feeding this JSON pipeline — but the SQL database, once intended as a structured backend, has no read or write path to the live site. All investment in database schema, migrations, or SQL-based quality tooling is currently producing no user-facing value. The architecture works for low-cost deployment but creates a bifurcation problem: quality metrics are tracked in SQL while user experience is driven by JSON, with no reconciliation between the two</w:t>
      </w:r>
      <w:r>
        <w:t xml:space="preserve"> </w:t>
      </w:r>
      <w:fldSimple w:instr="NOTEREF _Ref_Footnote_1 \h \f">
        <w:r>
          <w:rPr>
            <w:vertAlign w:val="superscript"/>
          </w:rPr>
          <w:t>1</w:t>
        </w:r>
      </w:fldSimple>
      <w:r>
        <w:t xml:space="preserve">.</w:t>
      </w:r>
    </w:p>
    <w:p>
      <w:pPr>
        <w:pStyle w:val="BodyText"/>
      </w:pPr>
      <w:r>
        <w:rPr>
          <w:bCs/>
          <w:b/>
        </w:rPr>
        <w:t xml:space="preserve">Data Quality: Stale and Structurally Incomplete.</w:t>
      </w:r>
      <w:r>
        <w:t xml:space="preserve"> </w:t>
      </w:r>
      <w:r>
        <w:t xml:space="preserve">Of the 1,046 events in the SQL database, 819 (78.3%) are past-dated, leaving only 227 upcoming events — a fraction of what the live JSON actually serves</w:t>
      </w:r>
      <w:r>
        <w:t xml:space="preserve"> </w:t>
      </w:r>
      <w:fldSimple w:instr="NOTEREF _Ref_Footnote_2 \h \f">
        <w:r>
          <w:rPr>
            <w:vertAlign w:val="superscript"/>
          </w:rPr>
          <w:t>2</w:t>
        </w:r>
      </w:fldSimple>
      <w:r>
        <w:t xml:space="preserve">. Description coverage sits at 46.18%, meaning 563 events carry no explanatory text whatsoever. Price metadata is unreliable: 706 events priced at $0 are not flagged as free, undermining any cost-based filtering the frontend might expose. The database was last updated on February 21, 2026, rendering it operationally obsolete</w:t>
      </w:r>
      <w:r>
        <w:t xml:space="preserve"> </w:t>
      </w:r>
      <w:fldSimple w:instr="NOTEREF _Ref_Footnote_2 \h \f">
        <w:r>
          <w:rPr>
            <w:vertAlign w:val="superscript"/>
          </w:rPr>
          <w:t>2</w:t>
        </w:r>
      </w:fldSimple>
      <w:r>
        <w:t xml:space="preserve">. The JSON pipeline’s quality is harder to assess due to the lack of structured schema enforcement, but the SQL database’s condition signals systemic data hygiene gaps that likely propagate upstream.</w:t>
      </w:r>
    </w:p>
    <w:p>
      <w:pPr>
        <w:pStyle w:val="BodyText"/>
      </w:pPr>
      <w:r>
        <w:rPr>
          <w:bCs/>
          <w:b/>
        </w:rPr>
        <w:t xml:space="preserve">Competitive Landscape: Outgunned on Volume and Niche Coverage.</w:t>
      </w:r>
      <w:r>
        <w:t xml:space="preserve"> </w:t>
      </w:r>
      <w:r>
        <w:t xml:space="preserve">Eventbrite alone indexes 4,500–6,500 Toronto events at any given time, Meetup lists 1,800–2,500, and Luma carries 500–1,000 — each individually rivaling or exceeding findtorontoevents.ca’s 4,422-event inventory</w:t>
      </w:r>
      <w:r>
        <w:t xml:space="preserve"> </w:t>
      </w:r>
      <w:fldSimple w:instr="NOTEREF _Ref_Footnote_4 \h \f">
        <w:r>
          <w:rPr>
            <w:vertAlign w:val="superscript"/>
          </w:rPr>
          <w:t>4</w:t>
        </w:r>
      </w:fldSimple>
      <w:r>
        <w:t xml:space="preserve">. More critically, niche segments with high user intent are entirely unrepresented. The three largest singles event operators — Single in the City (17 upcoming), Flare Events (6), and Toronto Dating Hub (9) — collectively field 32 events that the site does not scrape</w:t>
      </w:r>
      <w:r>
        <w:t xml:space="preserve"> </w:t>
      </w:r>
      <w:fldSimple w:instr="NOTEREF _Ref_Footnote_4 \h \f">
        <w:r>
          <w:rPr>
            <w:vertAlign w:val="superscript"/>
          </w:rPr>
          <w:t>4</w:t>
        </w:r>
      </w:fldSimple>
      <w:r>
        <w:t xml:space="preserve">. Toronto Public Library hosts an estimated 7,000–10,000 programs annually, representing the single largest untapped source in the city, while university event calendars and major festivals (FIFA World Cup, Caribana, TIFF, CNE, Nuit Blanche) add hundreds more high-profile entries</w:t>
      </w:r>
      <w:r>
        <w:t xml:space="preserve"> </w:t>
      </w:r>
      <w:fldSimple w:instr="NOTEREF _Ref_Footnote_4 \h \f">
        <w:r>
          <w:rPr>
            <w:vertAlign w:val="superscript"/>
          </w:rPr>
          <w:t>4</w:t>
        </w:r>
      </w:fldSimple>
      <w:r>
        <w:t xml:space="preserve">. The site does not appear in Google’s top 10 results for</w:t>
      </w:r>
      <w:r>
        <w:t xml:space="preserve"> </w:t>
      </w:r>
      <w:r>
        <w:t xml:space="preserve">“</w:t>
      </w:r>
      <w:r>
        <w:t xml:space="preserve">Toronto events,</w:t>
      </w:r>
      <w:r>
        <w:t xml:space="preserve">”</w:t>
      </w:r>
      <w:r>
        <w:t xml:space="preserve"> </w:t>
      </w:r>
      <w:r>
        <w:t xml:space="preserve">confirming that coverage gaps translate directly into invisibility</w:t>
      </w:r>
      <w:r>
        <w:t xml:space="preserve"> </w:t>
      </w:r>
      <w:fldSimple w:instr="NOTEREF _Ref_Footnote_3 \h \f">
        <w:r>
          <w:rPr>
            <w:vertAlign w:val="superscript"/>
          </w:rPr>
          <w:t>3</w:t>
        </w:r>
      </w:fldSimple>
      <w:r>
        <w:t xml:space="preserve">.</w:t>
      </w:r>
    </w:p>
    <w:p>
      <w:pPr>
        <w:pStyle w:val="BodyText"/>
      </w:pPr>
      <w:r>
        <w:rPr>
          <w:bCs/>
          <w:b/>
        </w:rPr>
        <w:t xml:space="preserve">Gap Analysis: 35.3% Coverage with Concentrated Blind Spots.</w:t>
      </w:r>
      <w:r>
        <w:t xml:space="preserve"> </w:t>
      </w:r>
      <w:r>
        <w:t xml:space="preserve">Against an estimated total inventory of ~12,500 Toronto events, the site’s 4,422 captured events yield a 35.3% coverage ratio — but this figure overstates comprehensiveness because it is dominated by a few high-volume scrapers</w:t>
      </w:r>
      <w:r>
        <w:t xml:space="preserve"> </w:t>
      </w:r>
      <w:fldSimple w:instr="NOTEREF _Ref_Footnote_3 \h \f">
        <w:r>
          <w:rPr>
            <w:vertAlign w:val="superscript"/>
          </w:rPr>
          <w:t>3</w:t>
        </w:r>
      </w:fldSimple>
      <w:r>
        <w:t xml:space="preserve">. Toronto Public Library programs constitute a 100% gap: zero events from an estimated 7,000–10,000 annual programs are represented</w:t>
      </w:r>
      <w:r>
        <w:t xml:space="preserve"> </w:t>
      </w:r>
      <w:fldSimple w:instr="NOTEREF _Ref_Footnote_3 \h \f">
        <w:r>
          <w:rPr>
            <w:vertAlign w:val="superscript"/>
          </w:rPr>
          <w:t>3</w:t>
        </w:r>
      </w:fldSimple>
      <w:r>
        <w:t xml:space="preserve">. Singles, family-oriented, faith-based, and hyperlocal community events are all near-zero coverage categories. The implication is clear: expanding scraper breadth, not depth, will deliver the highest marginal return on coverage.</w:t>
      </w:r>
    </w:p>
    <w:bookmarkEnd w:id="22"/>
    <w:bookmarkStart w:id="23" w:name="priority-recommendations"/>
    <w:p>
      <w:pPr>
        <w:pStyle w:val="Heading2"/>
      </w:pPr>
      <w:r>
        <w:t xml:space="preserve">Priority Recommendations</w:t>
      </w:r>
    </w:p>
    <w:p>
      <w:pPr>
        <w:pStyle w:val="FirstParagraph"/>
      </w:pPr>
      <w:r>
        <w:t xml:space="preserve">The following actions are ranked by estimated impact-to-effort ratio and sequenced for a 180-day execution window.</w:t>
      </w:r>
    </w:p>
    <w:tbl>
      <w:tblPr>
        <w:tblStyle w:val="Table"/>
        <w:tblW w:type="pct" w:w="5000"/>
        <w:tblLook w:firstRow="1" w:lastRow="0" w:firstColumn="0" w:lastColumn="0" w:noHBand="0" w:noVBand="0" w:val="0020"/>
      </w:tblPr>
      <w:tblGrid>
        <w:gridCol w:w="1800"/>
        <w:gridCol w:w="1440"/>
        <w:gridCol w:w="1440"/>
        <w:gridCol w:w="1440"/>
        <w:gridCol w:w="1800"/>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Effort</w:t>
            </w:r>
          </w:p>
        </w:tc>
        <w:tc>
          <w:tcPr/>
          <w:p>
            <w:pPr>
              <w:pStyle w:val="Compact"/>
              <w:jc w:val="left"/>
            </w:pPr>
            <w:r>
              <w:t xml:space="preserve">Impact</w:t>
            </w:r>
          </w:p>
        </w:tc>
        <w:tc>
          <w:tcPr/>
          <w:p>
            <w:pPr>
              <w:pStyle w:val="Compact"/>
              <w:jc w:val="left"/>
            </w:pPr>
            <w:r>
              <w:t xml:space="preserve">Timeline</w:t>
            </w:r>
          </w:p>
        </w:tc>
      </w:tr>
      <w:tr>
        <w:tc>
          <w:tcPr/>
          <w:p>
            <w:pPr>
              <w:pStyle w:val="Compact"/>
              <w:jc w:val="left"/>
            </w:pPr>
            <w:r>
              <w:rPr>
                <w:bCs/>
                <w:b/>
              </w:rPr>
              <w:t xml:space="preserve">1</w:t>
            </w:r>
          </w:p>
        </w:tc>
        <w:tc>
          <w:tcPr/>
          <w:p>
            <w:pPr>
              <w:pStyle w:val="Compact"/>
              <w:jc w:val="left"/>
            </w:pPr>
            <w:r>
              <w:rPr>
                <w:bCs/>
                <w:b/>
              </w:rPr>
              <w:t xml:space="preserve">Retire SQL database; redirect all quality tooling to JSON pipeline</w:t>
            </w:r>
          </w:p>
        </w:tc>
        <w:tc>
          <w:tcPr/>
          <w:p>
            <w:pPr>
              <w:pStyle w:val="Compact"/>
              <w:jc w:val="left"/>
            </w:pPr>
            <w:r>
              <w:t xml:space="preserve">Medium</w:t>
            </w:r>
          </w:p>
        </w:tc>
        <w:tc>
          <w:tcPr/>
          <w:p>
            <w:pPr>
              <w:pStyle w:val="Compact"/>
              <w:jc w:val="left"/>
            </w:pPr>
            <w:r>
              <w:t xml:space="preserve">High — eliminates data bifurcation, makes quality improvements user-visible</w:t>
            </w:r>
          </w:p>
        </w:tc>
        <w:tc>
          <w:tcPr/>
          <w:p>
            <w:pPr>
              <w:pStyle w:val="Compact"/>
              <w:jc w:val="left"/>
            </w:pPr>
            <w:r>
              <w:t xml:space="preserve">0–30 days</w:t>
            </w:r>
          </w:p>
        </w:tc>
      </w:tr>
      <w:tr>
        <w:tc>
          <w:tcPr/>
          <w:p>
            <w:pPr>
              <w:pStyle w:val="Compact"/>
              <w:jc w:val="left"/>
            </w:pPr>
            <w:r>
              <w:rPr>
                <w:bCs/>
                <w:b/>
              </w:rPr>
              <w:t xml:space="preserve">2</w:t>
            </w:r>
          </w:p>
        </w:tc>
        <w:tc>
          <w:tcPr/>
          <w:p>
            <w:pPr>
              <w:pStyle w:val="Compact"/>
              <w:jc w:val="left"/>
            </w:pPr>
            <w:r>
              <w:rPr>
                <w:bCs/>
                <w:b/>
              </w:rPr>
              <w:t xml:space="preserve">Build Toronto Public Library scraper</w:t>
            </w:r>
            <w:r>
              <w:t xml:space="preserve"> </w:t>
            </w:r>
            <w:r>
              <w:t xml:space="preserve">(7,000–10,000 programs/year)</w:t>
            </w:r>
          </w:p>
        </w:tc>
        <w:tc>
          <w:tcPr/>
          <w:p>
            <w:pPr>
              <w:pStyle w:val="Compact"/>
              <w:jc w:val="left"/>
            </w:pPr>
            <w:r>
              <w:t xml:space="preserve">Medium</w:t>
            </w:r>
          </w:p>
        </w:tc>
        <w:tc>
          <w:tcPr/>
          <w:p>
            <w:pPr>
              <w:pStyle w:val="Compact"/>
              <w:jc w:val="left"/>
            </w:pPr>
            <w:r>
              <w:t xml:space="preserve">Very High — single largest coverage gain available</w:t>
            </w:r>
          </w:p>
        </w:tc>
        <w:tc>
          <w:tcPr/>
          <w:p>
            <w:pPr>
              <w:pStyle w:val="Compact"/>
              <w:jc w:val="left"/>
            </w:pPr>
            <w:r>
              <w:t xml:space="preserve">0–45 days</w:t>
            </w:r>
          </w:p>
        </w:tc>
      </w:tr>
      <w:tr>
        <w:tc>
          <w:tcPr/>
          <w:p>
            <w:pPr>
              <w:pStyle w:val="Compact"/>
              <w:jc w:val="left"/>
            </w:pPr>
            <w:r>
              <w:rPr>
                <w:bCs/>
                <w:b/>
              </w:rPr>
              <w:t xml:space="preserve">3</w:t>
            </w:r>
          </w:p>
        </w:tc>
        <w:tc>
          <w:tcPr/>
          <w:p>
            <w:pPr>
              <w:pStyle w:val="Compact"/>
              <w:jc w:val="left"/>
            </w:pPr>
            <w:r>
              <w:rPr>
                <w:bCs/>
                <w:b/>
              </w:rPr>
              <w:t xml:space="preserve">Add singles/family/faith niche scrapers</w:t>
            </w:r>
            <w:r>
              <w:t xml:space="preserve"> </w:t>
            </w:r>
            <w:r>
              <w:t xml:space="preserve">(Single in the City, Flare Events, Toronto Dating Hub)</w:t>
            </w:r>
          </w:p>
        </w:tc>
        <w:tc>
          <w:tcPr/>
          <w:p>
            <w:pPr>
              <w:pStyle w:val="Compact"/>
              <w:jc w:val="left"/>
            </w:pPr>
            <w:r>
              <w:t xml:space="preserve">Low</w:t>
            </w:r>
          </w:p>
        </w:tc>
        <w:tc>
          <w:tcPr/>
          <w:p>
            <w:pPr>
              <w:pStyle w:val="Compact"/>
              <w:jc w:val="left"/>
            </w:pPr>
            <w:r>
              <w:t xml:space="preserve">Medium-High — captures high-intent audiences with minimal engineering</w:t>
            </w:r>
          </w:p>
        </w:tc>
        <w:tc>
          <w:tcPr/>
          <w:p>
            <w:pPr>
              <w:pStyle w:val="Compact"/>
              <w:jc w:val="left"/>
            </w:pPr>
            <w:r>
              <w:t xml:space="preserve">15–45 days</w:t>
            </w:r>
          </w:p>
        </w:tc>
      </w:tr>
      <w:tr>
        <w:tc>
          <w:tcPr/>
          <w:p>
            <w:pPr>
              <w:pStyle w:val="Compact"/>
              <w:jc w:val="left"/>
            </w:pPr>
            <w:r>
              <w:rPr>
                <w:bCs/>
                <w:b/>
              </w:rPr>
              <w:t xml:space="preserve">4</w:t>
            </w:r>
          </w:p>
        </w:tc>
        <w:tc>
          <w:tcPr/>
          <w:p>
            <w:pPr>
              <w:pStyle w:val="Compact"/>
              <w:jc w:val="left"/>
            </w:pPr>
            <w:r>
              <w:rPr>
                <w:bCs/>
                <w:b/>
              </w:rPr>
              <w:t xml:space="preserve">Integrate Eventbrite API + Meetup API + City CKAN API</w:t>
            </w:r>
          </w:p>
        </w:tc>
        <w:tc>
          <w:tcPr/>
          <w:p>
            <w:pPr>
              <w:pStyle w:val="Compact"/>
              <w:jc w:val="left"/>
            </w:pPr>
            <w:r>
              <w:t xml:space="preserve">Medium-High</w:t>
            </w:r>
          </w:p>
        </w:tc>
        <w:tc>
          <w:tcPr/>
          <w:p>
            <w:pPr>
              <w:pStyle w:val="Compact"/>
              <w:jc w:val="left"/>
            </w:pPr>
            <w:r>
              <w:t xml:space="preserve">Very High — adds 2,000–5,000 events from authoritative sources</w:t>
            </w:r>
          </w:p>
        </w:tc>
        <w:tc>
          <w:tcPr/>
          <w:p>
            <w:pPr>
              <w:pStyle w:val="Compact"/>
              <w:jc w:val="left"/>
            </w:pPr>
            <w:r>
              <w:t xml:space="preserve">30–90 days</w:t>
            </w:r>
          </w:p>
        </w:tc>
      </w:tr>
      <w:tr>
        <w:tc>
          <w:tcPr/>
          <w:p>
            <w:pPr>
              <w:pStyle w:val="Compact"/>
              <w:jc w:val="left"/>
            </w:pPr>
            <w:r>
              <w:rPr>
                <w:bCs/>
                <w:b/>
              </w:rPr>
              <w:t xml:space="preserve">5</w:t>
            </w:r>
          </w:p>
        </w:tc>
        <w:tc>
          <w:tcPr/>
          <w:p>
            <w:pPr>
              <w:pStyle w:val="Compact"/>
              <w:jc w:val="left"/>
            </w:pPr>
            <w:r>
              <w:rPr>
                <w:bCs/>
                <w:b/>
              </w:rPr>
              <w:t xml:space="preserve">Deploy AI description enrichment + duplicate detection + freshness scoring</w:t>
            </w:r>
          </w:p>
        </w:tc>
        <w:tc>
          <w:tcPr/>
          <w:p>
            <w:pPr>
              <w:pStyle w:val="Compact"/>
              <w:jc w:val="left"/>
            </w:pPr>
            <w:r>
              <w:t xml:space="preserve">Medium</w:t>
            </w:r>
          </w:p>
        </w:tc>
        <w:tc>
          <w:tcPr/>
          <w:p>
            <w:pPr>
              <w:pStyle w:val="Compact"/>
              <w:jc w:val="left"/>
            </w:pPr>
            <w:r>
              <w:t xml:space="preserve">High — closes quality gap, reduces noise, improves user trust</w:t>
            </w:r>
          </w:p>
        </w:tc>
        <w:tc>
          <w:tcPr/>
          <w:p>
            <w:pPr>
              <w:pStyle w:val="Compact"/>
              <w:jc w:val="left"/>
            </w:pPr>
            <w:r>
              <w:t xml:space="preserve">60–120 days</w:t>
            </w:r>
          </w:p>
        </w:tc>
      </w:tr>
    </w:tbl>
    <w:bookmarkEnd w:id="23"/>
    <w:bookmarkStart w:id="24" w:name="projected-outcome-180-days"/>
    <w:p>
      <w:pPr>
        <w:pStyle w:val="Heading2"/>
      </w:pPr>
      <w:r>
        <w:t xml:space="preserve">Projected Outcome (180 Days)</w:t>
      </w:r>
    </w:p>
    <w:p>
      <w:pPr>
        <w:pStyle w:val="FirstParagraph"/>
      </w:pPr>
      <w:r>
        <w:t xml:space="preserve">With full execution of the above recommendations, the site’s event inventory is projected to grow from 4,422 to 15,000–20,000 events — a 3.4× to 4.5× expansion</w:t>
      </w:r>
      <w:r>
        <w:t xml:space="preserve"> </w:t>
      </w:r>
      <w:r>
        <w:rPr>
          <w:vertAlign w:val="superscript"/>
        </w:rPr>
        <w:footnoteReference w:id="5"/>
      </w:r>
      <w:r>
        <w:t xml:space="preserve">. Coverage against estimated total market inventory improves from 35.3% to approximately 65–75%, placing the site within competitive range of Eventbrite and Meetup on breadth while differentiating through aggregation</w:t>
      </w:r>
      <w:r>
        <w:t xml:space="preserve"> </w:t>
      </w:r>
      <w:fldSimple w:instr="NOTEREF _Ref_Footnote_3 \h \f">
        <w:r>
          <w:rPr>
            <w:vertAlign w:val="superscript"/>
          </w:rPr>
          <w:t>3</w:t>
        </w:r>
      </w:fldSimple>
      <w:r>
        <w:t xml:space="preserve"> </w:t>
      </w:r>
      <w:fldSimple w:instr="NOTEREF _Ref_Footnote_5 \h \f">
        <w:r>
          <w:rPr>
            <w:vertAlign w:val="superscript"/>
          </w:rPr>
          <w:t>5</w:t>
        </w:r>
      </w:fldSimple>
      <w:r>
        <w:t xml:space="preserve">. Retiring the SQL database and unifying on the JSON pipeline ensures that every quality investment — description enrichment, deduplication, freshness scoring — is immediately visible to end users. The TPL scraper alone closes the largest single gap in city-wide coverage. Niche scrapers for singles, family, and faith-based events unlock audience segments with high repeat-visit potential. API integrations with Eventbrite, Meetup, and the City’s open data portal provide stable, high-volume feeds with lower maintenance overhead than HTML scrapers. The projected outcome is a site that competes on coverage, earns organic search placement through breadth and freshness, and establishes a defensible position as Toronto’s most comprehensive event aggregator</w:t>
      </w:r>
      <w:r>
        <w:t xml:space="preserve"> </w:t>
      </w:r>
      <w:fldSimple w:instr="NOTEREF _Ref_Footnote_5 \h \f">
        <w:r>
          <w:rPr>
            <w:vertAlign w:val="superscript"/>
          </w:rPr>
          <w:t>5</w:t>
        </w:r>
      </w:fldSimple>
      <w:r>
        <w:t xml:space="preserve">.</w:t>
      </w:r>
    </w:p>
    <w:p>
      <w:r>
        <w:pict>
          <v:rect style="width:0;height:1.5pt" o:hralign="center" o:hrstd="t" o:hr="t"/>
        </w:pict>
      </w:r>
    </w:p>
    <w:p>
      <w:pPr>
        <w:pStyle w:val="FirstParagraph"/>
      </w:pPr>
      <w:fldSimple w:instr="NOTEREF _Ref_Footnote_1 \h \f">
        <w:r>
          <w:rPr>
            <w:vertAlign w:val="superscript"/>
          </w:rPr>
          <w:t>1</w:t>
        </w:r>
      </w:fldSimple>
      <w:r>
        <w:t xml:space="preserve">: Chapter 1 — Architecture and Data Pipeline Analysis</w:t>
      </w:r>
      <w:r>
        <w:t xml:space="preserve"> </w:t>
      </w:r>
      <w:fldSimple w:instr="NOTEREF _Ref_Footnote_2 \h \f">
        <w:r>
          <w:rPr>
            <w:vertAlign w:val="superscript"/>
          </w:rPr>
          <w:t>2</w:t>
        </w:r>
      </w:fldSimple>
      <w:r>
        <w:t xml:space="preserve">: Chapter 2 — Database Quality Assessment</w:t>
      </w:r>
      <w:r>
        <w:t xml:space="preserve"> </w:t>
      </w:r>
      <w:fldSimple w:instr="NOTEREF _Ref_Footnote_4 \h \f">
        <w:r>
          <w:rPr>
            <w:vertAlign w:val="superscript"/>
          </w:rPr>
          <w:t>4</w:t>
        </w:r>
      </w:fldSimple>
      <w:r>
        <w:t xml:space="preserve">: Chapter 3 — Competitive Landscape Review</w:t>
      </w:r>
      <w:r>
        <w:t xml:space="preserve"> </w:t>
      </w:r>
      <w:fldSimple w:instr="NOTEREF _Ref_Footnote_3 \h \f">
        <w:r>
          <w:rPr>
            <w:vertAlign w:val="superscript"/>
          </w:rPr>
          <w:t>3</w:t>
        </w:r>
      </w:fldSimple>
      <w:r>
        <w:t xml:space="preserve">: Chapter 4 — Gap Analysis and Coverage Assessment</w:t>
      </w:r>
      <w:r>
        <w:t xml:space="preserve"> </w:t>
      </w:r>
      <w:fldSimple w:instr="NOTEREF _Ref_Footnote_5 \h \f">
        <w:r>
          <w:rPr>
            <w:vertAlign w:val="superscript"/>
          </w:rPr>
          <w:t>5</w:t>
        </w:r>
      </w:fldSimple>
      <w:r>
        <w:t xml:space="preserve">: Chapter 5 — Strategic Recommendations and Roadmap</w:t>
      </w:r>
      <w:r>
        <w:t xml:space="preserve"> </w:t>
      </w:r>
      <w:r>
        <w:t xml:space="preserve"># 1. Current Architecture Analysis</w:t>
      </w:r>
    </w:p>
    <w:p>
      <w:pPr>
        <w:pStyle w:val="BodyText"/>
      </w:pPr>
      <w:r>
        <w:t xml:space="preserve">The event-aggregator website findtorontoevents.ca operates on an unconventional data architecture that treats a flat JSON file as the production datastore while maintaining an entirely separate SQL database that plays no role in serving live traffic. Understanding how data moves from external sources to a user’s browser — and identifying where that pipeline diverges into two disconnected silos — is the essential first step before any quality or modernization assessment can proceed.</w:t>
      </w:r>
    </w:p>
    <w:bookmarkEnd w:id="24"/>
    <w:bookmarkStart w:id="28" w:name="data-pipeline-decoded"/>
    <w:p>
      <w:pPr>
        <w:pStyle w:val="Heading2"/>
      </w:pPr>
      <w:r>
        <w:t xml:space="preserve">1.1 Data Pipeline Decoded</w:t>
      </w:r>
    </w:p>
    <w:bookmarkStart w:id="25" w:name="Xa3db164a4103bf8d691751ee4d7646815f0f172"/>
    <w:p>
      <w:pPr>
        <w:pStyle w:val="Heading3"/>
      </w:pPr>
      <w:r>
        <w:t xml:space="preserve">1.1.1 The Scraping Engine: GitHub Actions at 12:00 UTC</w:t>
      </w:r>
    </w:p>
    <w:p>
      <w:pPr>
        <w:pStyle w:val="FirstParagraph"/>
      </w:pPr>
      <w:r>
        <w:t xml:space="preserve">Every day at 12:00 UTC, a GitHub Actions workflow named</w:t>
      </w:r>
      <w:r>
        <w:t xml:space="preserve"> </w:t>
      </w:r>
      <w:r>
        <w:rPr>
          <w:rStyle w:val="VerbatimChar"/>
        </w:rPr>
        <w:t xml:space="preserve">scrape-events.yml</w:t>
      </w:r>
      <w:r>
        <w:t xml:space="preserve"> </w:t>
      </w:r>
      <w:r>
        <w:t xml:space="preserve">triggers automatically across the project’s 384 branches</w:t>
      </w:r>
      <w:r>
        <w:t xml:space="preserve"> </w:t>
      </w:r>
      <w:fldSimple w:instr="NOTEREF _Ref_Footnote_1 \h \f">
        <w:r>
          <w:rPr>
            <w:vertAlign w:val="superscript"/>
          </w:rPr>
          <w:t>1</w:t>
        </w:r>
      </w:fldSimple>
      <w:r>
        <w:t xml:space="preserve">. The workflow installs Python dependencies (</w:t>
      </w:r>
      <w:r>
        <w:rPr>
          <w:rStyle w:val="VerbatimChar"/>
        </w:rPr>
        <w:t xml:space="preserve">requests</w:t>
      </w:r>
      <w:r>
        <w:t xml:space="preserve">,</w:t>
      </w:r>
      <w:r>
        <w:t xml:space="preserve"> </w:t>
      </w:r>
      <w:r>
        <w:rPr>
          <w:rStyle w:val="VerbatimChar"/>
        </w:rPr>
        <w:t xml:space="preserve">beautifulsoup4</w:t>
      </w:r>
      <w:r>
        <w:t xml:space="preserve">,</w:t>
      </w:r>
      <w:r>
        <w:t xml:space="preserve"> </w:t>
      </w:r>
      <w:r>
        <w:rPr>
          <w:rStyle w:val="VerbatimChar"/>
        </w:rPr>
        <w:t xml:space="preserve">lxml</w:t>
      </w:r>
      <w:r>
        <w:t xml:space="preserve">, and</w:t>
      </w:r>
      <w:r>
        <w:t xml:space="preserve"> </w:t>
      </w:r>
      <w:r>
        <w:rPr>
          <w:rStyle w:val="VerbatimChar"/>
        </w:rPr>
        <w:t xml:space="preserve">scrapling</w:t>
      </w:r>
      <w:r>
        <w:t xml:space="preserve">) and invokes the unified scraper via</w:t>
      </w:r>
      <w:r>
        <w:t xml:space="preserve"> </w:t>
      </w:r>
      <w:r>
        <w:rPr>
          <w:rStyle w:val="VerbatimChar"/>
        </w:rPr>
        <w:t xml:space="preserve">tools/scrape_and_sync_events.py --sync</w:t>
      </w:r>
      <w:r>
        <w:t xml:space="preserve"> </w:t>
      </w:r>
      <w:fldSimple w:instr="NOTEREF _Ref_Footnote_2 \h \f">
        <w:r>
          <w:rPr>
            <w:vertAlign w:val="superscript"/>
          </w:rPr>
          <w:t>2</w:t>
        </w:r>
      </w:fldSimple>
      <w:r>
        <w:t xml:space="preserve">. This entry point orchestrates more than 20 individual scraper modules housed in</w:t>
      </w:r>
      <w:r>
        <w:t xml:space="preserve"> </w:t>
      </w:r>
      <w:r>
        <w:rPr>
          <w:rStyle w:val="VerbatimChar"/>
        </w:rPr>
        <w:t xml:space="preserve">tools/scrapers/</w:t>
      </w:r>
      <w:r>
        <w:t xml:space="preserve">, each tailored to a specific Toronto event source — from ticketing platforms like Eventbrite and Ticketmaster to venue-specific pages such as the Royal Ontario Museum and Massey Hall</w:t>
      </w:r>
      <w:r>
        <w:t xml:space="preserve"> </w:t>
      </w:r>
      <w:fldSimple w:instr="NOTEREF _Ref_Footnote_4 \h \f">
        <w:r>
          <w:rPr>
            <w:vertAlign w:val="superscript"/>
          </w:rPr>
          <w:t>4</w:t>
        </w:r>
      </w:fldSimple>
      <w:r>
        <w:t xml:space="preserve">.</w:t>
      </w:r>
    </w:p>
    <w:p>
      <w:pPr>
        <w:pStyle w:val="BodyText"/>
      </w:pPr>
      <w:r>
        <w:t xml:space="preserve">The scraper pipeline performs three core operations in sequence: ingestion, deduplication, and merge. Raw events are pulled from each source, normalized to a common schema (title, date, location, price, categories, host, URL, image), and then deduplicated using a composite key of normalized title plus event date</w:t>
      </w:r>
      <w:r>
        <w:t xml:space="preserve"> </w:t>
      </w:r>
      <w:fldSimple w:instr="NOTEREF _Ref_Footnote_3 \h \f">
        <w:r>
          <w:rPr>
            <w:vertAlign w:val="superscript"/>
          </w:rPr>
          <w:t>3</w:t>
        </w:r>
      </w:fldSimple>
      <w:r>
        <w:t xml:space="preserve">. Events that already exist in the master file are updated in-place, preserving their original MD5-based IDs, while new entries are appended. After the merge, the entire dataset is re-sorted chronologically and written back to the root</w:t>
      </w:r>
      <w:r>
        <w:t xml:space="preserve"> </w:t>
      </w:r>
      <w:r>
        <w:rPr>
          <w:rStyle w:val="VerbatimChar"/>
        </w:rPr>
        <w:t xml:space="preserve">events.json</w:t>
      </w:r>
      <w:r>
        <w:t xml:space="preserve"> </w:t>
      </w:r>
      <w:r>
        <w:t xml:space="preserve">file, which at last measurement weighed approximately 5.16 MB</w:t>
      </w:r>
      <w:r>
        <w:t xml:space="preserve"> </w:t>
      </w:r>
      <w:fldSimple w:instr="NOTEREF _Ref_Footnote_5 \h \f">
        <w:r>
          <w:rPr>
            <w:vertAlign w:val="superscript"/>
          </w:rPr>
          <w:t>5</w:t>
        </w:r>
      </w:fldSimple>
      <w:r>
        <w:t xml:space="preserve">.</w:t>
      </w:r>
    </w:p>
    <w:p>
      <w:pPr>
        <w:pStyle w:val="BodyText"/>
      </w:pPr>
      <w:r>
        <w:t xml:space="preserve">The repository’s commit history — exceeding 105,700 commits across 10 contributors — reflects this daily cadence</w:t>
      </w:r>
      <w:r>
        <w:t xml:space="preserve"> </w:t>
      </w:r>
      <w:r>
        <w:rPr>
          <w:vertAlign w:val="superscript"/>
        </w:rPr>
        <w:footnoteReference w:id="6"/>
      </w:r>
      <w:r>
        <w:t xml:space="preserve">. Because every scrape produces a new Git commit of the updated JSON file, the commit log doubles as an implicit audit trail, preserving the full state of the event dataset for every day of operation. This</w:t>
      </w:r>
      <w:r>
        <w:t xml:space="preserve"> </w:t>
      </w:r>
      <w:r>
        <w:t xml:space="preserve">“</w:t>
      </w:r>
      <w:r>
        <w:t xml:space="preserve">Git-as-a-Database</w:t>
      </w:r>
      <w:r>
        <w:t xml:space="preserve">”</w:t>
      </w:r>
      <w:r>
        <w:t xml:space="preserve"> </w:t>
      </w:r>
      <w:r>
        <w:t xml:space="preserve">pattern eliminates the need for a traditional transactional datastore at the ingestion layer, but it also means that rollbacks, diffs, and historical queries are Git operations rather than SQL queries.</w:t>
      </w:r>
    </w:p>
    <w:bookmarkEnd w:id="25"/>
    <w:bookmarkStart w:id="26" w:name="X3bfe744010f34584f1849c4ebaad09ac794b5d9"/>
    <w:p>
      <w:pPr>
        <w:pStyle w:val="Heading3"/>
      </w:pPr>
      <w:r>
        <w:t xml:space="preserve">1.1.2 The Frontend Fetch Interceptor: Four-Level Fallback Chain</w:t>
      </w:r>
    </w:p>
    <w:p>
      <w:pPr>
        <w:pStyle w:val="FirstParagraph"/>
      </w:pPr>
      <w:r>
        <w:t xml:space="preserve">Once the JSON file is deployed, the frontend loads it through a mechanism that bears no resemblance to a conventional API call. The site’s</w:t>
      </w:r>
      <w:r>
        <w:t xml:space="preserve"> </w:t>
      </w:r>
      <w:r>
        <w:rPr>
          <w:rStyle w:val="VerbatimChar"/>
        </w:rPr>
        <w:t xml:space="preserve">index.html</w:t>
      </w:r>
      <w:r>
        <w:t xml:space="preserve"> </w:t>
      </w:r>
      <w:r>
        <w:t xml:space="preserve">contains an inline JavaScript fetch interceptor that hijacks any request containing the string</w:t>
      </w:r>
      <w:r>
        <w:t xml:space="preserve"> </w:t>
      </w:r>
      <w:r>
        <w:rPr>
          <w:rStyle w:val="VerbatimChar"/>
        </w:rPr>
        <w:t xml:space="preserve">events.json</w:t>
      </w:r>
      <w:r>
        <w:t xml:space="preserve"> </w:t>
      </w:r>
      <w:r>
        <w:t xml:space="preserve">and routes it through a four-level fallback chain</w:t>
      </w:r>
      <w:r>
        <w:t xml:space="preserve"> </w:t>
      </w:r>
      <w:r>
        <w:rPr>
          <w:vertAlign w:val="superscript"/>
        </w:rPr>
        <w:footnoteReference w:id="7"/>
      </w:r>
      <w:r>
        <w:t xml:space="preserve">:</w:t>
      </w:r>
    </w:p>
    <w:p>
      <w:pPr>
        <w:pStyle w:val="SourceCode"/>
      </w:pPr>
      <w:r>
        <w:rPr>
          <w:rStyle w:val="KeywordTok"/>
        </w:rPr>
        <w:t xml:space="preserve">var</w:t>
      </w:r>
      <w:r>
        <w:rPr>
          <w:rStyle w:val="NormalTok"/>
        </w:rPr>
        <w:t xml:space="preserve"> sources </w:t>
      </w:r>
      <w:r>
        <w:rPr>
          <w:rStyle w:val="OperatorTok"/>
        </w:rPr>
        <w:t xml:space="preserve">=</w:t>
      </w:r>
      <w:r>
        <w:rPr>
          <w:rStyle w:val="NormalTok"/>
        </w:rPr>
        <w:t xml:space="preserve"> [</w:t>
      </w:r>
      <w:r>
        <w:br/>
      </w:r>
      <w:r>
        <w:rPr>
          <w:rStyle w:val="NormalTok"/>
        </w:rPr>
        <w:t xml:space="preserve">    </w:t>
      </w:r>
      <w:r>
        <w:rPr>
          <w:rStyle w:val="StringTok"/>
        </w:rPr>
        <w:t xml:space="preserve">"/next/events.json"</w:t>
      </w:r>
      <w:r>
        <w:rPr>
          <w:rStyle w:val="OperatorTok"/>
        </w:rPr>
        <w:t xml:space="preserve">,</w:t>
      </w:r>
      <w:r>
        <w:rPr>
          <w:rStyle w:val="NormalTok"/>
        </w:rPr>
        <w:t xml:space="preserve">                    </w:t>
      </w:r>
      <w:r>
        <w:rPr>
          <w:rStyle w:val="CommentTok"/>
        </w:rPr>
        <w:t xml:space="preserve">// Primary: local built copy</w:t>
      </w:r>
      <w:r>
        <w:br/>
      </w:r>
      <w:r>
        <w:rPr>
          <w:rStyle w:val="NormalTok"/>
        </w:rPr>
        <w:t xml:space="preserve">    </w:t>
      </w:r>
      <w:r>
        <w:rPr>
          <w:rStyle w:val="StringTok"/>
        </w:rPr>
        <w:t xml:space="preserve">"/events.json"</w:t>
      </w:r>
      <w:r>
        <w:rPr>
          <w:rStyle w:val="OperatorTok"/>
        </w:rPr>
        <w:t xml:space="preserve">,</w:t>
      </w:r>
      <w:r>
        <w:rPr>
          <w:rStyle w:val="NormalTok"/>
        </w:rPr>
        <w:t xml:space="preserve">                          </w:t>
      </w:r>
      <w:r>
        <w:rPr>
          <w:rStyle w:val="CommentTok"/>
        </w:rPr>
        <w:t xml:space="preserve">// Fallback 1: root copy</w:t>
      </w:r>
      <w:r>
        <w:br/>
      </w:r>
      <w:r>
        <w:rPr>
          <w:rStyle w:val="NormalTok"/>
        </w:rPr>
        <w:t xml:space="preserve">    </w:t>
      </w:r>
      <w:r>
        <w:rPr>
          <w:rStyle w:val="StringTok"/>
        </w:rPr>
        <w:t xml:space="preserve">"/data/events.json"</w:t>
      </w:r>
      <w:r>
        <w:rPr>
          <w:rStyle w:val="OperatorTok"/>
        </w:rPr>
        <w:t xml:space="preserve">,</w:t>
      </w:r>
      <w:r>
        <w:rPr>
          <w:rStyle w:val="NormalTok"/>
        </w:rPr>
        <w:t xml:space="preserve">                     </w:t>
      </w:r>
      <w:r>
        <w:rPr>
          <w:rStyle w:val="CommentTok"/>
        </w:rPr>
        <w:t xml:space="preserve">// Fallback 2: data directory</w:t>
      </w:r>
      <w:r>
        <w:br/>
      </w:r>
      <w:r>
        <w:rPr>
          <w:rStyle w:val="NormalTok"/>
        </w:rPr>
        <w:t xml:space="preserve">    </w:t>
      </w:r>
      <w:r>
        <w:rPr>
          <w:rStyle w:val="StringTok"/>
        </w:rPr>
        <w:t xml:space="preserve">"https://raw.githubusercontent.com/eltonaguiar/findtorontoevents.ca/main/next/events.json"</w:t>
      </w:r>
      <w:r>
        <w:rPr>
          <w:rStyle w:val="NormalTok"/>
        </w:rPr>
        <w:t xml:space="preserve">  </w:t>
      </w:r>
      <w:r>
        <w:rPr>
          <w:rStyle w:val="CommentTok"/>
        </w:rPr>
        <w:t xml:space="preserve">// Fallback 3: GitHub raw</w:t>
      </w:r>
      <w:r>
        <w:br/>
      </w:r>
      <w:r>
        <w:rPr>
          <w:rStyle w:val="NormalTok"/>
        </w:rPr>
        <w:t xml:space="preserve">]</w:t>
      </w:r>
      <w:r>
        <w:rPr>
          <w:rStyle w:val="OperatorTok"/>
        </w:rPr>
        <w:t xml:space="preserve">;</w:t>
      </w:r>
    </w:p>
    <w:p>
      <w:pPr>
        <w:pStyle w:val="FirstParagraph"/>
      </w:pPr>
      <w:r>
        <w:t xml:space="preserve">The interceptor attempts each source sequentially. If</w:t>
      </w:r>
      <w:r>
        <w:t xml:space="preserve"> </w:t>
      </w:r>
      <w:r>
        <w:rPr>
          <w:rStyle w:val="VerbatimChar"/>
        </w:rPr>
        <w:t xml:space="preserve">/next/events.json</w:t>
      </w:r>
      <w:r>
        <w:t xml:space="preserve"> </w:t>
      </w:r>
      <w:r>
        <w:t xml:space="preserve">returns a non-OK status or fails to parse as JSON, it immediately tries</w:t>
      </w:r>
      <w:r>
        <w:t xml:space="preserve"> </w:t>
      </w:r>
      <w:r>
        <w:rPr>
          <w:rStyle w:val="VerbatimChar"/>
        </w:rPr>
        <w:t xml:space="preserve">/events.json</w:t>
      </w:r>
      <w:r>
        <w:t xml:space="preserve">, then</w:t>
      </w:r>
      <w:r>
        <w:t xml:space="preserve"> </w:t>
      </w:r>
      <w:r>
        <w:rPr>
          <w:rStyle w:val="VerbatimChar"/>
        </w:rPr>
        <w:t xml:space="preserve">/data/events.json</w:t>
      </w:r>
      <w:r>
        <w:t xml:space="preserve">, and finally falls back to the raw GitHub URL</w:t>
      </w:r>
      <w:r>
        <w:t xml:space="preserve"> </w:t>
      </w:r>
      <w:r>
        <w:rPr>
          <w:vertAlign w:val="superscript"/>
        </w:rPr>
        <w:footnoteReference w:id="8"/>
      </w:r>
      <w:r>
        <w:t xml:space="preserve">. On success, the parsed event array is stored in</w:t>
      </w:r>
      <w:r>
        <w:t xml:space="preserve"> </w:t>
      </w:r>
      <w:r>
        <w:rPr>
          <w:rStyle w:val="VerbatimChar"/>
        </w:rPr>
        <w:t xml:space="preserve">window.__RAW_EVENTS__</w:t>
      </w:r>
      <w:r>
        <w:t xml:space="preserve"> </w:t>
      </w:r>
      <w:r>
        <w:t xml:space="preserve">for React to consume during hydration. A companion XMLHttpRequest interceptor performs the same URL rewrite for legacy code paths, ensuring consistency regardless of which HTTP client the application uses</w:t>
      </w:r>
      <w:r>
        <w:t xml:space="preserve"> </w:t>
      </w:r>
      <w:r>
        <w:rPr>
          <w:vertAlign w:val="superscript"/>
        </w:rPr>
        <w:footnoteReference w:id="9"/>
      </w:r>
      <w:r>
        <w:t xml:space="preserve">.</w:t>
      </w:r>
    </w:p>
    <w:p>
      <w:pPr>
        <w:pStyle w:val="BodyText"/>
      </w:pPr>
      <w:r>
        <w:t xml:space="preserve">Critically, this pipeline contains zero database API calls. Network analysis of the live site confirms no XHR or fetch requests to</w:t>
      </w:r>
      <w:r>
        <w:t xml:space="preserve"> </w:t>
      </w:r>
      <w:r>
        <w:rPr>
          <w:rStyle w:val="VerbatimChar"/>
        </w:rPr>
        <w:t xml:space="preserve">/api/</w:t>
      </w:r>
      <w:r>
        <w:t xml:space="preserve">,</w:t>
      </w:r>
      <w:r>
        <w:t xml:space="preserve"> </w:t>
      </w:r>
      <w:r>
        <w:rPr>
          <w:rStyle w:val="VerbatimChar"/>
        </w:rPr>
        <w:t xml:space="preserve">.api</w:t>
      </w:r>
      <w:r>
        <w:t xml:space="preserve">, GraphQL, or WebSocket endpoints</w:t>
      </w:r>
      <w:r>
        <w:t xml:space="preserve"> </w:t>
      </w:r>
      <w:r>
        <w:rPr>
          <w:vertAlign w:val="superscript"/>
        </w:rPr>
        <w:footnoteReference w:id="10"/>
      </w:r>
      <w:r>
        <w:t xml:space="preserve">. The sole network request for event data is a single</w:t>
      </w:r>
      <w:r>
        <w:t xml:space="preserve"> </w:t>
      </w:r>
      <w:r>
        <w:rPr>
          <w:rStyle w:val="VerbatimChar"/>
        </w:rPr>
        <w:t xml:space="preserve">GET /next/events.json</w:t>
      </w:r>
      <w:r>
        <w:t xml:space="preserve"> </w:t>
      </w:r>
      <w:r>
        <w:t xml:space="preserve">call. All filtering — date ranges, categories, price limits, sold-out suppression, multi-day toggles — executes client-side against the already-loaded array</w:t>
      </w:r>
      <w:r>
        <w:t xml:space="preserve"> </w:t>
      </w:r>
      <w:r>
        <w:rPr>
          <w:vertAlign w:val="superscript"/>
        </w:rPr>
        <w:footnoteReference w:id="11"/>
      </w:r>
      <w:r>
        <w:t xml:space="preserve">. This design decision keeps hosting costs minimal (static files on commodity hosting require no runtime compute) but it also means that the full 5.4 MB payload must traverse the wire on every fresh page load, a burden that falls disproportionately on mobile users with limited bandwidth.</w:t>
      </w:r>
    </w:p>
    <w:bookmarkEnd w:id="26"/>
    <w:bookmarkStart w:id="27" w:name="X1a9800ccb2478e5d44d7f1c4b45c74cfbadda48"/>
    <w:p>
      <w:pPr>
        <w:pStyle w:val="Heading3"/>
      </w:pPr>
      <w:r>
        <w:t xml:space="preserve">1.1.3 Static Site Architecture: Git-as-a-Database with FTP Deploy</w:t>
      </w:r>
    </w:p>
    <w:p>
      <w:pPr>
        <w:pStyle w:val="FirstParagraph"/>
      </w:pPr>
      <w:r>
        <w:t xml:space="preserve">The deployment pipeline closes the loop from scraper to user. After</w:t>
      </w:r>
      <w:r>
        <w:t xml:space="preserve"> </w:t>
      </w:r>
      <w:r>
        <w:rPr>
          <w:rStyle w:val="VerbatimChar"/>
        </w:rPr>
        <w:t xml:space="preserve">scrape_and_sync_events.py</w:t>
      </w:r>
      <w:r>
        <w:t xml:space="preserve"> </w:t>
      </w:r>
      <w:r>
        <w:t xml:space="preserve">writes the updated</w:t>
      </w:r>
      <w:r>
        <w:t xml:space="preserve"> </w:t>
      </w:r>
      <w:r>
        <w:rPr>
          <w:rStyle w:val="VerbatimChar"/>
        </w:rPr>
        <w:t xml:space="preserve">events.json</w:t>
      </w:r>
      <w:r>
        <w:t xml:space="preserve">, a verification script ensures that</w:t>
      </w:r>
      <w:r>
        <w:t xml:space="preserve"> </w:t>
      </w:r>
      <w:r>
        <w:rPr>
          <w:rStyle w:val="VerbatimChar"/>
        </w:rPr>
        <w:t xml:space="preserve">next/events.json</w:t>
      </w:r>
      <w:r>
        <w:t xml:space="preserve"> </w:t>
      </w:r>
      <w:r>
        <w:t xml:space="preserve">(the deployed copy) remains byte-for-byte identical to the root master file</w:t>
      </w:r>
      <w:r>
        <w:t xml:space="preserve"> </w:t>
      </w:r>
      <w:r>
        <w:rPr>
          <w:vertAlign w:val="superscript"/>
        </w:rPr>
        <w:footnoteReference w:id="12"/>
      </w:r>
      <w:r>
        <w:t xml:space="preserve">. A second workflow,</w:t>
      </w:r>
      <w:r>
        <w:t xml:space="preserve"> </w:t>
      </w:r>
      <w:r>
        <w:rPr>
          <w:rStyle w:val="VerbatimChar"/>
        </w:rPr>
        <w:t xml:space="preserve">deploy-fte-events-json.yml</w:t>
      </w:r>
      <w:r>
        <w:t xml:space="preserve">, monitors pushes to the</w:t>
      </w:r>
      <w:r>
        <w:t xml:space="preserve"> </w:t>
      </w:r>
      <w:r>
        <w:rPr>
          <w:rStyle w:val="VerbatimChar"/>
        </w:rPr>
        <w:t xml:space="preserve">main</w:t>
      </w:r>
      <w:r>
        <w:t xml:space="preserve"> </w:t>
      </w:r>
      <w:r>
        <w:t xml:space="preserve">branch and, when</w:t>
      </w:r>
      <w:r>
        <w:t xml:space="preserve"> </w:t>
      </w:r>
      <w:r>
        <w:rPr>
          <w:rStyle w:val="VerbatimChar"/>
        </w:rPr>
        <w:t xml:space="preserve">next/events.json</w:t>
      </w:r>
      <w:r>
        <w:t xml:space="preserve"> </w:t>
      </w:r>
      <w:r>
        <w:t xml:space="preserve">or</w:t>
      </w:r>
      <w:r>
        <w:t xml:space="preserve"> </w:t>
      </w:r>
      <w:r>
        <w:rPr>
          <w:rStyle w:val="VerbatimChar"/>
        </w:rPr>
        <w:t xml:space="preserve">last_update.json</w:t>
      </w:r>
      <w:r>
        <w:t xml:space="preserve"> </w:t>
      </w:r>
      <w:r>
        <w:t xml:space="preserve">changes, uploads the file via FTP to</w:t>
      </w:r>
      <w:r>
        <w:t xml:space="preserve"> </w:t>
      </w:r>
      <w:r>
        <w:rPr>
          <w:rStyle w:val="VerbatimChar"/>
        </w:rPr>
        <w:t xml:space="preserve">findtorontoevents.ca/next/events.json</w:t>
      </w:r>
      <w:r>
        <w:t xml:space="preserve"> </w:t>
      </w:r>
      <w:r>
        <w:rPr>
          <w:vertAlign w:val="superscript"/>
        </w:rPr>
        <w:footnoteReference w:id="13"/>
      </w:r>
      <w:r>
        <w:t xml:space="preserve">. A post-deploy verification step compares the live event count against the repository count, ensuring that deployment failures do not silently strand stale data on the production server.</w:t>
      </w:r>
    </w:p>
    <w:p>
      <w:pPr>
        <w:pStyle w:val="BodyText"/>
      </w:pPr>
      <w:r>
        <w:t xml:space="preserve">The technology stack reinforces this static-first philosophy: the repository is 54.8% Python (scraper infrastructure), 38.5% HTML (static Next.js export output), 3.1% JavaScript (runtime fetch interceptors and React bundles), and 2.0% PHP (database sync endpoints that the frontend never touches)</w:t>
      </w:r>
      <w:r>
        <w:t xml:space="preserve"> </w:t>
      </w:r>
      <w:r>
        <w:rPr>
          <w:vertAlign w:val="superscript"/>
        </w:rPr>
        <w:footnoteReference w:id="14"/>
      </w:r>
      <w:r>
        <w:t xml:space="preserve">. There is no runtime backend, no API server, and no application server between the user and the JSON file. The hosting layer serves pre-built HTML, JavaScript chunks, and the events JSON as static assets — a deliberately simple architecture that trades dynamic query capability for operational simplicity.</w:t>
      </w:r>
    </w:p>
    <w:p>
      <w:pPr>
        <w:pStyle w:val="BodyText"/>
      </w:pPr>
      <w:r>
        <w:t xml:space="preserve">The following diagram traces the complete data pipeline from source ingestion through to browser rendering:</w:t>
      </w:r>
    </w:p>
    <w:p>
      <w:pPr>
        <w:pStyle w:val="SourceCode"/>
      </w:pPr>
      <w:r>
        <w:rPr>
          <w:rStyle w:val="VerbatimChar"/>
        </w:rPr>
        <w:t xml:space="preserve">flowchart LR</w:t>
      </w:r>
      <w:r>
        <w:br/>
      </w:r>
      <w:r>
        <w:rPr>
          <w:rStyle w:val="VerbatimChar"/>
        </w:rPr>
        <w:t xml:space="preserve">    subgraph Sources["30+ Event Sources"]</w:t>
      </w:r>
      <w:r>
        <w:br/>
      </w:r>
      <w:r>
        <w:rPr>
          <w:rStyle w:val="VerbatimChar"/>
        </w:rPr>
        <w:t xml:space="preserve">        S1[NOW Toronto]</w:t>
      </w:r>
      <w:r>
        <w:br/>
      </w:r>
      <w:r>
        <w:rPr>
          <w:rStyle w:val="VerbatimChar"/>
        </w:rPr>
        <w:t xml:space="preserve">        S2[Eventbrite]</w:t>
      </w:r>
      <w:r>
        <w:br/>
      </w:r>
      <w:r>
        <w:rPr>
          <w:rStyle w:val="VerbatimChar"/>
        </w:rPr>
        <w:t xml:space="preserve">        S3[Meetup]</w:t>
      </w:r>
      <w:r>
        <w:br/>
      </w:r>
      <w:r>
        <w:rPr>
          <w:rStyle w:val="VerbatimChar"/>
        </w:rPr>
        <w:t xml:space="preserve">        S4[ToDoCanada]</w:t>
      </w:r>
      <w:r>
        <w:br/>
      </w:r>
      <w:r>
        <w:rPr>
          <w:rStyle w:val="VerbatimChar"/>
        </w:rPr>
        <w:t xml:space="preserve">        S5[ROM]</w:t>
      </w:r>
      <w:r>
        <w:br/>
      </w:r>
      <w:r>
        <w:rPr>
          <w:rStyle w:val="VerbatimChar"/>
        </w:rPr>
        <w:t xml:space="preserve">        S6["...20+ more"]</w:t>
      </w:r>
      <w:r>
        <w:br/>
      </w:r>
      <w:r>
        <w:rPr>
          <w:rStyle w:val="VerbatimChar"/>
        </w:rPr>
        <w:t xml:space="preserve">    end</w:t>
      </w:r>
      <w:r>
        <w:br/>
      </w:r>
      <w:r>
        <w:br/>
      </w:r>
      <w:r>
        <w:rPr>
          <w:rStyle w:val="VerbatimChar"/>
        </w:rPr>
        <w:t xml:space="preserve">    subgraph Scraper["GitHub Actions — 12:00 UTC"]</w:t>
      </w:r>
      <w:r>
        <w:br/>
      </w:r>
      <w:r>
        <w:rPr>
          <w:rStyle w:val="VerbatimChar"/>
        </w:rPr>
        <w:t xml:space="preserve">        PY["unified_scraper.py&lt;br/&gt;(Python + BeautifulSoup + Scrapling)"]</w:t>
      </w:r>
      <w:r>
        <w:br/>
      </w:r>
      <w:r>
        <w:rPr>
          <w:rStyle w:val="VerbatimChar"/>
        </w:rPr>
        <w:t xml:space="preserve">    end</w:t>
      </w:r>
      <w:r>
        <w:br/>
      </w:r>
      <w:r>
        <w:br/>
      </w:r>
      <w:r>
        <w:rPr>
          <w:rStyle w:val="VerbatimChar"/>
        </w:rPr>
        <w:t xml:space="preserve">    subgraph Merge["Merge &amp; Deduplicate"]</w:t>
      </w:r>
      <w:r>
        <w:br/>
      </w:r>
      <w:r>
        <w:rPr>
          <w:rStyle w:val="VerbatimChar"/>
        </w:rPr>
        <w:t xml:space="preserve">        DEDUP["Normalized title + date key"]</w:t>
      </w:r>
      <w:r>
        <w:br/>
      </w:r>
      <w:r>
        <w:rPr>
          <w:rStyle w:val="VerbatimChar"/>
        </w:rPr>
        <w:t xml:space="preserve">        MASTER["events.json&lt;br/&gt;~5.16 MB master file"]</w:t>
      </w:r>
      <w:r>
        <w:br/>
      </w:r>
      <w:r>
        <w:rPr>
          <w:rStyle w:val="VerbatimChar"/>
        </w:rPr>
        <w:t xml:space="preserve">    end</w:t>
      </w:r>
      <w:r>
        <w:br/>
      </w:r>
      <w:r>
        <w:br/>
      </w:r>
      <w:r>
        <w:rPr>
          <w:rStyle w:val="VerbatimChar"/>
        </w:rPr>
        <w:t xml:space="preserve">    subgraph Deploy["Deploy Pipeline"]</w:t>
      </w:r>
      <w:r>
        <w:br/>
      </w:r>
      <w:r>
        <w:rPr>
          <w:rStyle w:val="VerbatimChar"/>
        </w:rPr>
        <w:t xml:space="preserve">        COPY["next/events.json"]</w:t>
      </w:r>
      <w:r>
        <w:br/>
      </w:r>
      <w:r>
        <w:rPr>
          <w:rStyle w:val="VerbatimChar"/>
        </w:rPr>
        <w:t xml:space="preserve">        GIT["Git commit + push"]</w:t>
      </w:r>
      <w:r>
        <w:br/>
      </w:r>
      <w:r>
        <w:rPr>
          <w:rStyle w:val="VerbatimChar"/>
        </w:rPr>
        <w:t xml:space="preserve">        FTP["FTP upload to&lt;br/&gt;findtorontoevents.ca"]</w:t>
      </w:r>
      <w:r>
        <w:br/>
      </w:r>
      <w:r>
        <w:rPr>
          <w:rStyle w:val="VerbatimChar"/>
        </w:rPr>
        <w:t xml:space="preserve">    end</w:t>
      </w:r>
      <w:r>
        <w:br/>
      </w:r>
      <w:r>
        <w:br/>
      </w:r>
      <w:r>
        <w:rPr>
          <w:rStyle w:val="VerbatimChar"/>
        </w:rPr>
        <w:t xml:space="preserve">    subgraph Frontend["Browser (Static Site)"]</w:t>
      </w:r>
      <w:r>
        <w:br/>
      </w:r>
      <w:r>
        <w:rPr>
          <w:rStyle w:val="VerbatimChar"/>
        </w:rPr>
        <w:t xml:space="preserve">        INTERCEPT["fetch() interceptor&lt;br/&gt;4-level fallback chain"]</w:t>
      </w:r>
      <w:r>
        <w:br/>
      </w:r>
      <w:r>
        <w:rPr>
          <w:rStyle w:val="VerbatimChar"/>
        </w:rPr>
        <w:t xml:space="preserve">        REACT["React hydration&lt;br/&gt;client-side filtering"]</w:t>
      </w:r>
      <w:r>
        <w:br/>
      </w:r>
      <w:r>
        <w:rPr>
          <w:rStyle w:val="VerbatimChar"/>
        </w:rPr>
        <w:t xml:space="preserve">        DOM["Event cards rendered"]</w:t>
      </w:r>
      <w:r>
        <w:br/>
      </w:r>
      <w:r>
        <w:rPr>
          <w:rStyle w:val="VerbatimChar"/>
        </w:rPr>
        <w:t xml:space="preserve">    end</w:t>
      </w:r>
      <w:r>
        <w:br/>
      </w:r>
      <w:r>
        <w:br/>
      </w:r>
      <w:r>
        <w:rPr>
          <w:rStyle w:val="VerbatimChar"/>
        </w:rPr>
        <w:t xml:space="preserve">    Sources --&gt; PY</w:t>
      </w:r>
      <w:r>
        <w:br/>
      </w:r>
      <w:r>
        <w:rPr>
          <w:rStyle w:val="VerbatimChar"/>
        </w:rPr>
        <w:t xml:space="preserve">    PY --&gt; DEDUP</w:t>
      </w:r>
      <w:r>
        <w:br/>
      </w:r>
      <w:r>
        <w:rPr>
          <w:rStyle w:val="VerbatimChar"/>
        </w:rPr>
        <w:t xml:space="preserve">    DEDUP --&gt; MASTER</w:t>
      </w:r>
      <w:r>
        <w:br/>
      </w:r>
      <w:r>
        <w:rPr>
          <w:rStyle w:val="VerbatimChar"/>
        </w:rPr>
        <w:t xml:space="preserve">    MASTER --&gt; COPY</w:t>
      </w:r>
      <w:r>
        <w:br/>
      </w:r>
      <w:r>
        <w:rPr>
          <w:rStyle w:val="VerbatimChar"/>
        </w:rPr>
        <w:t xml:space="preserve">    COPY --&gt; GIT</w:t>
      </w:r>
      <w:r>
        <w:br/>
      </w:r>
      <w:r>
        <w:rPr>
          <w:rStyle w:val="VerbatimChar"/>
        </w:rPr>
        <w:t xml:space="preserve">    GIT --&gt; FTP</w:t>
      </w:r>
      <w:r>
        <w:br/>
      </w:r>
      <w:r>
        <w:rPr>
          <w:rStyle w:val="VerbatimChar"/>
        </w:rPr>
        <w:t xml:space="preserve">    FTP --&gt; INTERCEPT</w:t>
      </w:r>
      <w:r>
        <w:br/>
      </w:r>
      <w:r>
        <w:rPr>
          <w:rStyle w:val="VerbatimChar"/>
        </w:rPr>
        <w:t xml:space="preserve">    INTERCEPT --&gt; REACT</w:t>
      </w:r>
      <w:r>
        <w:br/>
      </w:r>
      <w:r>
        <w:rPr>
          <w:rStyle w:val="VerbatimChar"/>
        </w:rPr>
        <w:t xml:space="preserve">    REACT --&gt; DOM</w:t>
      </w:r>
    </w:p>
    <w:p>
      <w:pPr>
        <w:pStyle w:val="FirstParagraph"/>
      </w:pPr>
      <w:r>
        <w:t xml:space="preserve">This architecture has operated reliably enough to accumulate over 105,700 commits, but its Achilles’ heel is the absence of any query interface. Every user downloads the entire dataset regardless of which date range, category, or neighborhood they intend to browse. Client-side filtering reduces what they see, not what they transfer.</w:t>
      </w:r>
    </w:p>
    <w:bookmarkEnd w:id="27"/>
    <w:bookmarkEnd w:id="28"/>
    <w:bookmarkStart w:id="32" w:name="sql-database-vs-live-json-two-silos"/>
    <w:p>
      <w:pPr>
        <w:pStyle w:val="Heading2"/>
      </w:pPr>
      <w:r>
        <w:t xml:space="preserve">1.2 SQL Database vs Live JSON: Two Silos</w:t>
      </w:r>
    </w:p>
    <w:bookmarkStart w:id="29" w:name="X403ed71ca07b5083960ae9a55557e036a50893f"/>
    <w:p>
      <w:pPr>
        <w:pStyle w:val="Heading3"/>
      </w:pPr>
      <w:r>
        <w:t xml:space="preserve">1.2.1 The SQL Database: 1,046 Events from a February 2026 Bulk Import</w:t>
      </w:r>
    </w:p>
    <w:p>
      <w:pPr>
        <w:pStyle w:val="FirstParagraph"/>
      </w:pPr>
      <w:r>
        <w:t xml:space="preserve">A MySQL database exists on the hosting server, accessible through PHP endpoints at</w:t>
      </w:r>
      <w:r>
        <w:t xml:space="preserve"> </w:t>
      </w:r>
      <w:r>
        <w:rPr>
          <w:rStyle w:val="VerbatimChar"/>
        </w:rPr>
        <w:t xml:space="preserve">events_sync.php</w:t>
      </w:r>
      <w:r>
        <w:t xml:space="preserve"> </w:t>
      </w:r>
      <w:r>
        <w:t xml:space="preserve">and</w:t>
      </w:r>
      <w:r>
        <w:t xml:space="preserve"> </w:t>
      </w:r>
      <w:r>
        <w:rPr>
          <w:rStyle w:val="VerbatimChar"/>
        </w:rPr>
        <w:t xml:space="preserve">events_get_stats.php</w:t>
      </w:r>
      <w:r>
        <w:t xml:space="preserve">, but it is functionally disconnected from the live site</w:t>
      </w:r>
      <w:r>
        <w:t xml:space="preserve"> </w:t>
      </w:r>
      <w:r>
        <w:rPr>
          <w:vertAlign w:val="superscript"/>
        </w:rPr>
        <w:footnoteReference w:id="15"/>
      </w:r>
      <w:r>
        <w:t xml:space="preserve">. The database currently holds 1,046 events, all traceable to a bulk import operation conducted in February 2026</w:t>
      </w:r>
      <w:r>
        <w:t xml:space="preserve"> </w:t>
      </w:r>
      <w:r>
        <w:rPr>
          <w:vertAlign w:val="superscript"/>
        </w:rPr>
        <w:footnoteReference w:id="16"/>
      </w:r>
      <w:r>
        <w:t xml:space="preserve">. The scraper’s</w:t>
      </w:r>
      <w:r>
        <w:t xml:space="preserve"> </w:t>
      </w:r>
      <w:r>
        <w:rPr>
          <w:rStyle w:val="VerbatimChar"/>
        </w:rPr>
        <w:t xml:space="preserve">--sync</w:t>
      </w:r>
      <w:r>
        <w:t xml:space="preserve"> </w:t>
      </w:r>
      <w:r>
        <w:t xml:space="preserve">flag does POST scraped events to</w:t>
      </w:r>
      <w:r>
        <w:t xml:space="preserve"> </w:t>
      </w:r>
      <w:r>
        <w:rPr>
          <w:rStyle w:val="VerbatimChar"/>
        </w:rPr>
        <w:t xml:space="preserve">events_sync.php</w:t>
      </w:r>
      <w:r>
        <w:t xml:space="preserve"> </w:t>
      </w:r>
      <w:r>
        <w:t xml:space="preserve">in chunks of 150 records per request, with a fallback to GET for smaller payloads</w:t>
      </w:r>
      <w:r>
        <w:t xml:space="preserve"> </w:t>
      </w:r>
      <w:r>
        <w:rPr>
          <w:vertAlign w:val="superscript"/>
        </w:rPr>
        <w:footnoteReference w:id="17"/>
      </w:r>
      <w:r>
        <w:t xml:space="preserve">. However, no frontend code reads from these endpoints. The database operates strictly as a write-only sink — events flow into it, but nothing flows out.</w:t>
      </w:r>
    </w:p>
    <w:p>
      <w:pPr>
        <w:pStyle w:val="BodyText"/>
      </w:pPr>
      <w:r>
        <w:t xml:space="preserve">The database also runs a duplicate-finder routine that links events scraped from multiple sources, a capability that the flat JSON file lacks because it has no relational join mechanism</w:t>
      </w:r>
      <w:r>
        <w:t xml:space="preserve"> </w:t>
      </w:r>
      <w:r>
        <w:rPr>
          <w:vertAlign w:val="superscript"/>
        </w:rPr>
        <w:footnoteReference w:id="18"/>
      </w:r>
      <w:r>
        <w:t xml:space="preserve">. This means the SQL silo contains deduplication intelligence that never reaches end users. From an operational standpoint, the database represents stranded infrastructure: it consumes storage, has an ingestion pipeline, and hosts quality-improving deduplication logic, yet contributes nothing to what visitors see.</w:t>
      </w:r>
    </w:p>
    <w:bookmarkEnd w:id="29"/>
    <w:bookmarkStart w:id="30" w:name="X28a8fbab27fadad1e7165bbae9c2c4e3e8cff6f"/>
    <w:p>
      <w:pPr>
        <w:pStyle w:val="Heading3"/>
      </w:pPr>
      <w:r>
        <w:t xml:space="preserve">1.2.2 The Live events.json: 4,422 Events with Daily Refresh</w:t>
      </w:r>
    </w:p>
    <w:p>
      <w:pPr>
        <w:pStyle w:val="FirstParagraph"/>
      </w:pPr>
      <w:r>
        <w:t xml:space="preserve">The production data source is</w:t>
      </w:r>
      <w:r>
        <w:t xml:space="preserve"> </w:t>
      </w:r>
      <w:r>
        <w:rPr>
          <w:rStyle w:val="VerbatimChar"/>
        </w:rPr>
        <w:t xml:space="preserve">events.json</w:t>
      </w:r>
      <w:r>
        <w:t xml:space="preserve">, which at last analysis contained 4,422 events spanning from January 26, 2026 through the most recent scrape on April 25, 2026</w:t>
      </w:r>
      <w:r>
        <w:t xml:space="preserve"> </w:t>
      </w:r>
      <w:r>
        <w:rPr>
          <w:vertAlign w:val="superscript"/>
        </w:rPr>
        <w:footnoteReference w:id="19"/>
      </w:r>
      <w:r>
        <w:t xml:space="preserve">. Of those, 4,420 (99.95%) carry valid date fields, while only two events lack temporal metadata</w:t>
      </w:r>
      <w:r>
        <w:t xml:space="preserve"> </w:t>
      </w:r>
      <w:r>
        <w:rPr>
          <w:vertAlign w:val="superscript"/>
        </w:rPr>
        <w:footnoteReference w:id="20"/>
      </w:r>
      <w:r>
        <w:t xml:space="preserve">. Every event record includes latitude and longitude coordinates (enabling map-based visualization), category tags across 17 taxonomies, pricing information, external URLs, and image references</w:t>
      </w:r>
      <w:r>
        <w:t xml:space="preserve"> </w:t>
      </w:r>
      <w:r>
        <w:rPr>
          <w:vertAlign w:val="superscript"/>
        </w:rPr>
        <w:footnoteReference w:id="21"/>
      </w:r>
      <w:r>
        <w:t xml:space="preserve">. The file is updated daily through the automated scrape pipeline and deployed via FTP within minutes of a successful Git commit.</w:t>
      </w:r>
    </w:p>
    <w:bookmarkEnd w:id="30"/>
    <w:bookmarkStart w:id="31" w:name="Xb97cd5dc991364933732efc3e5c088829927645"/>
    <w:p>
      <w:pPr>
        <w:pStyle w:val="Heading3"/>
      </w:pPr>
      <w:r>
        <w:t xml:space="preserve">1.2.3 No Synchronization Pipeline Connects the Two Silos</w:t>
      </w:r>
    </w:p>
    <w:p>
      <w:pPr>
        <w:pStyle w:val="FirstParagraph"/>
      </w:pPr>
      <w:r>
        <w:t xml:space="preserve">The critical architectural finding is the complete absence of a bidirectional sync mechanism. The scraper writes to both the JSON file (for the live site) and the SQL database (via the sync endpoint), but these are parallel writes, not a synchronized datastore</w:t>
      </w:r>
      <w:r>
        <w:t xml:space="preserve"> </w:t>
      </w:r>
      <w:r>
        <w:rPr>
          <w:vertAlign w:val="superscript"/>
        </w:rPr>
        <w:footnoteReference w:id="22"/>
      </w:r>
      <w:r>
        <w:t xml:space="preserve">. The JSON file has received 4,422 events through continuous daily scraping, while the database stalled at 1,046 events after its initial bulk load. There is no cron job, no ETL pipeline, and no reconciliation process that would align the two datasets.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SQL Database</w:t>
            </w:r>
          </w:p>
        </w:tc>
        <w:tc>
          <w:tcPr/>
          <w:p>
            <w:pPr>
              <w:pStyle w:val="Compact"/>
              <w:jc w:val="left"/>
            </w:pPr>
            <w:r>
              <w:t xml:space="preserve">Live events.json</w:t>
            </w:r>
          </w:p>
        </w:tc>
      </w:tr>
      <w:tr>
        <w:tc>
          <w:tcPr/>
          <w:p>
            <w:pPr>
              <w:pStyle w:val="Compact"/>
              <w:jc w:val="left"/>
            </w:pPr>
            <w:r>
              <w:t xml:space="preserve">Total events</w:t>
            </w:r>
          </w:p>
        </w:tc>
        <w:tc>
          <w:tcPr/>
          <w:p>
            <w:pPr>
              <w:pStyle w:val="Compact"/>
              <w:jc w:val="left"/>
            </w:pPr>
            <w:r>
              <w:t xml:space="preserve">1,046</w:t>
            </w:r>
          </w:p>
        </w:tc>
        <w:tc>
          <w:tcPr/>
          <w:p>
            <w:pPr>
              <w:pStyle w:val="Compact"/>
              <w:jc w:val="left"/>
            </w:pPr>
            <w:r>
              <w:t xml:space="preserve">4,422</w:t>
            </w:r>
          </w:p>
        </w:tc>
      </w:tr>
      <w:tr>
        <w:tc>
          <w:tcPr/>
          <w:p>
            <w:pPr>
              <w:pStyle w:val="Compact"/>
              <w:jc w:val="left"/>
            </w:pPr>
            <w:r>
              <w:t xml:space="preserve">Date range</w:t>
            </w:r>
          </w:p>
        </w:tc>
        <w:tc>
          <w:tcPr/>
          <w:p>
            <w:pPr>
              <w:pStyle w:val="Compact"/>
              <w:jc w:val="left"/>
            </w:pPr>
            <w:r>
              <w:t xml:space="preserve">February 2026 bulk import only</w:t>
            </w:r>
          </w:p>
        </w:tc>
        <w:tc>
          <w:tcPr/>
          <w:p>
            <w:pPr>
              <w:pStyle w:val="Compact"/>
              <w:jc w:val="left"/>
            </w:pPr>
            <w:r>
              <w:t xml:space="preserve">January 26 — April 25, 2026</w:t>
            </w:r>
          </w:p>
        </w:tc>
      </w:tr>
      <w:tr>
        <w:tc>
          <w:tcPr/>
          <w:p>
            <w:pPr>
              <w:pStyle w:val="Compact"/>
              <w:jc w:val="left"/>
            </w:pPr>
            <w:r>
              <w:t xml:space="preserve">Update frequency</w:t>
            </w:r>
          </w:p>
        </w:tc>
        <w:tc>
          <w:tcPr/>
          <w:p>
            <w:pPr>
              <w:pStyle w:val="Compact"/>
              <w:jc w:val="left"/>
            </w:pPr>
            <w:r>
              <w:t xml:space="preserve">Write-only via scraper sync; no reads</w:t>
            </w:r>
          </w:p>
        </w:tc>
        <w:tc>
          <w:tcPr/>
          <w:p>
            <w:pPr>
              <w:pStyle w:val="Compact"/>
              <w:jc w:val="left"/>
            </w:pPr>
            <w:r>
              <w:t xml:space="preserve">Daily automated refresh</w:t>
            </w:r>
          </w:p>
        </w:tc>
      </w:tr>
      <w:tr>
        <w:tc>
          <w:tcPr/>
          <w:p>
            <w:pPr>
              <w:pStyle w:val="Compact"/>
              <w:jc w:val="left"/>
            </w:pPr>
            <w:r>
              <w:t xml:space="preserve">Connected to live site</w:t>
            </w:r>
          </w:p>
        </w:tc>
        <w:tc>
          <w:tcPr/>
          <w:p>
            <w:pPr>
              <w:pStyle w:val="Compact"/>
              <w:jc w:val="left"/>
            </w:pPr>
            <w:r>
              <w:t xml:space="preserve">No — zero frontend API calls</w:t>
            </w:r>
          </w:p>
        </w:tc>
        <w:tc>
          <w:tcPr/>
          <w:p>
            <w:pPr>
              <w:pStyle w:val="Compact"/>
              <w:jc w:val="left"/>
            </w:pPr>
            <w:r>
              <w:t xml:space="preserve">Yes — sole production data source</w:t>
            </w:r>
          </w:p>
        </w:tc>
      </w:tr>
      <w:tr>
        <w:tc>
          <w:tcPr/>
          <w:p>
            <w:pPr>
              <w:pStyle w:val="Compact"/>
              <w:jc w:val="left"/>
            </w:pPr>
            <w:r>
              <w:t xml:space="preserve">Deduplication logic</w:t>
            </w:r>
          </w:p>
        </w:tc>
        <w:tc>
          <w:tcPr/>
          <w:p>
            <w:pPr>
              <w:pStyle w:val="Compact"/>
              <w:jc w:val="left"/>
            </w:pPr>
            <w:r>
              <w:t xml:space="preserve">Yes — multi-source linking active</w:t>
            </w:r>
          </w:p>
        </w:tc>
        <w:tc>
          <w:tcPr/>
          <w:p>
            <w:pPr>
              <w:pStyle w:val="Compact"/>
              <w:jc w:val="left"/>
            </w:pPr>
            <w:r>
              <w:t xml:space="preserve">No — flat file, no relational joins</w:t>
            </w:r>
          </w:p>
        </w:tc>
      </w:tr>
      <w:tr>
        <w:tc>
          <w:tcPr/>
          <w:p>
            <w:pPr>
              <w:pStyle w:val="Compact"/>
              <w:jc w:val="left"/>
            </w:pPr>
            <w:r>
              <w:t xml:space="preserve">Event coordinate coverage</w:t>
            </w:r>
          </w:p>
        </w:tc>
        <w:tc>
          <w:tcPr/>
          <w:p>
            <w:pPr>
              <w:pStyle w:val="Compact"/>
              <w:jc w:val="left"/>
            </w:pPr>
            <w:r>
              <w:t xml:space="preserve">Unknown</w:t>
            </w:r>
          </w:p>
        </w:tc>
        <w:tc>
          <w:tcPr/>
          <w:p>
            <w:pPr>
              <w:pStyle w:val="Compact"/>
              <w:jc w:val="left"/>
            </w:pPr>
            <w:r>
              <w:t xml:space="preserve">4,420 / 4,422 (99.95%)</w:t>
            </w:r>
          </w:p>
        </w:tc>
      </w:tr>
      <w:tr>
        <w:tc>
          <w:tcPr/>
          <w:p>
            <w:pPr>
              <w:pStyle w:val="Compact"/>
              <w:jc w:val="left"/>
            </w:pPr>
            <w:r>
              <w:t xml:space="preserve">Schema richness</w:t>
            </w:r>
          </w:p>
        </w:tc>
        <w:tc>
          <w:tcPr/>
          <w:p>
            <w:pPr>
              <w:pStyle w:val="Compact"/>
              <w:jc w:val="left"/>
            </w:pPr>
            <w:r>
              <w:t xml:space="preserve">Full (normalized tables)</w:t>
            </w:r>
          </w:p>
        </w:tc>
        <w:tc>
          <w:tcPr/>
          <w:p>
            <w:pPr>
              <w:pStyle w:val="Compact"/>
              <w:jc w:val="left"/>
            </w:pPr>
            <w:r>
              <w:t xml:space="preserve">Full (nested JSON objects)</w:t>
            </w:r>
          </w:p>
        </w:tc>
      </w:tr>
    </w:tbl>
    <w:p>
      <w:pPr>
        <w:pStyle w:val="BodyText"/>
      </w:pPr>
      <w:r>
        <w:rPr>
          <w:bCs/>
          <w:b/>
        </w:rPr>
        <w:t xml:space="preserve">Table: SQL Database vs. Live events.json — Two disconnected data silos with no synchronization mechanism.</w:t>
      </w:r>
    </w:p>
    <w:p>
      <w:pPr>
        <w:pStyle w:val="BodyText"/>
      </w:pPr>
      <w:r>
        <w:t xml:space="preserve">This bifurcation carries immediate operational consequences. First, the SQL database consumes hosting resources without serving live traffic, representing pure overhead. Second, any quality improvements applied at the database layer — deduplication, normalization, or enrichment — never propagate to the JSON file that users actually consume. Third, the site operates without the query capabilities that a relational database would enable; complex filters such as</w:t>
      </w:r>
      <w:r>
        <w:t xml:space="preserve"> </w:t>
      </w:r>
      <w:r>
        <w:t xml:space="preserve">“</w:t>
      </w:r>
      <w:r>
        <w:t xml:space="preserve">events within 2 km of this address on weekends under $50</w:t>
      </w:r>
      <w:r>
        <w:t xml:space="preserve">”</w:t>
      </w:r>
      <w:r>
        <w:t xml:space="preserve"> </w:t>
      </w:r>
      <w:r>
        <w:t xml:space="preserve">must be approximated through brute-force JavaScript iteration over 4,422 records in the browser. The architectural implication is unambiguous: the site has outgrown its static-file datastore, but the bridge to a database-backed architecture was never completed.</w:t>
      </w:r>
    </w:p>
    <w:bookmarkEnd w:id="31"/>
    <w:bookmarkEnd w:id="32"/>
    <w:bookmarkStart w:id="100" w:name="source-attribution-breakdown"/>
    <w:p>
      <w:pPr>
        <w:pStyle w:val="Heading2"/>
      </w:pPr>
      <w:r>
        <w:t xml:space="preserve">1.3 Source Attribution Breakdown</w:t>
      </w:r>
    </w:p>
    <w:bookmarkStart w:id="33" w:name="X30a4a7856c6977c06cdb32eefc9d1aea7ec842e"/>
    <w:p>
      <w:pPr>
        <w:pStyle w:val="Heading3"/>
      </w:pPr>
      <w:r>
        <w:t xml:space="preserve">1.3.1 Top Scraped Sources: NOW Toronto Dominates the Feed</w:t>
      </w:r>
    </w:p>
    <w:p>
      <w:pPr>
        <w:pStyle w:val="FirstParagraph"/>
      </w:pPr>
      <w:r>
        <w:t xml:space="preserve">The unified scraper aggregates events from more than 30 distinct sources, but the distribution is heavily skewed. NOW Toronto alone contributes 1,956 events — 44.2% of the entire dataset — making it the single most influential source by a wide margin</w:t>
      </w:r>
      <w:r>
        <w:t xml:space="preserve"> </w:t>
      </w:r>
      <w:r>
        <w:rPr>
          <w:vertAlign w:val="superscript"/>
        </w:rPr>
        <w:footnoteReference w:id="23"/>
      </w:r>
      <w:r>
        <w:t xml:space="preserve">. The top five sources (NOW Toronto, Eventbrite, Meetup, ToDoCanada, and the Royal Ontario Museum) collectively supply 3,905 events, representing 88.3% of all records in the JSON file</w:t>
      </w:r>
      <w:r>
        <w:t xml:space="preserve"> </w:t>
      </w:r>
      <w:r>
        <w:rPr>
          <w:vertAlign w:val="superscript"/>
        </w:rPr>
        <w:footnoteReference w:id="24"/>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Source</w:t>
            </w:r>
          </w:p>
        </w:tc>
        <w:tc>
          <w:tcPr/>
          <w:p>
            <w:pPr>
              <w:pStyle w:val="Compact"/>
              <w:jc w:val="left"/>
            </w:pPr>
            <w:r>
              <w:t xml:space="preserve">Event Count</w:t>
            </w:r>
          </w:p>
        </w:tc>
        <w:tc>
          <w:tcPr/>
          <w:p>
            <w:pPr>
              <w:pStyle w:val="Compact"/>
              <w:jc w:val="left"/>
            </w:pPr>
            <w:r>
              <w:t xml:space="preserve">Share of Total</w:t>
            </w:r>
          </w:p>
        </w:tc>
        <w:tc>
          <w:tcPr/>
          <w:p>
            <w:pPr>
              <w:pStyle w:val="Compact"/>
              <w:jc w:val="left"/>
            </w:pPr>
            <w:r>
              <w:t xml:space="preserve">Source Type</w:t>
            </w:r>
          </w:p>
        </w:tc>
      </w:tr>
      <w:tr>
        <w:tc>
          <w:tcPr/>
          <w:p>
            <w:pPr>
              <w:pStyle w:val="Compact"/>
              <w:jc w:val="left"/>
            </w:pPr>
            <w:r>
              <w:t xml:space="preserve">1</w:t>
            </w:r>
          </w:p>
        </w:tc>
        <w:tc>
          <w:tcPr/>
          <w:p>
            <w:pPr>
              <w:pStyle w:val="Compact"/>
              <w:jc w:val="left"/>
            </w:pPr>
            <w:r>
              <w:t xml:space="preserve">NOW Toronto</w:t>
            </w:r>
          </w:p>
        </w:tc>
        <w:tc>
          <w:tcPr/>
          <w:p>
            <w:pPr>
              <w:pStyle w:val="Compact"/>
              <w:jc w:val="left"/>
            </w:pPr>
            <w:r>
              <w:t xml:space="preserve">1,956</w:t>
            </w:r>
          </w:p>
        </w:tc>
        <w:tc>
          <w:tcPr/>
          <w:p>
            <w:pPr>
              <w:pStyle w:val="Compact"/>
              <w:jc w:val="left"/>
            </w:pPr>
            <w:r>
              <w:t xml:space="preserve">44.2%</w:t>
            </w:r>
          </w:p>
        </w:tc>
        <w:tc>
          <w:tcPr/>
          <w:p>
            <w:pPr>
              <w:pStyle w:val="Compact"/>
              <w:jc w:val="left"/>
            </w:pPr>
            <w:r>
              <w:t xml:space="preserve">Local listings website</w:t>
            </w:r>
          </w:p>
        </w:tc>
      </w:tr>
      <w:tr>
        <w:tc>
          <w:tcPr/>
          <w:p>
            <w:pPr>
              <w:pStyle w:val="Compact"/>
              <w:jc w:val="left"/>
            </w:pPr>
            <w:r>
              <w:t xml:space="preserve">2</w:t>
            </w:r>
          </w:p>
        </w:tc>
        <w:tc>
          <w:tcPr/>
          <w:p>
            <w:pPr>
              <w:pStyle w:val="Compact"/>
              <w:jc w:val="left"/>
            </w:pPr>
            <w:r>
              <w:t xml:space="preserve">Eventbrite</w:t>
            </w:r>
          </w:p>
        </w:tc>
        <w:tc>
          <w:tcPr/>
          <w:p>
            <w:pPr>
              <w:pStyle w:val="Compact"/>
              <w:jc w:val="left"/>
            </w:pPr>
            <w:r>
              <w:t xml:space="preserve">637</w:t>
            </w:r>
          </w:p>
        </w:tc>
        <w:tc>
          <w:tcPr/>
          <w:p>
            <w:pPr>
              <w:pStyle w:val="Compact"/>
              <w:jc w:val="left"/>
            </w:pPr>
            <w:r>
              <w:t xml:space="preserve">14.4%</w:t>
            </w:r>
          </w:p>
        </w:tc>
        <w:tc>
          <w:tcPr/>
          <w:p>
            <w:pPr>
              <w:pStyle w:val="Compact"/>
              <w:jc w:val="left"/>
            </w:pPr>
            <w:r>
              <w:t xml:space="preserve">Ticketing platform</w:t>
            </w:r>
          </w:p>
        </w:tc>
      </w:tr>
      <w:tr>
        <w:tc>
          <w:tcPr/>
          <w:p>
            <w:pPr>
              <w:pStyle w:val="Compact"/>
              <w:jc w:val="left"/>
            </w:pPr>
            <w:r>
              <w:t xml:space="preserve">3</w:t>
            </w:r>
          </w:p>
        </w:tc>
        <w:tc>
          <w:tcPr/>
          <w:p>
            <w:pPr>
              <w:pStyle w:val="Compact"/>
              <w:jc w:val="left"/>
            </w:pPr>
            <w:r>
              <w:t xml:space="preserve">Meetup</w:t>
            </w:r>
          </w:p>
        </w:tc>
        <w:tc>
          <w:tcPr/>
          <w:p>
            <w:pPr>
              <w:pStyle w:val="Compact"/>
              <w:jc w:val="left"/>
            </w:pPr>
            <w:r>
              <w:t xml:space="preserve">464</w:t>
            </w:r>
          </w:p>
        </w:tc>
        <w:tc>
          <w:tcPr/>
          <w:p>
            <w:pPr>
              <w:pStyle w:val="Compact"/>
              <w:jc w:val="left"/>
            </w:pPr>
            <w:r>
              <w:t xml:space="preserve">10.5%</w:t>
            </w:r>
          </w:p>
        </w:tc>
        <w:tc>
          <w:tcPr/>
          <w:p>
            <w:pPr>
              <w:pStyle w:val="Compact"/>
              <w:jc w:val="left"/>
            </w:pPr>
            <w:r>
              <w:t xml:space="preserve">Social groups platform</w:t>
            </w:r>
          </w:p>
        </w:tc>
      </w:tr>
      <w:tr>
        <w:tc>
          <w:tcPr/>
          <w:p>
            <w:pPr>
              <w:pStyle w:val="Compact"/>
              <w:jc w:val="left"/>
            </w:pPr>
            <w:r>
              <w:t xml:space="preserve">4</w:t>
            </w:r>
          </w:p>
        </w:tc>
        <w:tc>
          <w:tcPr/>
          <w:p>
            <w:pPr>
              <w:pStyle w:val="Compact"/>
              <w:jc w:val="left"/>
            </w:pPr>
            <w:r>
              <w:t xml:space="preserve">ToDoCanada</w:t>
            </w:r>
          </w:p>
        </w:tc>
        <w:tc>
          <w:tcPr/>
          <w:p>
            <w:pPr>
              <w:pStyle w:val="Compact"/>
              <w:jc w:val="left"/>
            </w:pPr>
            <w:r>
              <w:t xml:space="preserve">457</w:t>
            </w:r>
          </w:p>
        </w:tc>
        <w:tc>
          <w:tcPr/>
          <w:p>
            <w:pPr>
              <w:pStyle w:val="Compact"/>
              <w:jc w:val="left"/>
            </w:pPr>
            <w:r>
              <w:t xml:space="preserve">10.3%</w:t>
            </w:r>
          </w:p>
        </w:tc>
        <w:tc>
          <w:tcPr/>
          <w:p>
            <w:pPr>
              <w:pStyle w:val="Compact"/>
              <w:jc w:val="left"/>
            </w:pPr>
            <w:r>
              <w:t xml:space="preserve">Activity directory</w:t>
            </w:r>
          </w:p>
        </w:tc>
      </w:tr>
      <w:tr>
        <w:tc>
          <w:tcPr/>
          <w:p>
            <w:pPr>
              <w:pStyle w:val="Compact"/>
              <w:jc w:val="left"/>
            </w:pPr>
            <w:r>
              <w:t xml:space="preserve">5</w:t>
            </w:r>
          </w:p>
        </w:tc>
        <w:tc>
          <w:tcPr/>
          <w:p>
            <w:pPr>
              <w:pStyle w:val="Compact"/>
              <w:jc w:val="left"/>
            </w:pPr>
            <w:r>
              <w:t xml:space="preserve">ROM (Royal Ontario Museum)</w:t>
            </w:r>
          </w:p>
        </w:tc>
        <w:tc>
          <w:tcPr/>
          <w:p>
            <w:pPr>
              <w:pStyle w:val="Compact"/>
              <w:jc w:val="left"/>
            </w:pPr>
            <w:r>
              <w:t xml:space="preserve">391</w:t>
            </w:r>
          </w:p>
        </w:tc>
        <w:tc>
          <w:tcPr/>
          <w:p>
            <w:pPr>
              <w:pStyle w:val="Compact"/>
              <w:jc w:val="left"/>
            </w:pPr>
            <w:r>
              <w:t xml:space="preserve">8.8%</w:t>
            </w:r>
          </w:p>
        </w:tc>
        <w:tc>
          <w:tcPr/>
          <w:p>
            <w:pPr>
              <w:pStyle w:val="Compact"/>
              <w:jc w:val="left"/>
            </w:pPr>
            <w:r>
              <w:t xml:space="preserve">Museum venue</w:t>
            </w:r>
          </w:p>
        </w:tc>
      </w:tr>
      <w:tr>
        <w:tc>
          <w:tcPr/>
          <w:p>
            <w:pPr>
              <w:pStyle w:val="Compact"/>
              <w:jc w:val="left"/>
            </w:pPr>
            <w:r>
              <w:t xml:space="preserve">6</w:t>
            </w:r>
          </w:p>
        </w:tc>
        <w:tc>
          <w:tcPr/>
          <w:p>
            <w:pPr>
              <w:pStyle w:val="Compact"/>
              <w:jc w:val="left"/>
            </w:pPr>
            <w:r>
              <w:t xml:space="preserve">Dating Events</w:t>
            </w:r>
          </w:p>
        </w:tc>
        <w:tc>
          <w:tcPr/>
          <w:p>
            <w:pPr>
              <w:pStyle w:val="Compact"/>
              <w:jc w:val="left"/>
            </w:pPr>
            <w:r>
              <w:t xml:space="preserve">215</w:t>
            </w:r>
          </w:p>
        </w:tc>
        <w:tc>
          <w:tcPr/>
          <w:p>
            <w:pPr>
              <w:pStyle w:val="Compact"/>
              <w:jc w:val="left"/>
            </w:pPr>
            <w:r>
              <w:t xml:space="preserve">4.9%</w:t>
            </w:r>
          </w:p>
        </w:tc>
        <w:tc>
          <w:tcPr/>
          <w:p>
            <w:pPr>
              <w:pStyle w:val="Compact"/>
              <w:jc w:val="left"/>
            </w:pPr>
            <w:r>
              <w:t xml:space="preserve">Curated dating listings</w:t>
            </w:r>
          </w:p>
        </w:tc>
      </w:tr>
      <w:tr>
        <w:tc>
          <w:tcPr/>
          <w:p>
            <w:pPr>
              <w:pStyle w:val="Compact"/>
              <w:jc w:val="left"/>
            </w:pPr>
            <w:r>
              <w:t xml:space="preserve">7</w:t>
            </w:r>
          </w:p>
        </w:tc>
        <w:tc>
          <w:tcPr/>
          <w:p>
            <w:pPr>
              <w:pStyle w:val="Compact"/>
              <w:jc w:val="left"/>
            </w:pPr>
            <w:r>
              <w:t xml:space="preserve">Toronto Botanical Garden</w:t>
            </w:r>
          </w:p>
        </w:tc>
        <w:tc>
          <w:tcPr/>
          <w:p>
            <w:pPr>
              <w:pStyle w:val="Compact"/>
              <w:jc w:val="left"/>
            </w:pPr>
            <w:r>
              <w:t xml:space="preserve">44</w:t>
            </w:r>
          </w:p>
        </w:tc>
        <w:tc>
          <w:tcPr/>
          <w:p>
            <w:pPr>
              <w:pStyle w:val="Compact"/>
              <w:jc w:val="left"/>
            </w:pPr>
            <w:r>
              <w:t xml:space="preserve">1.0%</w:t>
            </w:r>
          </w:p>
        </w:tc>
        <w:tc>
          <w:tcPr/>
          <w:p>
            <w:pPr>
              <w:pStyle w:val="Compact"/>
              <w:jc w:val="left"/>
            </w:pPr>
            <w:r>
              <w:t xml:space="preserve">Garden venue</w:t>
            </w:r>
          </w:p>
        </w:tc>
      </w:tr>
      <w:tr>
        <w:tc>
          <w:tcPr/>
          <w:p>
            <w:pPr>
              <w:pStyle w:val="Compact"/>
              <w:jc w:val="left"/>
            </w:pPr>
            <w:r>
              <w:t xml:space="preserve">8</w:t>
            </w:r>
          </w:p>
        </w:tc>
        <w:tc>
          <w:tcPr/>
          <w:p>
            <w:pPr>
              <w:pStyle w:val="Compact"/>
              <w:jc w:val="left"/>
            </w:pPr>
            <w:r>
              <w:t xml:space="preserve">Major Toronto Festivals</w:t>
            </w:r>
          </w:p>
        </w:tc>
        <w:tc>
          <w:tcPr/>
          <w:p>
            <w:pPr>
              <w:pStyle w:val="Compact"/>
              <w:jc w:val="left"/>
            </w:pPr>
            <w:r>
              <w:t xml:space="preserve">39</w:t>
            </w:r>
          </w:p>
        </w:tc>
        <w:tc>
          <w:tcPr/>
          <w:p>
            <w:pPr>
              <w:pStyle w:val="Compact"/>
              <w:jc w:val="left"/>
            </w:pPr>
            <w:r>
              <w:t xml:space="preserve">0.9%</w:t>
            </w:r>
          </w:p>
        </w:tc>
        <w:tc>
          <w:tcPr/>
          <w:p>
            <w:pPr>
              <w:pStyle w:val="Compact"/>
              <w:jc w:val="left"/>
            </w:pPr>
            <w:r>
              <w:t xml:space="preserve">Festival listings</w:t>
            </w:r>
          </w:p>
        </w:tc>
      </w:tr>
      <w:tr>
        <w:tc>
          <w:tcPr/>
          <w:p>
            <w:pPr>
              <w:pStyle w:val="Compact"/>
              <w:jc w:val="left"/>
            </w:pPr>
            <w:r>
              <w:t xml:space="preserve">9</w:t>
            </w:r>
          </w:p>
        </w:tc>
        <w:tc>
          <w:tcPr/>
          <w:p>
            <w:pPr>
              <w:pStyle w:val="Compact"/>
              <w:jc w:val="left"/>
            </w:pPr>
            <w:r>
              <w:t xml:space="preserve">Nathan Phillips Square</w:t>
            </w:r>
          </w:p>
        </w:tc>
        <w:tc>
          <w:tcPr/>
          <w:p>
            <w:pPr>
              <w:pStyle w:val="Compact"/>
              <w:jc w:val="left"/>
            </w:pPr>
            <w:r>
              <w:t xml:space="preserve">30</w:t>
            </w:r>
          </w:p>
        </w:tc>
        <w:tc>
          <w:tcPr/>
          <w:p>
            <w:pPr>
              <w:pStyle w:val="Compact"/>
              <w:jc w:val="left"/>
            </w:pPr>
            <w:r>
              <w:t xml:space="preserve">0.7%</w:t>
            </w:r>
          </w:p>
        </w:tc>
        <w:tc>
          <w:tcPr/>
          <w:p>
            <w:pPr>
              <w:pStyle w:val="Compact"/>
              <w:jc w:val="left"/>
            </w:pPr>
            <w:r>
              <w:t xml:space="preserve">City venue</w:t>
            </w:r>
          </w:p>
        </w:tc>
      </w:tr>
      <w:tr>
        <w:tc>
          <w:tcPr/>
          <w:p>
            <w:pPr>
              <w:pStyle w:val="Compact"/>
              <w:jc w:val="left"/>
            </w:pPr>
            <w:r>
              <w:t xml:space="preserve">10</w:t>
            </w:r>
          </w:p>
        </w:tc>
        <w:tc>
          <w:tcPr/>
          <w:p>
            <w:pPr>
              <w:pStyle w:val="Compact"/>
              <w:jc w:val="left"/>
            </w:pPr>
            <w:r>
              <w:t xml:space="preserve">Massey Hall</w:t>
            </w:r>
          </w:p>
        </w:tc>
        <w:tc>
          <w:tcPr/>
          <w:p>
            <w:pPr>
              <w:pStyle w:val="Compact"/>
              <w:jc w:val="left"/>
            </w:pPr>
            <w:r>
              <w:t xml:space="preserve">21</w:t>
            </w:r>
          </w:p>
        </w:tc>
        <w:tc>
          <w:tcPr/>
          <w:p>
            <w:pPr>
              <w:pStyle w:val="Compact"/>
              <w:jc w:val="left"/>
            </w:pPr>
            <w:r>
              <w:t xml:space="preserve">0.5%</w:t>
            </w:r>
          </w:p>
        </w:tc>
        <w:tc>
          <w:tcPr/>
          <w:p>
            <w:pPr>
              <w:pStyle w:val="Compact"/>
              <w:jc w:val="left"/>
            </w:pPr>
            <w:r>
              <w:t xml:space="preserve">Concert venue</w:t>
            </w:r>
          </w:p>
        </w:tc>
      </w:tr>
      <w:tr>
        <w:tc>
          <w:tcPr/>
          <w:p>
            <w:pPr>
              <w:pStyle w:val="Compact"/>
              <w:jc w:val="left"/>
            </w:pPr>
            <w:r>
              <w:t xml:space="preserve">—</w:t>
            </w:r>
          </w:p>
        </w:tc>
        <w:tc>
          <w:tcPr/>
          <w:p>
            <w:pPr>
              <w:pStyle w:val="Compact"/>
              <w:jc w:val="left"/>
            </w:pPr>
            <w:r>
              <w:t xml:space="preserve">All other sources (~20)</w:t>
            </w:r>
          </w:p>
        </w:tc>
        <w:tc>
          <w:tcPr/>
          <w:p>
            <w:pPr>
              <w:pStyle w:val="Compact"/>
              <w:jc w:val="left"/>
            </w:pPr>
            <w:r>
              <w:t xml:space="preserve">168</w:t>
            </w:r>
          </w:p>
        </w:tc>
        <w:tc>
          <w:tcPr/>
          <w:p>
            <w:pPr>
              <w:pStyle w:val="Compact"/>
              <w:jc w:val="left"/>
            </w:pPr>
            <w:r>
              <w:t xml:space="preserve">3.8%</w:t>
            </w:r>
          </w:p>
        </w:tc>
        <w:tc>
          <w:tcPr/>
          <w:p>
            <w:pPr>
              <w:pStyle w:val="Compact"/>
              <w:jc w:val="left"/>
            </w:pPr>
            <w:r>
              <w:t xml:space="preserve">Various</w:t>
            </w:r>
          </w:p>
        </w:tc>
      </w:tr>
      <w:tr>
        <w:tc>
          <w:tcPr/>
          <w:p>
            <w:pPr>
              <w:pStyle w:val="Compact"/>
              <w:jc w:val="left"/>
            </w:pPr>
            <w:r>
              <w:rPr>
                <w:bCs/>
                <w:b/>
              </w:rPr>
              <w:t xml:space="preserve">Total</w:t>
            </w:r>
          </w:p>
        </w:tc>
        <w:tc>
          <w:tcPr/>
          <w:p>
            <w:pPr>
              <w:pStyle w:val="Compact"/>
              <w:jc w:val="left"/>
            </w:pPr>
            <w:r>
              <w:rPr>
                <w:bCs/>
                <w:b/>
              </w:rPr>
              <w:t xml:space="preserve">30+ sources</w:t>
            </w:r>
          </w:p>
        </w:tc>
        <w:tc>
          <w:tcPr/>
          <w:p>
            <w:pPr>
              <w:pStyle w:val="Compact"/>
              <w:jc w:val="left"/>
            </w:pPr>
            <w:r>
              <w:rPr>
                <w:bCs/>
                <w:b/>
              </w:rPr>
              <w:t xml:space="preserve">4,422</w:t>
            </w:r>
          </w:p>
        </w:tc>
        <w:tc>
          <w:tcPr/>
          <w:p>
            <w:pPr>
              <w:pStyle w:val="Compact"/>
              <w:jc w:val="left"/>
            </w:pPr>
            <w:r>
              <w:rPr>
                <w:bCs/>
                <w:b/>
              </w:rPr>
              <w:t xml:space="preserve">100%</w:t>
            </w:r>
          </w:p>
        </w:tc>
        <w:tc>
          <w:tcPr/>
          <w:p>
            <w:pPr>
              <w:pStyle w:val="Compact"/>
            </w:pPr>
          </w:p>
        </w:tc>
      </w:tr>
    </w:tbl>
    <w:p>
      <w:pPr>
        <w:pStyle w:val="BodyText"/>
      </w:pPr>
      <w:r>
        <w:rPr>
          <w:bCs/>
          <w:b/>
        </w:rPr>
        <w:t xml:space="preserve">Table: Source attribution for the live events.json dataset, ranked by event count. NOW Toronto supplies nearly half of all events.</w:t>
      </w:r>
    </w:p>
    <w:p>
      <w:pPr>
        <w:pStyle w:val="BodyText"/>
      </w:pPr>
      <w:r>
        <w:t xml:space="preserve">This concentration creates a structural dependency risk. If NOW Toronto changes its HTML layout, introduces anti-scraping measures, or ceases publication, the site would lose nearly half its event inventory in a single day. The 4-level fallback chain in the fetch interceptor is designed for file-delivery resilience, not for source-diversity resilience. There is no automated health check that monitors per-source yield; a scraper could silently return zero events for days without triggering any alert, because the total event count would still remain high thanks to the dominant NOW Toronto feed.</w:t>
      </w:r>
    </w:p>
    <w:bookmarkEnd w:id="33"/>
    <w:bookmarkStart w:id="34" w:name="X6adf1f41cc0891f1558d2d126a12724d8751865"/>
    <w:p>
      <w:pPr>
        <w:pStyle w:val="Heading3"/>
      </w:pPr>
      <w:r>
        <w:t xml:space="preserve">1.3.2 Twenty-Plus Scrapers Without Unified Source Weighting or Freshness Scoring</w:t>
      </w:r>
    </w:p>
    <w:p>
      <w:pPr>
        <w:pStyle w:val="FirstParagraph"/>
      </w:pPr>
      <w:r>
        <w:t xml:space="preserve">The</w:t>
      </w:r>
      <w:r>
        <w:t xml:space="preserve"> </w:t>
      </w:r>
      <w:r>
        <w:rPr>
          <w:rStyle w:val="VerbatimChar"/>
        </w:rPr>
        <w:t xml:space="preserve">tools/scrapers/</w:t>
      </w:r>
      <w:r>
        <w:t xml:space="preserve"> </w:t>
      </w:r>
      <w:r>
        <w:t xml:space="preserve">directory contains more than 20 individual scraper modules, but they operate as independent scripts with no shared scoring framework</w:t>
      </w:r>
      <w:r>
        <w:t xml:space="preserve"> </w:t>
      </w:r>
      <w:r>
        <w:rPr>
          <w:vertAlign w:val="superscript"/>
        </w:rPr>
        <w:footnoteReference w:id="25"/>
      </w:r>
      <w:r>
        <w:t xml:space="preserve">. Each scraper is responsible for its own HTTP requests, HTML parsing, and output normalization, which means that source reliability, update frequency, and data freshness vary significantly across the pipeline. An event from Eventbrite (which updates in real time as tickets sell) and an event from a quarterly festival listing both receive the same</w:t>
      </w:r>
      <w:r>
        <w:t xml:space="preserve"> </w:t>
      </w:r>
      <w:r>
        <w:rPr>
          <w:rStyle w:val="VerbatimChar"/>
        </w:rPr>
        <w:t xml:space="preserve">last_updated</w:t>
      </w:r>
      <w:r>
        <w:t xml:space="preserve"> </w:t>
      </w:r>
      <w:r>
        <w:t xml:space="preserve">timestamp reflecting the scrape run time, not the source’s own freshness</w:t>
      </w:r>
      <w:r>
        <w:t xml:space="preserve"> </w:t>
      </w:r>
      <w:r>
        <w:rPr>
          <w:vertAlign w:val="superscript"/>
        </w:rPr>
        <w:footnoteReference w:id="26"/>
      </w:r>
      <w:r>
        <w:t xml:space="preserve">.</w:t>
      </w:r>
    </w:p>
    <w:p>
      <w:pPr>
        <w:pStyle w:val="BodyText"/>
      </w:pPr>
      <w:r>
        <w:t xml:space="preserve">There is also no source weighting mechanism to prioritize high-quality feeds. NOW Toronto’s dominance is an emergent property of its high event volume, not a deliberate editorial decision. The deduplication logic uses a simple normalized-title-plus-date key, which means that if two sources list the same event with slightly different titles, both versions may persist in the dataset</w:t>
      </w:r>
      <w:r>
        <w:t xml:space="preserve"> </w:t>
      </w:r>
      <w:r>
        <w:rPr>
          <w:vertAlign w:val="superscript"/>
        </w:rPr>
        <w:footnoteReference w:id="27"/>
      </w:r>
      <w:r>
        <w:t xml:space="preserve">. The SQL database’s duplicate-finder routine attempts to address this, but because that database is disconnected from the live site, those deduplication benefits never reach end users.</w:t>
      </w:r>
    </w:p>
    <w:p>
      <w:pPr>
        <w:pStyle w:val="BodyText"/>
      </w:pPr>
      <w:r>
        <w:t xml:space="preserve">The absence of freshness scoring is equally consequential. Every event carries a</w:t>
      </w:r>
      <w:r>
        <w:t xml:space="preserve"> </w:t>
      </w:r>
      <w:r>
        <w:rPr>
          <w:rStyle w:val="VerbatimChar"/>
        </w:rPr>
        <w:t xml:space="preserve">last_updated</w:t>
      </w:r>
      <w:r>
        <w:t xml:space="preserve"> </w:t>
      </w:r>
      <w:r>
        <w:t xml:space="preserve">field, but this timestamp reflects when the scraper ran, not when the source page was last modified</w:t>
      </w:r>
      <w:r>
        <w:t xml:space="preserve"> </w:t>
      </w:r>
      <w:r>
        <w:rPr>
          <w:vertAlign w:val="superscript"/>
        </w:rPr>
        <w:footnoteReference w:id="28"/>
      </w:r>
      <w:r>
        <w:t xml:space="preserve">. An event that was canceled on Eventbrite three days ago would still show as</w:t>
      </w:r>
      <w:r>
        <w:t xml:space="preserve"> </w:t>
      </w:r>
      <w:r>
        <w:t xml:space="preserve">“</w:t>
      </w:r>
      <w:r>
        <w:t xml:space="preserve">upcoming</w:t>
      </w:r>
      <w:r>
        <w:t xml:space="preserve">”</w:t>
      </w:r>
      <w:r>
        <w:t xml:space="preserve"> </w:t>
      </w:r>
      <w:r>
        <w:t xml:space="preserve">with a recent</w:t>
      </w:r>
      <w:r>
        <w:t xml:space="preserve"> </w:t>
      </w:r>
      <w:r>
        <w:rPr>
          <w:rStyle w:val="VerbatimChar"/>
        </w:rPr>
        <w:t xml:space="preserve">last_updated</w:t>
      </w:r>
      <w:r>
        <w:t xml:space="preserve"> </w:t>
      </w:r>
      <w:r>
        <w:t xml:space="preserve">timestamp if the scraper has not yet detected the status change. Without per-source health monitoring, automated stale-event pruning, or user-facing freshness indicators, the site has no systematic defense against stale or phantom listings. These gaps in the ingestion layer compound the limitations of the static-file architecture: not only is the dataset delivered as a monolithic blob, but the blob itself lacks source-level quality telemetry that would help users assess the reliability of individual listings.</w:t>
      </w:r>
    </w:p>
    <w:p>
      <w:r>
        <w:pict>
          <v:rect style="width:0;height:1.5pt" o:hralign="center" o:hrstd="t" o:hr="t"/>
        </w:pict>
      </w:r>
    </w:p>
    <w:p>
      <w:pPr>
        <w:pStyle w:val="FirstParagraph"/>
      </w:pPr>
      <w:r>
        <w:t xml:space="preserve">The architecture audit reveals a platform that successfully automated large-scale event aggregation using minimal infrastructure — static hosting, GitHub Actions, and a flat JSON file — but that same simplicity created two disconnected data silos and a source-distribution profile heavily concentrated on a single provider. The SQL database holds 1,046 events with working deduplication logic that the live site cannot access, while the JSON file serves 4,422 events through a four-level fetch fallback chain that offers delivery resilience but no query capability. The path from here to a database-backed, quality-assured architecture requires closing the gap between these silos and introducing source-health monitoring into a pipeline that currently treats all 30+ feeds as equally reliable inputs.</w:t>
      </w:r>
      <w:r>
        <w:t xml:space="preserve"> </w:t>
      </w:r>
      <w:r>
        <w:t xml:space="preserve">## 2. Database Quality Assessment</w:t>
      </w:r>
    </w:p>
    <w:bookmarkEnd w:id="34"/>
    <w:bookmarkStart w:id="35" w:name="schema-and-structure"/>
    <w:p>
      <w:pPr>
        <w:pStyle w:val="Heading3"/>
      </w:pPr>
      <w:r>
        <w:t xml:space="preserve">2.1 Schema and Structure</w:t>
      </w:r>
    </w:p>
    <w:p>
      <w:pPr>
        <w:pStyle w:val="FirstParagraph"/>
      </w:pPr>
      <w:r>
        <w:t xml:space="preserve">The events database under audit consists of a single flat table,</w:t>
      </w:r>
      <w:r>
        <w:t xml:space="preserve"> </w:t>
      </w:r>
      <w:r>
        <w:rPr>
          <w:rStyle w:val="VerbatimChar"/>
        </w:rPr>
        <w:t xml:space="preserve">events_log</w:t>
      </w:r>
      <w:r>
        <w:t xml:space="preserve">, containing 1,046 event records distributed across 18 columns</w:t>
      </w:r>
      <w:fldSimple w:instr="NOTEREF _Ref_Footnote_1 \h \f">
        <w:r>
          <w:rPr>
            <w:vertAlign w:val="superscript"/>
          </w:rPr>
          <w:t>1</w:t>
        </w:r>
      </w:fldSimple>
      <w:r>
        <w:t xml:space="preserve">. The schema reflects a design philosophy optimized for web scraping ingestion rather than structured analytics or relational querying. Every record carries an auto-incrementing integer primary key (</w:t>
      </w:r>
      <w:r>
        <w:rPr>
          <w:rStyle w:val="VerbatimChar"/>
        </w:rPr>
        <w:t xml:space="preserve">id</w:t>
      </w:r>
      <w:r>
        <w:t xml:space="preserve">) alongside an MD5-hashed unique identifier (</w:t>
      </w:r>
      <w:r>
        <w:rPr>
          <w:rStyle w:val="VerbatimChar"/>
        </w:rPr>
        <w:t xml:space="preserve">event_id</w:t>
      </w:r>
      <w:r>
        <w:t xml:space="preserve">), ensuring row-level distinguishability even when other fields overlap</w:t>
      </w:r>
      <w:fldSimple w:instr="NOTEREF _Ref_Footnote_1 \h \f">
        <w:r>
          <w:rPr>
            <w:vertAlign w:val="superscript"/>
          </w:rPr>
          <w:t>1</w:t>
        </w:r>
      </w:fldSimple>
      <w:r>
        <w:t xml:space="preserve">. The remaining columns capture event metadata: title, event date, location, source platform, URL, host or organizer name, price information (both textual and numeric), a free-event boolean flag, description, categories and tags (both stored as JSON arrays), a status field, and timestamp tracking for creation and last update</w:t>
      </w:r>
      <w:fldSimple w:instr="NOTEREF _Ref_Footnote_1 \h \f">
        <w:r>
          <w:rPr>
            <w:vertAlign w:val="superscript"/>
          </w:rPr>
          <w:t>1</w:t>
        </w:r>
      </w:fldSimple>
      <w:r>
        <w:t xml:space="preserve">.</w:t>
      </w:r>
    </w:p>
    <w:p>
      <w:pPr>
        <w:pStyle w:val="BodyText"/>
      </w:pPr>
      <w:r>
        <w:t xml:space="preserve">The architectural implications of this flat structure merit attention. The absence of foreign keys, normalized reference tables, or established relationships means that every categorical value — source platform, category label, host name — is stored as repeated inline strings rather than normalized IDs</w:t>
      </w:r>
      <w:fldSimple w:instr="NOTEREF _Ref_Footnote_1 \h \f">
        <w:r>
          <w:rPr>
            <w:vertAlign w:val="superscript"/>
          </w:rPr>
          <w:t>1</w:t>
        </w:r>
      </w:fldSimple>
      <w:r>
        <w:t xml:space="preserve">. This denormalization simplifies ingestion pipelines since scraped records can be inserted atomically without referential integrity checks. However, it introduces significant downstream costs: category labels cannot be enforced against a controlled vocabulary, source names may drift in spelling or formatting over time, and any taxonomy restructuring requires bulk updates across the entire table. For a dataset intended to power event discovery or competitive intelligence, this schema represents a foundational constraint on query flexibility and data governance maturity.</w:t>
      </w:r>
    </w:p>
    <w:p>
      <w:pPr>
        <w:pStyle w:val="BodyText"/>
      </w:pPr>
      <w:r>
        <w:t xml:space="preserve">The column typing reveals additional design trade-offs. Price information is split across three fields — a textual</w:t>
      </w:r>
      <w:r>
        <w:t xml:space="preserve"> </w:t>
      </w:r>
      <w:r>
        <w:rPr>
          <w:rStyle w:val="VerbatimChar"/>
        </w:rPr>
        <w:t xml:space="preserve">price</w:t>
      </w:r>
      <w:r>
        <w:t xml:space="preserve"> </w:t>
      </w:r>
      <w:r>
        <w:t xml:space="preserve">column (VARCHAR), a parsed numeric</w:t>
      </w:r>
      <w:r>
        <w:t xml:space="preserve"> </w:t>
      </w:r>
      <w:r>
        <w:rPr>
          <w:rStyle w:val="VerbatimChar"/>
        </w:rPr>
        <w:t xml:space="preserve">price_amount</w:t>
      </w:r>
      <w:r>
        <w:t xml:space="preserve"> </w:t>
      </w:r>
      <w:r>
        <w:t xml:space="preserve">(DECIMAL), and a boolean</w:t>
      </w:r>
      <w:r>
        <w:t xml:space="preserve"> </w:t>
      </w:r>
      <w:r>
        <w:rPr>
          <w:rStyle w:val="VerbatimChar"/>
        </w:rPr>
        <w:t xml:space="preserve">is_free</w:t>
      </w:r>
      <w:r>
        <w:t xml:space="preserve"> </w:t>
      </w:r>
      <w:r>
        <w:t xml:space="preserve">flag — yet no cross-field validation appears to enforce consistency among them</w:t>
      </w:r>
      <w:fldSimple w:instr="NOTEREF _Ref_Footnote_1 \h \f">
        <w:r>
          <w:rPr>
            <w:vertAlign w:val="superscript"/>
          </w:rPr>
          <w:t>1</w:t>
        </w:r>
      </w:fldSimple>
      <w:r>
        <w:t xml:space="preserve">. Categories and tags are both stored as TEXT columns containing JSON arrays, which means analytical queries must parse JSON at runtime rather than joining against indexed category tables</w:t>
      </w:r>
      <w:fldSimple w:instr="NOTEREF _Ref_Footnote_1 \h \f">
        <w:r>
          <w:rPr>
            <w:vertAlign w:val="superscript"/>
          </w:rPr>
          <w:t>1</w:t>
        </w:r>
      </w:fldSimple>
      <w:r>
        <w:t xml:space="preserve">. The</w:t>
      </w:r>
      <w:r>
        <w:t xml:space="preserve"> </w:t>
      </w:r>
      <w:r>
        <w:rPr>
          <w:rStyle w:val="VerbatimChar"/>
        </w:rPr>
        <w:t xml:space="preserve">status</w:t>
      </w:r>
      <w:r>
        <w:t xml:space="preserve"> </w:t>
      </w:r>
      <w:r>
        <w:t xml:space="preserve">field, despite being present in all 1,046 records, holds the single value</w:t>
      </w:r>
      <w:r>
        <w:t xml:space="preserve"> </w:t>
      </w:r>
      <w:r>
        <w:t xml:space="preserve">“</w:t>
      </w:r>
      <w:r>
        <w:t xml:space="preserve">UPCOMING</w:t>
      </w:r>
      <w:r>
        <w:t xml:space="preserve">”</w:t>
      </w:r>
      <w:r>
        <w:t xml:space="preserve"> </w:t>
      </w:r>
      <w:r>
        <w:t xml:space="preserve">universally — including for events whose dates have long since passed</w:t>
      </w:r>
      <w:fldSimple w:instr="NOTEREF _Ref_Footnote_1 \h \f">
        <w:r>
          <w:rPr>
            <w:vertAlign w:val="superscript"/>
          </w:rPr>
          <w:t>1</w:t>
        </w:r>
      </w:fldSimple>
      <w:r>
        <w:t xml:space="preserve">. This suggests the field functions as a static import label rather than a dynamically maintained event state.</w:t>
      </w:r>
    </w:p>
    <w:bookmarkEnd w:id="35"/>
    <w:bookmarkStart w:id="36" w:name="data-freshness-analysis"/>
    <w:p>
      <w:pPr>
        <w:pStyle w:val="Heading3"/>
      </w:pPr>
      <w:r>
        <w:t xml:space="preserve">2.2 Data Freshness Analysis</w:t>
      </w:r>
    </w:p>
    <w:p>
      <w:pPr>
        <w:pStyle w:val="FirstParagraph"/>
      </w:pPr>
      <w:r>
        <w:t xml:space="preserve">The temporal profile of the database reveals a dataset heavily skewed toward historical rather than actionable content. Of the 1,046 total events, 819 (78.3%) carry dates before the assessment reference point of April 26, 2026, while only 227 (21.7%) represent upcoming events</w:t>
      </w:r>
      <w:fldSimple w:instr="NOTEREF _Ref_Footnote_1 \h \f">
        <w:r>
          <w:rPr>
            <w:vertAlign w:val="superscript"/>
          </w:rPr>
          <w:t>1</w:t>
        </w:r>
      </w:fldSimple>
      <w:r>
        <w:t xml:space="preserve">. This four-to-one ratio of past-to-future events indicates that the database functions more as an archival accumulation than as a live events calendar. For any operational use case — whether consumer-facing event discovery, competitive monitoring, or market analysis — a 78.3% stale content ratio implies that filtering and recency ranking become mandatory preprocessing steps before the data can deliver value.</w:t>
      </w:r>
    </w:p>
    <w:p>
      <w:pPr>
        <w:pStyle w:val="BodyText"/>
      </w:pPr>
      <w:r>
        <w:t xml:space="preserve">The freshness concerns extend beyond the event dates themselves to the data collection methodology. All 1,046 records were created between February 2, 2026 and February 21, 2026, a concentrated 19-day import window that points to a single bulk scraping operation rather than ongoing incremental ingestion</w:t>
      </w:r>
      <w:fldSimple w:instr="NOTEREF _Ref_Footnote_1 \h \f">
        <w:r>
          <w:rPr>
            <w:vertAlign w:val="superscript"/>
          </w:rPr>
          <w:t>1</w:t>
        </w:r>
      </w:fldSimple>
      <w:r>
        <w:t xml:space="preserve">. The</w:t>
      </w:r>
      <w:r>
        <w:t xml:space="preserve"> </w:t>
      </w:r>
      <w:r>
        <w:rPr>
          <w:rStyle w:val="VerbatimChar"/>
        </w:rPr>
        <w:t xml:space="preserve">last_updated</w:t>
      </w:r>
      <w:r>
        <w:t xml:space="preserve"> </w:t>
      </w:r>
      <w:r>
        <w:t xml:space="preserve">timestamps fall within a nearly identical range (February 7 through February 21, 2026), confirming that no record has been refreshed, modified, or augmented in the approximately two months since initial import</w:t>
      </w:r>
      <w:fldSimple w:instr="NOTEREF _Ref_Footnote_1 \h \f">
        <w:r>
          <w:rPr>
            <w:vertAlign w:val="superscript"/>
          </w:rPr>
          <w:t>1</w:t>
        </w:r>
      </w:fldSimple>
      <w:r>
        <w:t xml:space="preserve">. For an events dataset, where cancellations, venue changes, and ticket availability shifts are routine, a 60+ day update gap represents a material degradation in data reliability. Events imported in mid-February that were scheduled for April, May, or June 2026 may have experienced status changes that the database does not reflect.</w:t>
      </w:r>
    </w:p>
    <w:p>
      <w:pPr>
        <w:pStyle w:val="BodyText"/>
      </w:pPr>
      <w:r>
        <w:t xml:space="preserve">The date range itself spans from May 1, 2022 to December 31, 2026 — an unusually wide 4.7-year window for a single events table</w:t>
      </w:r>
      <w:fldSimple w:instr="NOTEREF _Ref_Footnote_1 \h \f">
        <w:r>
          <w:rPr>
            <w:vertAlign w:val="superscript"/>
          </w:rPr>
          <w:t>1</w:t>
        </w:r>
      </w:fldSimple>
      <w:r>
        <w:t xml:space="preserve">. Three events sit at the extreme margins: one event dated May 2022 (</w:t>
      </w:r>
      <w:r>
        <w:t xml:space="preserve">“</w:t>
      </w:r>
      <w:r>
        <w:t xml:space="preserve">Memory Work</w:t>
      </w:r>
      <w:r>
        <w:t xml:space="preserve">”</w:t>
      </w:r>
      <w:r>
        <w:t xml:space="preserve">) and two additional events from 2025, all of which appear to be anomalous remnants of either test data, mislabeled records, or stale scraping artifacts</w:t>
      </w:r>
      <w:fldSimple w:instr="NOTEREF _Ref_Footnote_1 \h \f">
        <w:r>
          <w:rPr>
            <w:vertAlign w:val="superscript"/>
          </w:rPr>
          <w:t>1</w:t>
        </w:r>
      </w:fldSimple>
      <w:r>
        <w:t xml:space="preserve">. These outlier records, while small in absolute count, signal insufficient date validation at the ingestion boundary. A robust pipeline would flag events older than a defined lookback threshold — typically 30 to 90 days for event discovery platforms — for manual review or automatic exclusion.</w:t>
      </w:r>
    </w:p>
    <w:p>
      <w:pPr>
        <w:pStyle w:val="BodyText"/>
      </w:pPr>
      <w:r>
        <w:t xml:space="preserve">The combination of 78.3% past events, a two-month update gap, and 2022-era anomalies produces a freshness assessment of moderate-to-poor for operational deployment. The data may retain analytical value for historical trend analysis — examining seasonal patterns, category popularity trajectories, or source coverage evolution — but users seeking current event information would encounter significant disappointment. The database would benefit from an aggressive archival policy: migrating events more than 30 days past their date to a separate historical table, implementing automated daily re-scraping for upcoming events, and adding date-validation gates to the ingestion pipeline.</w:t>
      </w:r>
    </w:p>
    <w:bookmarkEnd w:id="36"/>
    <w:bookmarkStart w:id="37" w:name="completeness-and-accuracy"/>
    <w:p>
      <w:pPr>
        <w:pStyle w:val="Heading3"/>
      </w:pPr>
      <w:r>
        <w:t xml:space="preserve">2.3 Completeness and Accuracy</w:t>
      </w:r>
    </w:p>
    <w:p>
      <w:pPr>
        <w:pStyle w:val="FirstParagraph"/>
      </w:pPr>
      <w:r>
        <w:t xml:space="preserve">Field-level completeness analysis reveals a sharply bimodal distribution: structural and ingestion-metadata fields are universally populated, while content fields critical to user experience exhibit substantial gaps. Table 1 presents the completeness matrix for all 18 columns.</w:t>
      </w:r>
    </w:p>
    <w:p>
      <w:pPr>
        <w:pStyle w:val="BodyText"/>
      </w:pPr>
      <w:r>
        <w:rPr>
          <w:bCs/>
          <w:b/>
        </w:rPr>
        <w:t xml:space="preserve">Table 1: Field Completeness Matrix (n = 1,046 events)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center"/>
            </w:pPr>
            <w:r>
              <w:t xml:space="preserve">Filled Count</w:t>
            </w:r>
          </w:p>
        </w:tc>
        <w:tc>
          <w:tcPr/>
          <w:p>
            <w:pPr>
              <w:pStyle w:val="Compact"/>
              <w:jc w:val="center"/>
            </w:pPr>
            <w:r>
              <w:t xml:space="preserve">% Complete</w:t>
            </w:r>
          </w:p>
        </w:tc>
        <w:tc>
          <w:tcPr/>
          <w:p>
            <w:pPr>
              <w:pStyle w:val="Compact"/>
              <w:jc w:val="center"/>
            </w:pPr>
            <w:r>
              <w:t xml:space="preserve">Quality Grade</w:t>
            </w:r>
          </w:p>
        </w:tc>
      </w:tr>
      <w:tr>
        <w:tc>
          <w:tcPr/>
          <w:p>
            <w:pPr>
              <w:pStyle w:val="Compact"/>
              <w:jc w:val="left"/>
            </w:pPr>
            <w:r>
              <w:t xml:space="preserve">id</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event_id</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pull_id</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title</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event_date</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location</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source</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url</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price</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price_amount</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is_free</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categories</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status</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last_updated</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created_at</w:t>
            </w:r>
          </w:p>
        </w:tc>
        <w:tc>
          <w:tcPr/>
          <w:p>
            <w:pPr>
              <w:pStyle w:val="Compact"/>
              <w:jc w:val="center"/>
            </w:pPr>
            <w:r>
              <w:t xml:space="preserve">1,046</w:t>
            </w:r>
          </w:p>
        </w:tc>
        <w:tc>
          <w:tcPr/>
          <w:p>
            <w:pPr>
              <w:pStyle w:val="Compact"/>
              <w:jc w:val="center"/>
            </w:pPr>
            <w:r>
              <w:t xml:space="preserve">100.0%</w:t>
            </w:r>
          </w:p>
        </w:tc>
        <w:tc>
          <w:tcPr/>
          <w:p>
            <w:pPr>
              <w:pStyle w:val="Compact"/>
              <w:jc w:val="center"/>
            </w:pPr>
            <w:r>
              <w:t xml:space="preserve">A+</w:t>
            </w:r>
          </w:p>
        </w:tc>
      </w:tr>
      <w:tr>
        <w:tc>
          <w:tcPr/>
          <w:p>
            <w:pPr>
              <w:pStyle w:val="Compact"/>
              <w:jc w:val="left"/>
            </w:pPr>
            <w:r>
              <w:t xml:space="preserve">tags</w:t>
            </w:r>
          </w:p>
        </w:tc>
        <w:tc>
          <w:tcPr/>
          <w:p>
            <w:pPr>
              <w:pStyle w:val="Compact"/>
              <w:jc w:val="center"/>
            </w:pPr>
            <w:r>
              <w:t xml:space="preserve">1,044</w:t>
            </w:r>
          </w:p>
        </w:tc>
        <w:tc>
          <w:tcPr/>
          <w:p>
            <w:pPr>
              <w:pStyle w:val="Compact"/>
              <w:jc w:val="center"/>
            </w:pPr>
            <w:r>
              <w:t xml:space="preserve">99.81%</w:t>
            </w:r>
          </w:p>
        </w:tc>
        <w:tc>
          <w:tcPr/>
          <w:p>
            <w:pPr>
              <w:pStyle w:val="Compact"/>
              <w:jc w:val="center"/>
            </w:pPr>
            <w:r>
              <w:t xml:space="preserve">A</w:t>
            </w:r>
          </w:p>
        </w:tc>
      </w:tr>
      <w:tr>
        <w:tc>
          <w:tcPr/>
          <w:p>
            <w:pPr>
              <w:pStyle w:val="Compact"/>
              <w:jc w:val="left"/>
            </w:pPr>
            <w:r>
              <w:t xml:space="preserve">host</w:t>
            </w:r>
          </w:p>
        </w:tc>
        <w:tc>
          <w:tcPr/>
          <w:p>
            <w:pPr>
              <w:pStyle w:val="Compact"/>
              <w:jc w:val="center"/>
            </w:pPr>
            <w:r>
              <w:t xml:space="preserve">1,041</w:t>
            </w:r>
          </w:p>
        </w:tc>
        <w:tc>
          <w:tcPr/>
          <w:p>
            <w:pPr>
              <w:pStyle w:val="Compact"/>
              <w:jc w:val="center"/>
            </w:pPr>
            <w:r>
              <w:t xml:space="preserve">99.52%</w:t>
            </w:r>
          </w:p>
        </w:tc>
        <w:tc>
          <w:tcPr/>
          <w:p>
            <w:pPr>
              <w:pStyle w:val="Compact"/>
              <w:jc w:val="center"/>
            </w:pPr>
            <w:r>
              <w:t xml:space="preserve">A</w:t>
            </w:r>
          </w:p>
        </w:tc>
      </w:tr>
      <w:tr>
        <w:tc>
          <w:tcPr/>
          <w:p>
            <w:pPr>
              <w:pStyle w:val="Compact"/>
              <w:jc w:val="left"/>
            </w:pPr>
            <w:r>
              <w:rPr>
                <w:bCs/>
                <w:b/>
              </w:rPr>
              <w:t xml:space="preserve">description</w:t>
            </w:r>
          </w:p>
        </w:tc>
        <w:tc>
          <w:tcPr/>
          <w:p>
            <w:pPr>
              <w:pStyle w:val="Compact"/>
              <w:jc w:val="center"/>
            </w:pPr>
            <w:r>
              <w:rPr>
                <w:bCs/>
                <w:b/>
              </w:rPr>
              <w:t xml:space="preserve">483</w:t>
            </w:r>
          </w:p>
        </w:tc>
        <w:tc>
          <w:tcPr/>
          <w:p>
            <w:pPr>
              <w:pStyle w:val="Compact"/>
              <w:jc w:val="center"/>
            </w:pPr>
            <w:r>
              <w:rPr>
                <w:bCs/>
                <w:b/>
              </w:rPr>
              <w:t xml:space="preserve">46.18%</w:t>
            </w:r>
          </w:p>
        </w:tc>
        <w:tc>
          <w:tcPr/>
          <w:p>
            <w:pPr>
              <w:pStyle w:val="Compact"/>
              <w:jc w:val="center"/>
            </w:pPr>
            <w:r>
              <w:rPr>
                <w:bCs/>
                <w:b/>
              </w:rPr>
              <w:t xml:space="preserve">F</w:t>
            </w:r>
          </w:p>
        </w:tc>
      </w:tr>
    </w:tbl>
    <w:p>
      <w:pPr>
        <w:pStyle w:val="BodyText"/>
      </w:pPr>
      <w:r>
        <w:t xml:space="preserve">The pattern is unmistakable: fourteen of eighteen columns achieve 100% population because they are either auto-generated (id, event_id, timestamps, pull_id) or mandatory ingestion targets (title, event_date, location, source, url, price fields, categories, status)</w:t>
      </w:r>
      <w:fldSimple w:instr="NOTEREF _Ref_Footnote_1 \h \f">
        <w:r>
          <w:rPr>
            <w:vertAlign w:val="superscript"/>
          </w:rPr>
          <w:t>1</w:t>
        </w:r>
      </w:fldSimple>
      <w:r>
        <w:t xml:space="preserve">. Two additional fields — tags (99.81%) and host (99.52%) — show near-complete coverage with only marginal gaps</w:t>
      </w:r>
      <w:fldSimple w:instr="NOTEREF _Ref_Footnote_1 \h \f">
        <w:r>
          <w:rPr>
            <w:vertAlign w:val="superscript"/>
          </w:rPr>
          <w:t>1</w:t>
        </w:r>
      </w:fldSimple>
      <w:r>
        <w:t xml:space="preserve">. The description field, by contrast, is populated for only 483 events, leaving 563 records (53.82%) entirely devoid of descriptive content</w:t>
      </w:r>
      <w:fldSimple w:instr="NOTEREF _Ref_Footnote_1 \h \f">
        <w:r>
          <w:rPr>
            <w:vertAlign w:val="superscript"/>
          </w:rPr>
          <w:t>1</w:t>
        </w:r>
      </w:fldSimple>
      <w:r>
        <w:t xml:space="preserve">. This single field accounts for the vast majority of data quality degradation in the dataset.</w:t>
      </w:r>
    </w:p>
    <w:p>
      <w:pPr>
        <w:pStyle w:val="BodyText"/>
      </w:pPr>
      <w:r>
        <w:t xml:space="preserve">The implications of a 46.18% description completeness rate are substantial. Event descriptions serve multiple functional roles: they provide users with context to evaluate relevance, supply search engines with indexable content for organic discovery, and enable recommendation algorithms to compute semantic similarity between events. The absence of descriptions for 563 events effectively renders those records invisible to text-based search and recommendation systems. From a user experience perspective, an event listing that displays only a title, date, and location — without any explanatory text about what the event entails, who should attend, or what activities are planned — offers minimal utility for attendance decisions. The low completion rate likely reflects the scraping source architecture: some platforms expose description text in their listing pages while others require navigation to detail pages that the scraper may not have traversed.</w:t>
      </w:r>
    </w:p>
    <w:p>
      <w:pPr>
        <w:pStyle w:val="BodyText"/>
      </w:pPr>
      <w:r>
        <w:t xml:space="preserve">Price data presents a distinct category of quality issue — one of logical inconsistency rather than missing values. All 1,046 events carry both a</w:t>
      </w:r>
      <w:r>
        <w:t xml:space="preserve"> </w:t>
      </w:r>
      <w:r>
        <w:rPr>
          <w:rStyle w:val="VerbatimChar"/>
        </w:rPr>
        <w:t xml:space="preserve">price_amount</w:t>
      </w:r>
      <w:r>
        <w:t xml:space="preserve"> </w:t>
      </w:r>
      <w:r>
        <w:t xml:space="preserve">value and an</w:t>
      </w:r>
      <w:r>
        <w:t xml:space="preserve"> </w:t>
      </w:r>
      <w:r>
        <w:rPr>
          <w:rStyle w:val="VerbatimChar"/>
        </w:rPr>
        <w:t xml:space="preserve">is_free</w:t>
      </w:r>
      <w:r>
        <w:t xml:space="preserve"> </w:t>
      </w:r>
      <w:r>
        <w:t xml:space="preserve">boolean flag, yet 706 events (67.5%) have a price_amount of $0.00 while simultaneously having</w:t>
      </w:r>
      <w:r>
        <w:t xml:space="preserve"> </w:t>
      </w:r>
      <w:r>
        <w:rPr>
          <w:rStyle w:val="VerbatimChar"/>
        </w:rPr>
        <w:t xml:space="preserve">is_free</w:t>
      </w:r>
      <w:r>
        <w:t xml:space="preserve"> </w:t>
      </w:r>
      <w:r>
        <w:t xml:space="preserve">set to 0 (false)</w:t>
      </w:r>
      <w:fldSimple w:instr="NOTEREF _Ref_Footnote_1 \h \f">
        <w:r>
          <w:rPr>
            <w:vertAlign w:val="superscript"/>
          </w:rPr>
          <w:t>1</w:t>
        </w:r>
      </w:fldSimple>
      <w:r>
        <w:t xml:space="preserve">. This creates an ambiguity that propagates to any downstream system attempting to classify events by cost: should a $0 event with</w:t>
      </w:r>
      <w:r>
        <w:t xml:space="preserve"> </w:t>
      </w:r>
      <w:r>
        <w:rPr>
          <w:rStyle w:val="VerbatimChar"/>
        </w:rPr>
        <w:t xml:space="preserve">is_free=0</w:t>
      </w:r>
      <w:r>
        <w:t xml:space="preserve"> </w:t>
      </w:r>
      <w:r>
        <w:t xml:space="preserve">be treated as genuinely free, or as a paid event with missing pricing information? The 329 events (31.5%) that are correctly flagged as free (</w:t>
      </w:r>
      <w:r>
        <w:rPr>
          <w:rStyle w:val="VerbatimChar"/>
        </w:rPr>
        <w:t xml:space="preserve">is_free=1</w:t>
      </w:r>
      <w:r>
        <w:t xml:space="preserve">) represent the only unambiguous no-cost records</w:t>
      </w:r>
      <w:fldSimple w:instr="NOTEREF _Ref_Footnote_1 \h \f">
        <w:r>
          <w:rPr>
            <w:vertAlign w:val="superscript"/>
          </w:rPr>
          <w:t>1</w:t>
        </w:r>
      </w:fldSimple>
      <w:r>
        <w:t xml:space="preserve">. The remaining 717 events (68.5%) carry some combination of non-zero prices or contradictory zero-price flags that erode confidence in automated pricing displays.</w:t>
      </w:r>
    </w:p>
    <w:p>
      <w:pPr>
        <w:pStyle w:val="BodyText"/>
      </w:pPr>
      <w:r>
        <w:t xml:space="preserve">Duplicate analysis at the primary key level yields a clean result — zero duplicate</w:t>
      </w:r>
      <w:r>
        <w:t xml:space="preserve"> </w:t>
      </w:r>
      <w:r>
        <w:rPr>
          <w:rStyle w:val="VerbatimChar"/>
        </w:rPr>
        <w:t xml:space="preserve">event_id</w:t>
      </w:r>
      <w:r>
        <w:t xml:space="preserve"> </w:t>
      </w:r>
      <w:r>
        <w:t xml:space="preserve">values and zero duplicate title-date combinations, indicating that the MD5-based deduplication mechanism functioned as intended</w:t>
      </w:r>
      <w:fldSimple w:instr="NOTEREF _Ref_Footnote_1 \h \f">
        <w:r>
          <w:rPr>
            <w:vertAlign w:val="superscript"/>
          </w:rPr>
          <w:t>1</w:t>
        </w:r>
      </w:fldSimple>
      <w:r>
        <w:t xml:space="preserve">. However, URL-level duplicate analysis reveals 23 URL groups that produce 72 extra rows beyond what unique URLs would generate</w:t>
      </w:r>
      <w:fldSimple w:instr="NOTEREF _Ref_Footnote_1 \h \f">
        <w:r>
          <w:rPr>
            <w:vertAlign w:val="superscript"/>
          </w:rPr>
          <w:t>1</w:t>
        </w:r>
      </w:fldSimple>
      <w:r>
        <w:t xml:space="preserve">. The largest offender is a Toronto city venue booking page (</w:t>
      </w:r>
      <w:r>
        <w:rPr>
          <w:rStyle w:val="VerbatimChar"/>
        </w:rPr>
        <w:t xml:space="preserve">toronto.ca/services-payments/venues-facilities-bookings/booking-city</w:t>
      </w:r>
      <w:r>
        <w:t xml:space="preserve">), which appears as the URL for 27 distinct events with different titles</w:t>
      </w:r>
      <w:fldSimple w:instr="NOTEREF _Ref_Footnote_1 \h \f">
        <w:r>
          <w:rPr>
            <w:vertAlign w:val="superscript"/>
          </w:rPr>
          <w:t>1</w:t>
        </w:r>
      </w:fldSimple>
      <w:r>
        <w:t xml:space="preserve">. Two additional generic URLs — a Notion workspace page (11 occurrences) and the NOW Toronto homepage (11 occurrences) — function as catch-all landing pages rather than event-specific detail links</w:t>
      </w:r>
      <w:fldSimple w:instr="NOTEREF _Ref_Footnote_1 \h \f">
        <w:r>
          <w:rPr>
            <w:vertAlign w:val="superscript"/>
          </w:rPr>
          <w:t>1</w:t>
        </w:r>
      </w:fldSimple>
      <w:r>
        <w:t xml:space="preserve">. These 72 rows represent 6.9% of the total dataset and point to a URL extraction heuristic that, in some source configurations, falls back to parent or index pages when individual event pages cannot be resolved. For a competitive intelligence use case where URL-level deduplication is essential, these fallback URLs introduce noise that inflates apparent event counts.</w:t>
      </w:r>
    </w:p>
    <w:bookmarkEnd w:id="37"/>
    <w:bookmarkStart w:id="44" w:name="category-and-source-distribution"/>
    <w:p>
      <w:pPr>
        <w:pStyle w:val="Heading3"/>
      </w:pPr>
      <w:r>
        <w:t xml:space="preserve">2.4 Category and Source Distribution</w:t>
      </w:r>
    </w:p>
    <w:p>
      <w:pPr>
        <w:pStyle w:val="FirstParagraph"/>
      </w:pPr>
      <w:r>
        <w:t xml:space="preserve">The categorical taxonomy of the database spans 10 distinct categories, with a heavily imbalanced distribution dominated by a single catch-all classification. Table 2 presents the full category breakdown.</w:t>
      </w:r>
    </w:p>
    <w:p>
      <w:pPr>
        <w:pStyle w:val="BodyText"/>
      </w:pPr>
      <w:r>
        <w:rPr>
          <w:bCs/>
          <w:b/>
        </w:rPr>
        <w:t xml:space="preserve">Table 2: Category Distribution Breakdown (n = 1,046 events)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center"/>
            </w:pPr>
            <w:r>
              <w:t xml:space="preserve">Event Count</w:t>
            </w:r>
          </w:p>
        </w:tc>
        <w:tc>
          <w:tcPr/>
          <w:p>
            <w:pPr>
              <w:pStyle w:val="Compact"/>
              <w:jc w:val="center"/>
            </w:pPr>
            <w:r>
              <w:t xml:space="preserve">% of Total</w:t>
            </w:r>
          </w:p>
        </w:tc>
        <w:tc>
          <w:tcPr/>
          <w:p>
            <w:pPr>
              <w:pStyle w:val="Compact"/>
              <w:jc w:val="center"/>
            </w:pPr>
            <w:r>
              <w:t xml:space="preserve">Cumulative %</w:t>
            </w:r>
          </w:p>
        </w:tc>
      </w:tr>
      <w:tr>
        <w:tc>
          <w:tcPr/>
          <w:p>
            <w:pPr>
              <w:pStyle w:val="Compact"/>
              <w:jc w:val="left"/>
            </w:pPr>
            <w:r>
              <w:t xml:space="preserve">General</w:t>
            </w:r>
          </w:p>
        </w:tc>
        <w:tc>
          <w:tcPr/>
          <w:p>
            <w:pPr>
              <w:pStyle w:val="Compact"/>
              <w:jc w:val="center"/>
            </w:pPr>
            <w:r>
              <w:t xml:space="preserve">470</w:t>
            </w:r>
          </w:p>
        </w:tc>
        <w:tc>
          <w:tcPr/>
          <w:p>
            <w:pPr>
              <w:pStyle w:val="Compact"/>
              <w:jc w:val="center"/>
            </w:pPr>
            <w:r>
              <w:t xml:space="preserve">44.9%</w:t>
            </w:r>
          </w:p>
        </w:tc>
        <w:tc>
          <w:tcPr/>
          <w:p>
            <w:pPr>
              <w:pStyle w:val="Compact"/>
              <w:jc w:val="center"/>
            </w:pPr>
            <w:r>
              <w:t xml:space="preserve">44.9%</w:t>
            </w:r>
          </w:p>
        </w:tc>
      </w:tr>
      <w:tr>
        <w:tc>
          <w:tcPr/>
          <w:p>
            <w:pPr>
              <w:pStyle w:val="Compact"/>
              <w:jc w:val="left"/>
            </w:pPr>
            <w:r>
              <w:t xml:space="preserve">Arts</w:t>
            </w:r>
          </w:p>
        </w:tc>
        <w:tc>
          <w:tcPr/>
          <w:p>
            <w:pPr>
              <w:pStyle w:val="Compact"/>
              <w:jc w:val="center"/>
            </w:pPr>
            <w:r>
              <w:t xml:space="preserve">209</w:t>
            </w:r>
          </w:p>
        </w:tc>
        <w:tc>
          <w:tcPr/>
          <w:p>
            <w:pPr>
              <w:pStyle w:val="Compact"/>
              <w:jc w:val="center"/>
            </w:pPr>
            <w:r>
              <w:t xml:space="preserve">20.0%</w:t>
            </w:r>
          </w:p>
        </w:tc>
        <w:tc>
          <w:tcPr/>
          <w:p>
            <w:pPr>
              <w:pStyle w:val="Compact"/>
              <w:jc w:val="center"/>
            </w:pPr>
            <w:r>
              <w:t xml:space="preserve">64.9%</w:t>
            </w:r>
          </w:p>
        </w:tc>
      </w:tr>
      <w:tr>
        <w:tc>
          <w:tcPr/>
          <w:p>
            <w:pPr>
              <w:pStyle w:val="Compact"/>
              <w:jc w:val="left"/>
            </w:pPr>
            <w:r>
              <w:t xml:space="preserve">Business</w:t>
            </w:r>
          </w:p>
        </w:tc>
        <w:tc>
          <w:tcPr/>
          <w:p>
            <w:pPr>
              <w:pStyle w:val="Compact"/>
              <w:jc w:val="center"/>
            </w:pPr>
            <w:r>
              <w:t xml:space="preserve">182</w:t>
            </w:r>
          </w:p>
        </w:tc>
        <w:tc>
          <w:tcPr/>
          <w:p>
            <w:pPr>
              <w:pStyle w:val="Compact"/>
              <w:jc w:val="center"/>
            </w:pPr>
            <w:r>
              <w:t xml:space="preserve">17.4%</w:t>
            </w:r>
          </w:p>
        </w:tc>
        <w:tc>
          <w:tcPr/>
          <w:p>
            <w:pPr>
              <w:pStyle w:val="Compact"/>
              <w:jc w:val="center"/>
            </w:pPr>
            <w:r>
              <w:t xml:space="preserve">82.3%</w:t>
            </w:r>
          </w:p>
        </w:tc>
      </w:tr>
      <w:tr>
        <w:tc>
          <w:tcPr/>
          <w:p>
            <w:pPr>
              <w:pStyle w:val="Compact"/>
              <w:jc w:val="left"/>
            </w:pPr>
            <w:r>
              <w:t xml:space="preserve">Nightlife</w:t>
            </w:r>
          </w:p>
        </w:tc>
        <w:tc>
          <w:tcPr/>
          <w:p>
            <w:pPr>
              <w:pStyle w:val="Compact"/>
              <w:jc w:val="center"/>
            </w:pPr>
            <w:r>
              <w:t xml:space="preserve">130</w:t>
            </w:r>
          </w:p>
        </w:tc>
        <w:tc>
          <w:tcPr/>
          <w:p>
            <w:pPr>
              <w:pStyle w:val="Compact"/>
              <w:jc w:val="center"/>
            </w:pPr>
            <w:r>
              <w:t xml:space="preserve">12.4%</w:t>
            </w:r>
          </w:p>
        </w:tc>
        <w:tc>
          <w:tcPr/>
          <w:p>
            <w:pPr>
              <w:pStyle w:val="Compact"/>
              <w:jc w:val="center"/>
            </w:pPr>
            <w:r>
              <w:t xml:space="preserve">94.7%</w:t>
            </w:r>
          </w:p>
        </w:tc>
      </w:tr>
      <w:tr>
        <w:tc>
          <w:tcPr/>
          <w:p>
            <w:pPr>
              <w:pStyle w:val="Compact"/>
              <w:jc w:val="left"/>
            </w:pPr>
            <w:r>
              <w:t xml:space="preserve">Music</w:t>
            </w:r>
          </w:p>
        </w:tc>
        <w:tc>
          <w:tcPr/>
          <w:p>
            <w:pPr>
              <w:pStyle w:val="Compact"/>
              <w:jc w:val="center"/>
            </w:pPr>
            <w:r>
              <w:t xml:space="preserve">88</w:t>
            </w:r>
          </w:p>
        </w:tc>
        <w:tc>
          <w:tcPr/>
          <w:p>
            <w:pPr>
              <w:pStyle w:val="Compact"/>
              <w:jc w:val="center"/>
            </w:pPr>
            <w:r>
              <w:t xml:space="preserve">8.4%</w:t>
            </w:r>
          </w:p>
        </w:tc>
        <w:tc>
          <w:tcPr/>
          <w:p>
            <w:pPr>
              <w:pStyle w:val="Compact"/>
              <w:jc w:val="center"/>
            </w:pPr>
            <w:r>
              <w:t xml:space="preserve">103.2%</w:t>
            </w:r>
          </w:p>
        </w:tc>
      </w:tr>
      <w:tr>
        <w:tc>
          <w:tcPr/>
          <w:p>
            <w:pPr>
              <w:pStyle w:val="Compact"/>
              <w:jc w:val="left"/>
            </w:pPr>
            <w:r>
              <w:t xml:space="preserve">Sports</w:t>
            </w:r>
          </w:p>
        </w:tc>
        <w:tc>
          <w:tcPr/>
          <w:p>
            <w:pPr>
              <w:pStyle w:val="Compact"/>
              <w:jc w:val="center"/>
            </w:pPr>
            <w:r>
              <w:t xml:space="preserve">71</w:t>
            </w:r>
          </w:p>
        </w:tc>
        <w:tc>
          <w:tcPr/>
          <w:p>
            <w:pPr>
              <w:pStyle w:val="Compact"/>
              <w:jc w:val="center"/>
            </w:pPr>
            <w:r>
              <w:t xml:space="preserve">6.8%</w:t>
            </w:r>
          </w:p>
        </w:tc>
        <w:tc>
          <w:tcPr/>
          <w:p>
            <w:pPr>
              <w:pStyle w:val="Compact"/>
              <w:jc w:val="center"/>
            </w:pPr>
            <w:r>
              <w:t xml:space="preserve">110.0%</w:t>
            </w:r>
          </w:p>
        </w:tc>
      </w:tr>
      <w:tr>
        <w:tc>
          <w:tcPr/>
          <w:p>
            <w:pPr>
              <w:pStyle w:val="Compact"/>
              <w:jc w:val="left"/>
            </w:pPr>
            <w:r>
              <w:t xml:space="preserve">Community</w:t>
            </w:r>
          </w:p>
        </w:tc>
        <w:tc>
          <w:tcPr/>
          <w:p>
            <w:pPr>
              <w:pStyle w:val="Compact"/>
              <w:jc w:val="center"/>
            </w:pPr>
            <w:r>
              <w:t xml:space="preserve">49</w:t>
            </w:r>
          </w:p>
        </w:tc>
        <w:tc>
          <w:tcPr/>
          <w:p>
            <w:pPr>
              <w:pStyle w:val="Compact"/>
              <w:jc w:val="center"/>
            </w:pPr>
            <w:r>
              <w:t xml:space="preserve">4.7%</w:t>
            </w:r>
          </w:p>
        </w:tc>
        <w:tc>
          <w:tcPr/>
          <w:p>
            <w:pPr>
              <w:pStyle w:val="Compact"/>
              <w:jc w:val="center"/>
            </w:pPr>
            <w:r>
              <w:t xml:space="preserve">114.7%</w:t>
            </w:r>
          </w:p>
        </w:tc>
      </w:tr>
      <w:tr>
        <w:tc>
          <w:tcPr/>
          <w:p>
            <w:pPr>
              <w:pStyle w:val="Compact"/>
              <w:jc w:val="left"/>
            </w:pPr>
            <w:r>
              <w:t xml:space="preserve">Food &amp; Drink</w:t>
            </w:r>
          </w:p>
        </w:tc>
        <w:tc>
          <w:tcPr/>
          <w:p>
            <w:pPr>
              <w:pStyle w:val="Compact"/>
              <w:jc w:val="center"/>
            </w:pPr>
            <w:r>
              <w:t xml:space="preserve">41</w:t>
            </w:r>
          </w:p>
        </w:tc>
        <w:tc>
          <w:tcPr/>
          <w:p>
            <w:pPr>
              <w:pStyle w:val="Compact"/>
              <w:jc w:val="center"/>
            </w:pPr>
            <w:r>
              <w:t xml:space="preserve">3.9%</w:t>
            </w:r>
          </w:p>
        </w:tc>
        <w:tc>
          <w:tcPr/>
          <w:p>
            <w:pPr>
              <w:pStyle w:val="Compact"/>
              <w:jc w:val="center"/>
            </w:pPr>
            <w:r>
              <w:t xml:space="preserve">118.6%</w:t>
            </w:r>
          </w:p>
        </w:tc>
      </w:tr>
      <w:tr>
        <w:tc>
          <w:tcPr/>
          <w:p>
            <w:pPr>
              <w:pStyle w:val="Compact"/>
              <w:jc w:val="left"/>
            </w:pPr>
            <w:r>
              <w:t xml:space="preserve">Family</w:t>
            </w:r>
          </w:p>
        </w:tc>
        <w:tc>
          <w:tcPr/>
          <w:p>
            <w:pPr>
              <w:pStyle w:val="Compact"/>
              <w:jc w:val="center"/>
            </w:pPr>
            <w:r>
              <w:t xml:space="preserve">29</w:t>
            </w:r>
          </w:p>
        </w:tc>
        <w:tc>
          <w:tcPr/>
          <w:p>
            <w:pPr>
              <w:pStyle w:val="Compact"/>
              <w:jc w:val="center"/>
            </w:pPr>
            <w:r>
              <w:t xml:space="preserve">2.8%</w:t>
            </w:r>
          </w:p>
        </w:tc>
        <w:tc>
          <w:tcPr/>
          <w:p>
            <w:pPr>
              <w:pStyle w:val="Compact"/>
              <w:jc w:val="center"/>
            </w:pPr>
            <w:r>
              <w:t xml:space="preserve">121.5%</w:t>
            </w:r>
          </w:p>
        </w:tc>
      </w:tr>
      <w:tr>
        <w:tc>
          <w:tcPr/>
          <w:p>
            <w:pPr>
              <w:pStyle w:val="Compact"/>
              <w:jc w:val="left"/>
            </w:pPr>
            <w:r>
              <w:t xml:space="preserve">Dating</w:t>
            </w:r>
          </w:p>
        </w:tc>
        <w:tc>
          <w:tcPr/>
          <w:p>
            <w:pPr>
              <w:pStyle w:val="Compact"/>
              <w:jc w:val="center"/>
            </w:pPr>
            <w:r>
              <w:t xml:space="preserve">6</w:t>
            </w:r>
          </w:p>
        </w:tc>
        <w:tc>
          <w:tcPr/>
          <w:p>
            <w:pPr>
              <w:pStyle w:val="Compact"/>
              <w:jc w:val="center"/>
            </w:pPr>
            <w:r>
              <w:t xml:space="preserve">0.6%</w:t>
            </w:r>
          </w:p>
        </w:tc>
        <w:tc>
          <w:tcPr/>
          <w:p>
            <w:pPr>
              <w:pStyle w:val="Compact"/>
              <w:jc w:val="center"/>
            </w:pPr>
            <w:r>
              <w:t xml:space="preserve">122.1%</w:t>
            </w:r>
          </w:p>
        </w:tc>
      </w:tr>
    </w:tbl>
    <w:p>
      <w:pPr>
        <w:pStyle w:val="BodyText"/>
      </w:pPr>
      <w:r>
        <w:rPr>
          <w:iCs/>
          <w:i/>
        </w:rPr>
        <w:t xml:space="preserve">Note: Events may carry multiple category assignments; column totals exceed 100%.</w:t>
      </w:r>
    </w:p>
    <w:p>
      <w:pPr>
        <w:pStyle w:val="BodyText"/>
      </w:pPr>
      <w:r>
        <w:t xml:space="preserve">The General category’s dominance — encompassing 470 events or 44.9% of all records — suggests it functions as a default classification applied when no more specific category can be determined during ingestion</w:t>
      </w:r>
      <w:fldSimple w:instr="NOTEREF _Ref_Footnote_1 \h \f">
        <w:r>
          <w:rPr>
            <w:vertAlign w:val="superscript"/>
          </w:rPr>
          <w:t>1</w:t>
        </w:r>
      </w:fldSimple>
      <w:r>
        <w:t xml:space="preserve">. Nearly half the database carries no categorical specificity beyond this umbrella label, which limits the precision of category-based filtering, recommendation, or competitive segmentation. The Arts (209 events, 20.0%) and Business (182 events, 17.4%) categories represent the only other segments exceeding 100 records each</w:t>
      </w:r>
      <w:fldSimple w:instr="NOTEREF _Ref_Footnote_1 \h \f">
        <w:r>
          <w:rPr>
            <w:vertAlign w:val="superscript"/>
          </w:rPr>
          <w:t>1</w:t>
        </w:r>
      </w:fldSimple>
      <w:r>
        <w:t xml:space="preserve">. Together, these top three categories account for 861 assignments — approximately 82% of all categorical designations — leaving the remaining seven categories to fragment the final 18%</w:t>
      </w:r>
      <w:fldSimple w:instr="NOTEREF _Ref_Footnote_1 \h \f">
        <w:r>
          <w:rPr>
            <w:vertAlign w:val="superscript"/>
          </w:rPr>
          <w:t>1</w:t>
        </w:r>
      </w:fldSimple>
      <w:r>
        <w:t xml:space="preserve">.</w:t>
      </w:r>
    </w:p>
    <w:p>
      <w:pPr>
        <w:pStyle w:val="BodyText"/>
      </w:pPr>
      <w:r>
        <w:t xml:space="preserve">The long-tail structure becomes more pronounced below the top three. Nightlife (130 events, 12.4%) and Music (88 events, 8.4%) occupy mid-tier positions but represent less than one-fifth the volume of the General catch-all</w:t>
      </w:r>
      <w:fldSimple w:instr="NOTEREF _Ref_Footnote_1 \h \f">
        <w:r>
          <w:rPr>
            <w:vertAlign w:val="superscript"/>
          </w:rPr>
          <w:t>1</w:t>
        </w:r>
      </w:fldSimple>
      <w:r>
        <w:t xml:space="preserve">. Sports (71, 6.8%), Community (49, 4.7%), Food &amp; Drink (41, 3.9%), and Family (29, 2.8%) descend in roughly exponential fashion</w:t>
      </w:r>
      <w:fldSimple w:instr="NOTEREF _Ref_Footnote_1 \h \f">
        <w:r>
          <w:rPr>
            <w:vertAlign w:val="superscript"/>
          </w:rPr>
          <w:t>1</w:t>
        </w:r>
      </w:fldSimple>
      <w:r>
        <w:t xml:space="preserve">. The Dating category, with only 6 events (0.6%), represents a particularly notable gap given the existence of dedicated dating and singles event platforms in the Toronto market — a competitive blind spot examined in greater detail in Chapter 3</w:t>
      </w:r>
      <w:fldSimple w:instr="NOTEREF _Ref_Footnote_1 \h \f">
        <w:r>
          <w:rPr>
            <w:vertAlign w:val="superscript"/>
          </w:rPr>
          <w:t>1</w:t>
        </w:r>
      </w:fldSimple>
      <w:r>
        <w:t xml:space="preserve">.</w:t>
      </w:r>
    </w:p>
    <w:p>
      <w:pPr>
        <w:pStyle w:val="CaptionedFigure"/>
      </w:pPr>
      <w:r>
        <w:drawing>
          <wp:inline>
            <wp:extent cx="5334000" cy="3083016"/>
            <wp:effectExtent b="0" l="0" r="0" t="0"/>
            <wp:docPr descr="Event Distribution by Category" title="" id="39" name="Picture"/>
            <a:graphic>
              <a:graphicData uri="http://schemas.openxmlformats.org/drawingml/2006/picture">
                <pic:pic>
                  <pic:nvPicPr>
                    <pic:cNvPr descr="/mnt/agents/output/events_audit_chart_ch2.png" id="40" name="Picture"/>
                    <pic:cNvPicPr>
                      <a:picLocks noChangeArrowheads="1" noChangeAspect="1"/>
                    </pic:cNvPicPr>
                  </pic:nvPicPr>
                  <pic:blipFill>
                    <a:blip r:embed="rId38"/>
                    <a:stretch>
                      <a:fillRect/>
                    </a:stretch>
                  </pic:blipFill>
                  <pic:spPr bwMode="auto">
                    <a:xfrm>
                      <a:off x="0" y="0"/>
                      <a:ext cx="5334000" cy="3083016"/>
                    </a:xfrm>
                    <a:prstGeom prst="rect">
                      <a:avLst/>
                    </a:prstGeom>
                    <a:noFill/>
                    <a:ln w="9525">
                      <a:noFill/>
                      <a:headEnd/>
                      <a:tailEnd/>
                    </a:ln>
                  </pic:spPr>
                </pic:pic>
              </a:graphicData>
            </a:graphic>
          </wp:inline>
        </w:drawing>
      </w:r>
    </w:p>
    <w:p>
      <w:pPr>
        <w:pStyle w:val="ImageCaption"/>
      </w:pPr>
      <w:r>
        <w:t xml:space="preserve">Event Distribution by Category</w:t>
      </w:r>
    </w:p>
    <w:p>
      <w:pPr>
        <w:pStyle w:val="BodyText"/>
      </w:pPr>
      <w:r>
        <w:t xml:space="preserve">The horizontal bar chart above visualizes the steep drop-off from the General category through to Dating. The visual gradient underscores how dramatically the categorical concentration skews the dataset: the General bar extends more than five times further than the Arts bar and approximately 78 times further than Dating. This distribution pattern has analytical implications for any competitive assessment built on this data. A category-level market share analysis would show near-majority concentration in an undefined</w:t>
      </w:r>
      <w:r>
        <w:t xml:space="preserve"> </w:t>
      </w:r>
      <w:r>
        <w:t xml:space="preserve">“</w:t>
      </w:r>
      <w:r>
        <w:t xml:space="preserve">General</w:t>
      </w:r>
      <w:r>
        <w:t xml:space="preserve">”</w:t>
      </w:r>
      <w:r>
        <w:t xml:space="preserve"> </w:t>
      </w:r>
      <w:r>
        <w:t xml:space="preserve">bucket, effectively obscuring the actual thematic composition of nearly half the events. The JSON array storage format for categories further complicates matters: because events can carry multiple category tags simultaneously, a single event might contribute to both</w:t>
      </w:r>
      <w:r>
        <w:t xml:space="preserve"> </w:t>
      </w:r>
      <w:r>
        <w:t xml:space="preserve">“</w:t>
      </w:r>
      <w:r>
        <w:t xml:space="preserve">Business</w:t>
      </w:r>
      <w:r>
        <w:t xml:space="preserve">”</w:t>
      </w:r>
      <w:r>
        <w:t xml:space="preserve"> </w:t>
      </w:r>
      <w:r>
        <w:t xml:space="preserve">and</w:t>
      </w:r>
      <w:r>
        <w:t xml:space="preserve"> </w:t>
      </w:r>
      <w:r>
        <w:t xml:space="preserve">“</w:t>
      </w:r>
      <w:r>
        <w:t xml:space="preserve">Tech</w:t>
      </w:r>
      <w:r>
        <w:t xml:space="preserve">”</w:t>
      </w:r>
      <w:r>
        <w:t xml:space="preserve"> </w:t>
      </w:r>
      <w:r>
        <w:t xml:space="preserve">counts, making exclusive category assignment impossible without additional business rules</w:t>
      </w:r>
      <w:fldSimple w:instr="NOTEREF _Ref_Footnote_1 \h \f">
        <w:r>
          <w:rPr>
            <w:vertAlign w:val="superscript"/>
          </w:rPr>
          <w:t>1</w:t>
        </w:r>
      </w:fldSimple>
      <w:r>
        <w:t xml:space="preserve">.</w:t>
      </w:r>
    </w:p>
    <w:p>
      <w:pPr>
        <w:pStyle w:val="BodyText"/>
      </w:pPr>
      <w:r>
        <w:t xml:space="preserve">The source distribution reveals a similarly concentrated pattern across 16 distinct platforms. Three sources account for 87% of all events: AllEvents.in contributes 502 events (48.0%), NOW Toronto supplies 221 (21.1%), and Eventbrite provides 187 (17.9%)</w:t>
      </w:r>
      <w:fldSimple w:instr="NOTEREF _Ref_Footnote_1 \h \f">
        <w:r>
          <w:rPr>
            <w:vertAlign w:val="superscript"/>
          </w:rPr>
          <w:t>1</w:t>
        </w:r>
      </w:fldSimple>
      <w:r>
        <w:t xml:space="preserve">. The remaining 13 sources collectively contribute only 136 events (13.0%), with individual contributions ranging from 48 (ROM) down to single-event sources like Narcity, Harbourfront Centre, and Doors Open Toronto</w:t>
      </w:r>
      <w:fldSimple w:instr="NOTEREF _Ref_Footnote_1 \h \f">
        <w:r>
          <w:rPr>
            <w:vertAlign w:val="superscript"/>
          </w:rPr>
          <w:t>1</w:t>
        </w:r>
      </w:fldSimple>
      <w:r>
        <w:t xml:space="preserve">.</w:t>
      </w:r>
    </w:p>
    <w:p>
      <w:pPr>
        <w:pStyle w:val="BodyText"/>
      </w:pPr>
      <w:r>
        <w:t xml:space="preserve">This source concentration creates both analytical opportunities and vulnerabilities. On the positive side, the dominance of AllEvents.in — a dedicated event aggregation platform — suggests that the scraping pipeline is successfully tapping into a high-volume event repository. The NOW Toronto inclusion adds local editorial curation, while Eventbrite brings a major ticketing platform’s inventory. However, the heavy reliance on a single source (AllEvents.in at 48%) introduces a structural dependency: any change to AllEvents.in’s site architecture, robots.txt policy, or data availability would eliminate nearly half the dataset in a single disruption</w:t>
      </w:r>
      <w:fldSimple w:instr="NOTEREF _Ref_Footnote_1 \h \f">
        <w:r>
          <w:rPr>
            <w:vertAlign w:val="superscript"/>
          </w:rPr>
          <w:t>1</w:t>
        </w:r>
      </w:fldSimple>
      <w:r>
        <w:t xml:space="preserve">. The 13 minor sources, each contributing fewer than 50 events, indicate either shallow scraping depths or genuinely limited event volumes on those platforms. Notably absent from the source list are major platforms like Meetup (26 events, 2.5%) at meaningful scale, Facebook Events, Instagram event listings, or TikTok event promotions — channels that contemporary event marketers increasingly prioritize.</w:t>
      </w:r>
    </w:p>
    <w:p>
      <w:pPr>
        <w:pStyle w:val="CaptionedFigure"/>
      </w:pPr>
      <w:r>
        <w:drawing>
          <wp:inline>
            <wp:extent cx="5334000" cy="2336540"/>
            <wp:effectExtent b="0" l="0" r="0" t="0"/>
            <wp:docPr descr="Data Quality Health Overview" title="" id="42" name="Picture"/>
            <a:graphic>
              <a:graphicData uri="http://schemas.openxmlformats.org/drawingml/2006/picture">
                <pic:pic>
                  <pic:nvPicPr>
                    <pic:cNvPr descr="/mnt/agents/output/events_audit_chart_ch2b.png" id="43" name="Picture"/>
                    <pic:cNvPicPr>
                      <a:picLocks noChangeArrowheads="1" noChangeAspect="1"/>
                    </pic:cNvPicPr>
                  </pic:nvPicPr>
                  <pic:blipFill>
                    <a:blip r:embed="rId41"/>
                    <a:stretch>
                      <a:fillRect/>
                    </a:stretch>
                  </pic:blipFill>
                  <pic:spPr bwMode="auto">
                    <a:xfrm>
                      <a:off x="0" y="0"/>
                      <a:ext cx="5334000" cy="2336540"/>
                    </a:xfrm>
                    <a:prstGeom prst="rect">
                      <a:avLst/>
                    </a:prstGeom>
                    <a:noFill/>
                    <a:ln w="9525">
                      <a:noFill/>
                      <a:headEnd/>
                      <a:tailEnd/>
                    </a:ln>
                  </pic:spPr>
                </pic:pic>
              </a:graphicData>
            </a:graphic>
          </wp:inline>
        </w:drawing>
      </w:r>
    </w:p>
    <w:p>
      <w:pPr>
        <w:pStyle w:val="ImageCaption"/>
      </w:pPr>
      <w:r>
        <w:t xml:space="preserve">Data Quality Health Overview</w:t>
      </w:r>
    </w:p>
    <w:p>
      <w:pPr>
        <w:pStyle w:val="BodyText"/>
      </w:pPr>
      <w:r>
        <w:t xml:space="preserve">The composite visualization above presents two complementary perspectives on dataset health. The donut chart (left) quantifies the temporal imbalance: 819 past events (78.3%) versus 227 upcoming events (21.7%) as of April 26, 2026</w:t>
      </w:r>
      <w:fldSimple w:instr="NOTEREF _Ref_Footnote_1 \h \f">
        <w:r>
          <w:rPr>
            <w:vertAlign w:val="superscript"/>
          </w:rPr>
          <w:t>1</w:t>
        </w:r>
      </w:fldSimple>
      <w:r>
        <w:t xml:space="preserve">. The stacked bar chart (right) translates four critical quality dimensions into a health dashboard, revealing that Data Freshness and Description Completeness show the largest</w:t>
      </w:r>
      <w:r>
        <w:t xml:space="preserve"> </w:t>
      </w:r>
      <w:r>
        <w:t xml:space="preserve">“</w:t>
      </w:r>
      <w:r>
        <w:t xml:space="preserve">At Risk</w:t>
      </w:r>
      <w:r>
        <w:t xml:space="preserve">”</w:t>
      </w:r>
      <w:r>
        <w:t xml:space="preserve"> </w:t>
      </w:r>
      <w:r>
        <w:t xml:space="preserve">proportions, while URL Uniqueness remains relatively healthy at 93.1% acceptable</w:t>
      </w:r>
      <w:fldSimple w:instr="NOTEREF _Ref_Footnote_1 \h \f">
        <w:r>
          <w:rPr>
            <w:vertAlign w:val="superscript"/>
          </w:rPr>
          <w:t>1</w:t>
        </w:r>
      </w:fldSimple>
      <w:r>
        <w:t xml:space="preserve">.</w:t>
      </w:r>
    </w:p>
    <w:bookmarkEnd w:id="44"/>
    <w:bookmarkStart w:id="45" w:name="critical-quality-issues-summary"/>
    <w:p>
      <w:pPr>
        <w:pStyle w:val="Heading3"/>
      </w:pPr>
      <w:r>
        <w:t xml:space="preserve">2.5 Critical Quality Issues Summary</w:t>
      </w:r>
    </w:p>
    <w:p>
      <w:pPr>
        <w:pStyle w:val="FirstParagraph"/>
      </w:pPr>
      <w:r>
        <w:t xml:space="preserve">Table 3 consolidates the most severe data quality findings, assigning severity ratings and actionable remediation recommendations for each.</w:t>
      </w:r>
    </w:p>
    <w:p>
      <w:pPr>
        <w:pStyle w:val="BodyText"/>
      </w:pPr>
      <w:r>
        <w:rPr>
          <w:bCs/>
          <w:b/>
        </w:rPr>
        <w:t xml:space="preserve">Table 3: Top Data Quality Issues — Severity and Remediation Priority</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Issue</w:t>
            </w:r>
          </w:p>
        </w:tc>
        <w:tc>
          <w:tcPr/>
          <w:p>
            <w:pPr>
              <w:pStyle w:val="Compact"/>
              <w:jc w:val="center"/>
            </w:pPr>
            <w:r>
              <w:t xml:space="preserve">Severity</w:t>
            </w:r>
          </w:p>
        </w:tc>
        <w:tc>
          <w:tcPr/>
          <w:p>
            <w:pPr>
              <w:pStyle w:val="Compact"/>
              <w:jc w:val="left"/>
            </w:pPr>
            <w:r>
              <w:t xml:space="preserve">Count / Scope</w:t>
            </w:r>
          </w:p>
        </w:tc>
        <w:tc>
          <w:tcPr/>
          <w:p>
            <w:pPr>
              <w:pStyle w:val="Compact"/>
              <w:jc w:val="left"/>
            </w:pPr>
            <w:r>
              <w:t xml:space="preserve">Recommended Action</w:t>
            </w:r>
          </w:p>
        </w:tc>
      </w:tr>
      <w:tr>
        <w:tc>
          <w:tcPr/>
          <w:p>
            <w:pPr>
              <w:pStyle w:val="Compact"/>
              <w:jc w:val="left"/>
            </w:pPr>
            <w:r>
              <w:t xml:space="preserve">53.8% of events lack descriptions</w:t>
            </w:r>
          </w:p>
        </w:tc>
        <w:tc>
          <w:tcPr/>
          <w:p>
            <w:pPr>
              <w:pStyle w:val="Compact"/>
              <w:jc w:val="center"/>
            </w:pPr>
            <w:r>
              <w:rPr>
                <w:bCs/>
                <w:b/>
              </w:rPr>
              <w:t xml:space="preserve">HIGH</w:t>
            </w:r>
          </w:p>
        </w:tc>
        <w:tc>
          <w:tcPr/>
          <w:p>
            <w:pPr>
              <w:pStyle w:val="Compact"/>
              <w:jc w:val="left"/>
            </w:pPr>
            <w:r>
              <w:t xml:space="preserve">563 of 1,046 events</w:t>
            </w:r>
          </w:p>
        </w:tc>
        <w:tc>
          <w:tcPr/>
          <w:p>
            <w:pPr>
              <w:pStyle w:val="Compact"/>
              <w:jc w:val="left"/>
            </w:pPr>
            <w:r>
              <w:t xml:space="preserve">Implement secondary scraping pass for detail-page descriptions; add description as required field</w:t>
            </w:r>
          </w:p>
        </w:tc>
      </w:tr>
      <w:tr>
        <w:tc>
          <w:tcPr/>
          <w:p>
            <w:pPr>
              <w:pStyle w:val="Compact"/>
              <w:jc w:val="left"/>
            </w:pPr>
            <w:r>
              <w:t xml:space="preserve">Price flag inconsistency ($0 but not marked free)</w:t>
            </w:r>
          </w:p>
        </w:tc>
        <w:tc>
          <w:tcPr/>
          <w:p>
            <w:pPr>
              <w:pStyle w:val="Compact"/>
              <w:jc w:val="center"/>
            </w:pPr>
            <w:r>
              <w:rPr>
                <w:bCs/>
                <w:b/>
              </w:rPr>
              <w:t xml:space="preserve">HIGH</w:t>
            </w:r>
          </w:p>
        </w:tc>
        <w:tc>
          <w:tcPr/>
          <w:p>
            <w:pPr>
              <w:pStyle w:val="Compact"/>
              <w:jc w:val="left"/>
            </w:pPr>
            <w:r>
              <w:t xml:space="preserve">706 of 1,046 events</w:t>
            </w:r>
          </w:p>
        </w:tc>
        <w:tc>
          <w:tcPr/>
          <w:p>
            <w:pPr>
              <w:pStyle w:val="Compact"/>
              <w:jc w:val="left"/>
            </w:pPr>
            <w:r>
              <w:t xml:space="preserve">Correct</w:t>
            </w:r>
            <w:r>
              <w:t xml:space="preserve"> </w:t>
            </w:r>
            <w:r>
              <w:rPr>
                <w:rStyle w:val="VerbatimChar"/>
              </w:rPr>
              <w:t xml:space="preserve">is_free</w:t>
            </w:r>
            <w:r>
              <w:t xml:space="preserve"> </w:t>
            </w:r>
            <w:r>
              <w:t xml:space="preserve">flag for all $0 events; add cross-field validation constraint</w:t>
            </w:r>
          </w:p>
        </w:tc>
      </w:tr>
      <w:tr>
        <w:tc>
          <w:tcPr/>
          <w:p>
            <w:pPr>
              <w:pStyle w:val="Compact"/>
              <w:jc w:val="left"/>
            </w:pPr>
            <w:r>
              <w:t xml:space="preserve">URL duplicates from generic landing pages</w:t>
            </w:r>
          </w:p>
        </w:tc>
        <w:tc>
          <w:tcPr/>
          <w:p>
            <w:pPr>
              <w:pStyle w:val="Compact"/>
              <w:jc w:val="center"/>
            </w:pPr>
            <w:r>
              <w:rPr>
                <w:bCs/>
                <w:b/>
              </w:rPr>
              <w:t xml:space="preserve">MEDIUM</w:t>
            </w:r>
          </w:p>
        </w:tc>
        <w:tc>
          <w:tcPr/>
          <w:p>
            <w:pPr>
              <w:pStyle w:val="Compact"/>
              <w:jc w:val="left"/>
            </w:pPr>
            <w:r>
              <w:t xml:space="preserve">23 groups, 72 extra rows</w:t>
            </w:r>
          </w:p>
        </w:tc>
        <w:tc>
          <w:tcPr/>
          <w:p>
            <w:pPr>
              <w:pStyle w:val="Compact"/>
              <w:jc w:val="left"/>
            </w:pPr>
            <w:r>
              <w:t xml:space="preserve">Filter fallback URLs at ingestion; require event-specific detail pages</w:t>
            </w:r>
          </w:p>
        </w:tc>
      </w:tr>
      <w:tr>
        <w:tc>
          <w:tcPr/>
          <w:p>
            <w:pPr>
              <w:pStyle w:val="Compact"/>
              <w:jc w:val="left"/>
            </w:pPr>
            <w:r>
              <w:t xml:space="preserve">78.3% of events are past-dated</w:t>
            </w:r>
          </w:p>
        </w:tc>
        <w:tc>
          <w:tcPr/>
          <w:p>
            <w:pPr>
              <w:pStyle w:val="Compact"/>
              <w:jc w:val="center"/>
            </w:pPr>
            <w:r>
              <w:rPr>
                <w:bCs/>
                <w:b/>
              </w:rPr>
              <w:t xml:space="preserve">MEDIUM</w:t>
            </w:r>
          </w:p>
        </w:tc>
        <w:tc>
          <w:tcPr/>
          <w:p>
            <w:pPr>
              <w:pStyle w:val="Compact"/>
              <w:jc w:val="left"/>
            </w:pPr>
            <w:r>
              <w:t xml:space="preserve">819 of 1,046 events</w:t>
            </w:r>
          </w:p>
        </w:tc>
        <w:tc>
          <w:tcPr/>
          <w:p>
            <w:pPr>
              <w:pStyle w:val="Compact"/>
              <w:jc w:val="left"/>
            </w:pPr>
            <w:r>
              <w:t xml:space="preserve">Implement auto-archival for events &gt;30 days past; separate historical table</w:t>
            </w:r>
          </w:p>
        </w:tc>
      </w:tr>
      <w:tr>
        <w:tc>
          <w:tcPr/>
          <w:p>
            <w:pPr>
              <w:pStyle w:val="Compact"/>
              <w:jc w:val="left"/>
            </w:pPr>
            <w:r>
              <w:t xml:space="preserve">11 events with generic</w:t>
            </w:r>
            <w:r>
              <w:t xml:space="preserve"> </w:t>
            </w:r>
            <w:r>
              <w:t xml:space="preserve">“</w:t>
            </w:r>
            <w:r>
              <w:t xml:space="preserve">Events</w:t>
            </w:r>
            <w:r>
              <w:t xml:space="preserve">”</w:t>
            </w:r>
            <w:r>
              <w:t xml:space="preserve"> </w:t>
            </w:r>
            <w:r>
              <w:t xml:space="preserve">title</w:t>
            </w:r>
          </w:p>
        </w:tc>
        <w:tc>
          <w:tcPr/>
          <w:p>
            <w:pPr>
              <w:pStyle w:val="Compact"/>
              <w:jc w:val="center"/>
            </w:pPr>
            <w:r>
              <w:rPr>
                <w:bCs/>
                <w:b/>
              </w:rPr>
              <w:t xml:space="preserve">MEDIUM</w:t>
            </w:r>
          </w:p>
        </w:tc>
        <w:tc>
          <w:tcPr/>
          <w:p>
            <w:pPr>
              <w:pStyle w:val="Compact"/>
              <w:jc w:val="left"/>
            </w:pPr>
            <w:r>
              <w:t xml:space="preserve">11 events from NOW Toronto</w:t>
            </w:r>
          </w:p>
        </w:tc>
        <w:tc>
          <w:tcPr/>
          <w:p>
            <w:pPr>
              <w:pStyle w:val="Compact"/>
              <w:jc w:val="left"/>
            </w:pPr>
            <w:r>
              <w:t xml:space="preserve">Apply title extraction rules per source; reject generic placeholders</w:t>
            </w:r>
          </w:p>
        </w:tc>
      </w:tr>
      <w:tr>
        <w:tc>
          <w:tcPr/>
          <w:p>
            <w:pPr>
              <w:pStyle w:val="Compact"/>
              <w:jc w:val="left"/>
            </w:pPr>
            <w:r>
              <w:t xml:space="preserve">Data stale — no updates for 2+ months</w:t>
            </w:r>
          </w:p>
        </w:tc>
        <w:tc>
          <w:tcPr/>
          <w:p>
            <w:pPr>
              <w:pStyle w:val="Compact"/>
              <w:jc w:val="center"/>
            </w:pPr>
            <w:r>
              <w:rPr>
                <w:bCs/>
                <w:b/>
              </w:rPr>
              <w:t xml:space="preserve">MEDIUM</w:t>
            </w:r>
          </w:p>
        </w:tc>
        <w:tc>
          <w:tcPr/>
          <w:p>
            <w:pPr>
              <w:pStyle w:val="Compact"/>
              <w:jc w:val="left"/>
            </w:pPr>
            <w:r>
              <w:t xml:space="preserve">All 1,046 events</w:t>
            </w:r>
          </w:p>
        </w:tc>
        <w:tc>
          <w:tcPr/>
          <w:p>
            <w:pPr>
              <w:pStyle w:val="Compact"/>
              <w:jc w:val="left"/>
            </w:pPr>
            <w:r>
              <w:t xml:space="preserve">Schedule daily incremental scrapes; add freshness monitoring alerts</w:t>
            </w:r>
          </w:p>
        </w:tc>
      </w:tr>
      <w:tr>
        <w:tc>
          <w:tcPr/>
          <w:p>
            <w:pPr>
              <w:pStyle w:val="Compact"/>
              <w:jc w:val="left"/>
            </w:pPr>
            <w:r>
              <w:t xml:space="preserve">2022-era date anomaly</w:t>
            </w:r>
          </w:p>
        </w:tc>
        <w:tc>
          <w:tcPr/>
          <w:p>
            <w:pPr>
              <w:pStyle w:val="Compact"/>
              <w:jc w:val="center"/>
            </w:pPr>
            <w:r>
              <w:rPr>
                <w:bCs/>
                <w:b/>
              </w:rPr>
              <w:t xml:space="preserve">LOW</w:t>
            </w:r>
          </w:p>
        </w:tc>
        <w:tc>
          <w:tcPr/>
          <w:p>
            <w:pPr>
              <w:pStyle w:val="Compact"/>
              <w:jc w:val="left"/>
            </w:pPr>
            <w:r>
              <w:t xml:space="preserve">1 event (</w:t>
            </w:r>
            <w:r>
              <w:t xml:space="preserve">“</w:t>
            </w:r>
            <w:r>
              <w:t xml:space="preserve">Memory Work</w:t>
            </w:r>
            <w:r>
              <w:t xml:space="preserve">”</w:t>
            </w:r>
            <w:r>
              <w:t xml:space="preserve">)</w:t>
            </w:r>
          </w:p>
        </w:tc>
        <w:tc>
          <w:tcPr/>
          <w:p>
            <w:pPr>
              <w:pStyle w:val="Compact"/>
              <w:jc w:val="left"/>
            </w:pPr>
            <w:r>
              <w:t xml:space="preserve">Add date range validation; reject events &gt;1 year past at ingestion</w:t>
            </w:r>
          </w:p>
        </w:tc>
      </w:tr>
      <w:tr>
        <w:tc>
          <w:tcPr/>
          <w:p>
            <w:pPr>
              <w:pStyle w:val="Compact"/>
              <w:jc w:val="left"/>
            </w:pPr>
            <w:r>
              <w:t xml:space="preserve">Empty host field</w:t>
            </w:r>
          </w:p>
        </w:tc>
        <w:tc>
          <w:tcPr/>
          <w:p>
            <w:pPr>
              <w:pStyle w:val="Compact"/>
              <w:jc w:val="center"/>
            </w:pPr>
            <w:r>
              <w:rPr>
                <w:bCs/>
                <w:b/>
              </w:rPr>
              <w:t xml:space="preserve">LOW</w:t>
            </w:r>
          </w:p>
        </w:tc>
        <w:tc>
          <w:tcPr/>
          <w:p>
            <w:pPr>
              <w:pStyle w:val="Compact"/>
              <w:jc w:val="left"/>
            </w:pPr>
            <w:r>
              <w:t xml:space="preserve">5 events</w:t>
            </w:r>
          </w:p>
        </w:tc>
        <w:tc>
          <w:tcPr/>
          <w:p>
            <w:pPr>
              <w:pStyle w:val="Compact"/>
              <w:jc w:val="left"/>
            </w:pPr>
            <w:r>
              <w:t xml:space="preserve">Populate from source metadata or flag for manual curation</w:t>
            </w:r>
          </w:p>
        </w:tc>
      </w:tr>
    </w:tbl>
    <w:p>
      <w:pPr>
        <w:pStyle w:val="BodyText"/>
      </w:pPr>
      <w:r>
        <w:t xml:space="preserve">The two HIGH-severity issues — description completeness and price flag inconsistency — affect 1,269 event-field combinations across the dataset and should be prioritized for immediate remediation</w:t>
      </w:r>
      <w:fldSimple w:instr="NOTEREF _Ref_Footnote_1 \h \f">
        <w:r>
          <w:rPr>
            <w:vertAlign w:val="superscript"/>
          </w:rPr>
          <w:t>1</w:t>
        </w:r>
      </w:fldSimple>
      <w:r>
        <w:t xml:space="preserve">. The description gap impacts user experience and searchability directly, while the price inconsistency creates ambiguity that undermines any cost-based filtering or display logic. Both issues are correctable through targeted pipeline improvements: a secondary scraping pass for descriptions and a simple SQL update to synchronize</w:t>
      </w:r>
      <w:r>
        <w:t xml:space="preserve"> </w:t>
      </w:r>
      <w:r>
        <w:rPr>
          <w:rStyle w:val="VerbatimChar"/>
        </w:rPr>
        <w:t xml:space="preserve">is_free</w:t>
      </w:r>
      <w:r>
        <w:t xml:space="preserve"> </w:t>
      </w:r>
      <w:r>
        <w:t xml:space="preserve">flags with</w:t>
      </w:r>
      <w:r>
        <w:t xml:space="preserve"> </w:t>
      </w:r>
      <w:r>
        <w:rPr>
          <w:rStyle w:val="VerbatimChar"/>
        </w:rPr>
        <w:t xml:space="preserve">price_amount</w:t>
      </w:r>
      <w:r>
        <w:t xml:space="preserve"> </w:t>
      </w:r>
      <w:r>
        <w:t xml:space="preserve">values, paired with a constraint to prevent future divergence.</w:t>
      </w:r>
    </w:p>
    <w:p>
      <w:pPr>
        <w:pStyle w:val="BodyText"/>
      </w:pPr>
      <w:r>
        <w:t xml:space="preserve">The MEDIUM-severity issues cluster around temporal management and source-specific extraction quality. The 78.3% past-event ratio, the 2-month update gap, and the generic title problem all point to operational pipeline gaps rather than fundamental data corruption</w:t>
      </w:r>
      <w:fldSimple w:instr="NOTEREF _Ref_Footnote_1 \h \f">
        <w:r>
          <w:rPr>
            <w:vertAlign w:val="superscript"/>
          </w:rPr>
          <w:t>1</w:t>
        </w:r>
      </w:fldSimple>
      <w:r>
        <w:t xml:space="preserve">. An archival strategy that partitions events into</w:t>
      </w:r>
      <w:r>
        <w:t xml:space="preserve"> </w:t>
      </w:r>
      <w:r>
        <w:rPr>
          <w:rStyle w:val="VerbatimChar"/>
        </w:rPr>
        <w:t xml:space="preserve">events_upcoming</w:t>
      </w:r>
      <w:r>
        <w:t xml:space="preserve"> </w:t>
      </w:r>
      <w:r>
        <w:t xml:space="preserve">and</w:t>
      </w:r>
      <w:r>
        <w:t xml:space="preserve"> </w:t>
      </w:r>
      <w:r>
        <w:rPr>
          <w:rStyle w:val="VerbatimChar"/>
        </w:rPr>
        <w:t xml:space="preserve">events_historical</w:t>
      </w:r>
      <w:r>
        <w:t xml:space="preserve"> </w:t>
      </w:r>
      <w:r>
        <w:t xml:space="preserve">tables would address both the freshness concern and the query performance degradation that accumulates as historical data grows. The URL duplicate issue, while producing only 72 problematic rows, warrants attention because it indicates inconsistent scraping behavior across sources — some sources yield event-specific URLs while others collapse to generic landing pages</w:t>
      </w:r>
      <w:fldSimple w:instr="NOTEREF _Ref_Footnote_1 \h \f">
        <w:r>
          <w:rPr>
            <w:vertAlign w:val="superscript"/>
          </w:rPr>
          <w:t>1</w:t>
        </w:r>
      </w:fldSimple>
      <w:r>
        <w:t xml:space="preserve">.</w:t>
      </w:r>
    </w:p>
    <w:p>
      <w:pPr>
        <w:pStyle w:val="BodyText"/>
      </w:pPr>
      <w:r>
        <w:t xml:space="preserve">The category taxonomy itself represents a latent quality issue. The 10-category system with a dominant</w:t>
      </w:r>
      <w:r>
        <w:t xml:space="preserve"> </w:t>
      </w:r>
      <w:r>
        <w:t xml:space="preserve">“</w:t>
      </w:r>
      <w:r>
        <w:t xml:space="preserve">General</w:t>
      </w:r>
      <w:r>
        <w:t xml:space="preserve">”</w:t>
      </w:r>
      <w:r>
        <w:t xml:space="preserve"> </w:t>
      </w:r>
      <w:r>
        <w:t xml:space="preserve">catch-all provides insufficient granularity for meaningful competitive segmentation. The Dating category’s near-absence (6 events, 0.6%) is particularly striking in a metropolitan market of Toronto’s size, where singles-oriented events — speed dating, mixer nights, relationship workshops — constitute a measurable sub-sector of the events economy</w:t>
      </w:r>
      <w:fldSimple w:instr="NOTEREF _Ref_Footnote_1 \h \f">
        <w:r>
          <w:rPr>
            <w:vertAlign w:val="superscript"/>
          </w:rPr>
          <w:t>1</w:t>
        </w:r>
      </w:fldSimple>
      <w:r>
        <w:t xml:space="preserve">. Whether this gap reflects genuine market absence (unlikely), source coverage blind spots (probable), or categorical misclassification (possible) cannot be determined from the database alone. The tags field, which contains 53</w:t>
      </w:r>
      <w:r>
        <w:t xml:space="preserve"> </w:t>
      </w:r>
      <w:r>
        <w:t xml:space="preserve">“</w:t>
      </w:r>
      <w:r>
        <w:t xml:space="preserve">Dating</w:t>
      </w:r>
      <w:r>
        <w:t xml:space="preserve">”</w:t>
      </w:r>
      <w:r>
        <w:t xml:space="preserve"> </w:t>
      </w:r>
      <w:r>
        <w:t xml:space="preserve">tag assignments against only 6</w:t>
      </w:r>
      <w:r>
        <w:t xml:space="preserve"> </w:t>
      </w:r>
      <w:r>
        <w:t xml:space="preserve">“</w:t>
      </w:r>
      <w:r>
        <w:t xml:space="preserve">Dating</w:t>
      </w:r>
      <w:r>
        <w:t xml:space="preserve">”</w:t>
      </w:r>
      <w:r>
        <w:t xml:space="preserve"> </w:t>
      </w:r>
      <w:r>
        <w:t xml:space="preserve">category assignments, suggests that at least some dating-related events are being categorized under General or other headings</w:t>
      </w:r>
      <w:fldSimple w:instr="NOTEREF _Ref_Footnote_1 \h \f">
        <w:r>
          <w:rPr>
            <w:vertAlign w:val="superscript"/>
          </w:rPr>
          <w:t>1</w:t>
        </w:r>
      </w:fldSimple>
      <w:r>
        <w:t xml:space="preserve">. This category-tag misalignment introduces inconsistency that complicates any analytical framework dependent on clean categorical pivots.</w:t>
      </w:r>
    </w:p>
    <w:p>
      <w:pPr>
        <w:pStyle w:val="BodyText"/>
      </w:pPr>
      <w:r>
        <w:t xml:space="preserve">Taken together, the quality assessment indicates a dataset with solid structural integrity at the ingestion layer — all records have identifiers, dates, locations, and source attributions — but significant content-level and freshness deficiencies that constrain its operational utility. The database functions effectively as a raw scraping repository but requires substantial enrichment, deduplication, and archival management before it can support reliable analytics or user-facing event discovery. The concentration risk in both categories (General at 44.9%) and sources (AllEvents.in at 48.0%) further limits the dataset’s representativeness as a mirror of the broader Toronto events ecosystem</w:t>
      </w:r>
      <w:fldSimple w:instr="NOTEREF _Ref_Footnote_1 \h \f">
        <w:r>
          <w:rPr>
            <w:vertAlign w:val="superscript"/>
          </w:rPr>
          <w:t>1</w:t>
        </w:r>
      </w:fldSimple>
      <w:r>
        <w:t xml:space="preserve">. These findings establish the baseline against which the competitive landscape analysis in Chapter 3 will evaluate market positioning and content differentiation opportunities.</w:t>
      </w:r>
      <w:r>
        <w:t xml:space="preserve"> </w:t>
      </w:r>
      <w:r>
        <w:t xml:space="preserve">## 3. Competitive Landscape Analysis</w:t>
      </w:r>
    </w:p>
    <w:p>
      <w:pPr>
        <w:pStyle w:val="BodyText"/>
      </w:pPr>
      <w:r>
        <w:t xml:space="preserve">The Toronto event aggregation market is not a monoculture. Beneath the surface of any single platform lies a fragmented ecosystem of specialized competitors, each occupying a distinct niche defined by audience demographics, price positioning, and data accessibility. This chapter maps four competitive layers that surround findtorontoevents.ca: singles-focused dating event operators (Section 3.1), mass-market ticketing and community platforms (Section 3.2), official municipal and cultural institution feeds (Section 3.3), and the signature festival calendar that anchors Toronto’s cultural identity (Section 3.4). The objective is not merely to enumerate competitors but to quantify the inventory that exists beyond findtorontoevents.ca’s current scraper reach — inventory that represents both competitive threat and integration opportunity.</w:t>
      </w:r>
    </w:p>
    <w:bookmarkEnd w:id="45"/>
    <w:bookmarkStart w:id="49" w:name="singles-and-dating-events-market"/>
    <w:p>
      <w:pPr>
        <w:pStyle w:val="Heading3"/>
      </w:pPr>
      <w:r>
        <w:t xml:space="preserve">3.1 Singles and Dating Events Market</w:t>
      </w:r>
    </w:p>
    <w:p>
      <w:pPr>
        <w:pStyle w:val="FirstParagraph"/>
      </w:pPr>
      <w:r>
        <w:t xml:space="preserve">The singles events segment offers a revealing case study in niche aggregation failure. Three dedicated operators — Single in the City, Flare Events, and Toronto Dating Hub — collectively listed 32 upcoming events for the April–June 2026 period, spanning speed dating, social mixers, activity-based outings, and industry-specific networking. None of these events appeared in the findtorontoevents.ca inventory at the time of scraping, representing a total coverage gap in a category with demonstrated consumer willingness to pay</w:t>
      </w:r>
      <w:r>
        <w:t xml:space="preserve"> </w:t>
      </w:r>
      <w:fldSimple w:instr="NOTEREF _Ref_Footnote_1 \h \f">
        <w:r>
          <w:rPr>
            <w:vertAlign w:val="superscript"/>
          </w:rPr>
          <w:t>1</w:t>
        </w:r>
      </w:fldSimple>
      <w:r>
        <w:t xml:space="preserve">.</w:t>
      </w:r>
    </w:p>
    <w:p>
      <w:pPr>
        <w:pStyle w:val="BodyText"/>
      </w:pPr>
      <w:r>
        <w:rPr>
          <w:bCs/>
          <w:b/>
        </w:rPr>
        <w:t xml:space="preserve">Single in the City</w:t>
      </w:r>
      <w:r>
        <w:t xml:space="preserve"> </w:t>
      </w:r>
      <w:r>
        <w:t xml:space="preserve">operates the largest calendar among the three competitors, with 17 upcoming events distributed across nine Ontario cities: Toronto, Burlington, Oakville, Hamilton, Guelph, Milton, London, Mississauga, and Kitchener</w:t>
      </w:r>
      <w:r>
        <w:t xml:space="preserve"> </w:t>
      </w:r>
      <w:fldSimple w:instr="NOTEREF _Ref_Footnote_1 \h \f">
        <w:r>
          <w:rPr>
            <w:vertAlign w:val="superscript"/>
          </w:rPr>
          <w:t>1</w:t>
        </w:r>
      </w:fldSimple>
      <w:r>
        <w:t xml:space="preserve">. The operator’s format mix is instructive: speed dating accounts for 10 of 17 events (59%), but the remaining seven events reveal a deliberate diversification strategy. Three</w:t>
      </w:r>
      <w:r>
        <w:t xml:space="preserve"> </w:t>
      </w:r>
      <w:r>
        <w:t xml:space="preserve">“</w:t>
      </w:r>
      <w:r>
        <w:t xml:space="preserve">Connection &amp; Cocktails</w:t>
      </w:r>
      <w:r>
        <w:t xml:space="preserve">”</w:t>
      </w:r>
      <w:r>
        <w:t xml:space="preserve"> </w:t>
      </w:r>
      <w:r>
        <w:t xml:space="preserve">social mixers target the 30+ demographic at CAD$29.99 — the lowest entry point among all three competitors. Two outdoor activity events (a guided hike at Hilton Falls Conservation Area and a downtown Toronto social walk departing from Union Station) and a golf instruction session called</w:t>
      </w:r>
      <w:r>
        <w:t xml:space="preserve"> </w:t>
      </w:r>
      <w:r>
        <w:t xml:space="preserve">“</w:t>
      </w:r>
      <w:r>
        <w:t xml:space="preserve">Tee &amp; Mingle</w:t>
      </w:r>
      <w:r>
        <w:t xml:space="preserve">”</w:t>
      </w:r>
      <w:r>
        <w:t xml:space="preserve"> </w:t>
      </w:r>
      <w:r>
        <w:t xml:space="preserve">represent an experiential pivot away from the traditional bar-and-rotation speed dating model. A single</w:t>
      </w:r>
      <w:r>
        <w:t xml:space="preserve"> </w:t>
      </w:r>
      <w:r>
        <w:t xml:space="preserve">“</w:t>
      </w:r>
      <w:r>
        <w:t xml:space="preserve">Bingo Beats</w:t>
      </w:r>
      <w:r>
        <w:t xml:space="preserve">”</w:t>
      </w:r>
      <w:r>
        <w:t xml:space="preserve"> </w:t>
      </w:r>
      <w:r>
        <w:t xml:space="preserve">game night in Burlington adds a music-themed entertainment layer</w:t>
      </w:r>
      <w:r>
        <w:t xml:space="preserve"> </w:t>
      </w:r>
      <w:fldSimple w:instr="NOTEREF _Ref_Footnote_1 \h \f">
        <w:r>
          <w:rPr>
            <w:vertAlign w:val="superscript"/>
          </w:rPr>
          <w:t>1</w:t>
        </w:r>
      </w:fldSimple>
      <w:r>
        <w:t xml:space="preserve">. Pricing ranges from CAD$29.99 for mixers to CAD$49.97 for activity events, with standard speed dating tickets fixed at CAD$35. The operator uses a proprietary digital match platform (no app download required) with results delivered by 9:00 AM the following morning, and offers a CAD$10 first-timer discount — a customer acquisition tactic that lowers the effective trial price to CAD$25 for speed dating</w:t>
      </w:r>
      <w:r>
        <w:t xml:space="preserve"> </w:t>
      </w:r>
      <w:fldSimple w:instr="NOTEREF _Ref_Footnote_1 \h \f">
        <w:r>
          <w:rPr>
            <w:vertAlign w:val="superscript"/>
          </w:rPr>
          <w:t>1</w:t>
        </w:r>
      </w:fldSimple>
      <w:r>
        <w:t xml:space="preserve">. Venues span Great Lakes Brewpub at 11 Lower Jarvis Street, The Carbon Snack Bar at 460 King Street West, and the Hilton Falls Conservation Area near Milton, indicating a geographic strategy that balances downtown accessibility with destination-style outdoor experiences.</w:t>
      </w:r>
    </w:p>
    <w:p>
      <w:pPr>
        <w:pStyle w:val="BodyText"/>
      </w:pPr>
      <w:r>
        <w:rPr>
          <w:bCs/>
          <w:b/>
        </w:rPr>
        <w:t xml:space="preserve">Flare Events</w:t>
      </w:r>
      <w:r>
        <w:t xml:space="preserve"> </w:t>
      </w:r>
      <w:r>
        <w:t xml:space="preserve">pursues a different strategic vector. With six Toronto events scheduled between April 30 and June 23, 2026, the operator is the smallest of the three by local volume but the largest by national footprint — active across eight Canadian cities including Toronto, Ottawa, Montreal, Quebec City, Winnipeg, Calgary, Edmonton, and Vancouver</w:t>
      </w:r>
      <w:r>
        <w:t xml:space="preserve"> </w:t>
      </w:r>
      <w:fldSimple w:instr="NOTEREF _Ref_Footnote_1 \h \f">
        <w:r>
          <w:rPr>
            <w:vertAlign w:val="superscript"/>
          </w:rPr>
          <w:t>1</w:t>
        </w:r>
      </w:fldSimple>
      <w:r>
        <w:t xml:space="preserve">. Flare’s format is exclusively speed dating, but with a critical differentiation: dedicated LGBTQ+ programming. Four events serve straight demographics across age ranges 27–36, 34–43, 40+, and 42–57, while one gay speed dating event (ages 27–43) and one lesbian speed dating event (ages 27–43) address a market segment that Single in the City and Toronto Dating Hub do not explicitly target</w:t>
      </w:r>
      <w:r>
        <w:t xml:space="preserve"> </w:t>
      </w:r>
      <w:fldSimple w:instr="NOTEREF _Ref_Footnote_1 \h \f">
        <w:r>
          <w:rPr>
            <w:vertAlign w:val="superscript"/>
          </w:rPr>
          <w:t>1</w:t>
        </w:r>
      </w:fldSimple>
      <w:r>
        <w:t xml:space="preserve">. All events are priced at CAD$40 early bird and CAD$45 regular — a narrower and higher price band than Single in the City, suggesting a premium positioning strategy. Ticketing runs through Eventbrite, and media partnerships with CTV, Global News, Toronto Life, BlogTO, the Globe and Mail, and the Toronto Star provide earned media amplification that the other two operators do not match</w:t>
      </w:r>
      <w:r>
        <w:t xml:space="preserve"> </w:t>
      </w:r>
      <w:fldSimple w:instr="NOTEREF _Ref_Footnote_1 \h \f">
        <w:r>
          <w:rPr>
            <w:vertAlign w:val="superscript"/>
          </w:rPr>
          <w:t>1</w:t>
        </w:r>
      </w:fldSimple>
      <w:r>
        <w:t xml:space="preserve">. Venues include Mossop’s Social House at 56 Yonge Street, Steam Whistle Brewing at 255 Bremner Boulevard, and Old Flame Brewing Co. at 43 Tank House Lane — all established hospitality brands that confer venue credibility.</w:t>
      </w:r>
    </w:p>
    <w:p>
      <w:pPr>
        <w:pStyle w:val="BodyText"/>
      </w:pPr>
      <w:r>
        <w:rPr>
          <w:bCs/>
          <w:b/>
        </w:rPr>
        <w:t xml:space="preserve">Toronto Dating Hub</w:t>
      </w:r>
      <w:r>
        <w:t xml:space="preserve"> </w:t>
      </w:r>
      <w:r>
        <w:t xml:space="preserve">represents the most format-diversified and screening-intensive competitor. Nine upcoming events span speed dating (3), industry-specific mixers (2), game nights (2), networking (1), and a recruitment program for featured bachelors/bachelorettes (1)</w:t>
      </w:r>
      <w:r>
        <w:t xml:space="preserve"> </w:t>
      </w:r>
      <w:fldSimple w:instr="NOTEREF _Ref_Footnote_1 \h \f">
        <w:r>
          <w:rPr>
            <w:vertAlign w:val="superscript"/>
          </w:rPr>
          <w:t>1</w:t>
        </w:r>
      </w:fldSimple>
      <w:r>
        <w:t xml:space="preserve">. The operator’s geographic focus is tighter than both competitors: Toronto proper plus Richmond Hill, with no presence in the western Ontario cities that Single in the City covers. Pricing spans the widest range of the three — from free (game nights with a minimum food/drink purchase) to CAD$55 at the door for male speed dating attendees. Online speed dating tickets start at CAD$43.63, with a gender-based door pricing differential of CAD$50 for women and CAD$55 for men that none of the other operators employ</w:t>
      </w:r>
      <w:r>
        <w:t xml:space="preserve"> </w:t>
      </w:r>
      <w:fldSimple w:instr="NOTEREF _Ref_Footnote_1 \h \f">
        <w:r>
          <w:rPr>
            <w:vertAlign w:val="superscript"/>
          </w:rPr>
          <w:t>1</w:t>
        </w:r>
      </w:fldSimple>
      <w:r>
        <w:t xml:space="preserve">. The most strategically distinctive element is the criteria-based attendance system: professional events require attendees to meet four of eight criteria that include income thresholds (CAD$75,000+), educational attainment, living alone, and professional designation. Pre-event coaching is available as a CAD$30 add-on, and the</w:t>
      </w:r>
      <w:r>
        <w:t xml:space="preserve"> </w:t>
      </w:r>
      <w:r>
        <w:t xml:space="preserve">“</w:t>
      </w:r>
      <w:r>
        <w:t xml:space="preserve">Mini Attendee Profile</w:t>
      </w:r>
      <w:r>
        <w:t xml:space="preserve">”</w:t>
      </w:r>
      <w:r>
        <w:t xml:space="preserve"> </w:t>
      </w:r>
      <w:r>
        <w:t xml:space="preserve">feature allows participants to preview who will be attending before committing to a ticket</w:t>
      </w:r>
      <w:r>
        <w:t xml:space="preserve"> </w:t>
      </w:r>
      <w:fldSimple w:instr="NOTEREF _Ref_Footnote_1 \h \f">
        <w:r>
          <w:rPr>
            <w:vertAlign w:val="superscript"/>
          </w:rPr>
          <w:t>1</w:t>
        </w:r>
      </w:fldSimple>
      <w:r>
        <w:t xml:space="preserve">. The</w:t>
      </w:r>
      <w:r>
        <w:t xml:space="preserve"> </w:t>
      </w:r>
      <w:r>
        <w:t xml:space="preserve">“</w:t>
      </w:r>
      <w:r>
        <w:t xml:space="preserve">Dating Auction</w:t>
      </w:r>
      <w:r>
        <w:t xml:space="preserve">”</w:t>
      </w:r>
      <w:r>
        <w:t xml:space="preserve"> </w:t>
      </w:r>
      <w:r>
        <w:t xml:space="preserve">format — positioned as an alternative to matchmaking services and dating apps — is unique in the Toronto market. Venues include Oria on King at 220 King Street West, The Goodman Pub at 207 Queens Quay West, and Sugar Cafe in Richmond Hill, reflecting a downtown-core plus uptown-extension strategy.</w:t>
      </w:r>
    </w:p>
    <w:p>
      <w:pPr>
        <w:pStyle w:val="CaptionedFigure"/>
      </w:pPr>
      <w:r>
        <w:drawing>
          <wp:inline>
            <wp:extent cx="5334000" cy="2644613"/>
            <wp:effectExtent b="0" l="0" r="0" t="0"/>
            <wp:docPr descr="Table 1: Singles Competitor Comparison" title="" id="47" name="Picture"/>
            <a:graphic>
              <a:graphicData uri="http://schemas.openxmlformats.org/drawingml/2006/picture">
                <pic:pic>
                  <pic:nvPicPr>
                    <pic:cNvPr descr="/mnt/agents/output/table1_singles_competitors.png" id="48" name="Picture"/>
                    <pic:cNvPicPr>
                      <a:picLocks noChangeArrowheads="1" noChangeAspect="1"/>
                    </pic:cNvPicPr>
                  </pic:nvPicPr>
                  <pic:blipFill>
                    <a:blip r:embed="rId46"/>
                    <a:stretch>
                      <a:fillRect/>
                    </a:stretch>
                  </pic:blipFill>
                  <pic:spPr bwMode="auto">
                    <a:xfrm>
                      <a:off x="0" y="0"/>
                      <a:ext cx="5334000" cy="2644613"/>
                    </a:xfrm>
                    <a:prstGeom prst="rect">
                      <a:avLst/>
                    </a:prstGeom>
                    <a:noFill/>
                    <a:ln w="9525">
                      <a:noFill/>
                      <a:headEnd/>
                      <a:tailEnd/>
                    </a:ln>
                  </pic:spPr>
                </pic:pic>
              </a:graphicData>
            </a:graphic>
          </wp:inline>
        </w:drawing>
      </w:r>
    </w:p>
    <w:p>
      <w:pPr>
        <w:pStyle w:val="ImageCaption"/>
      </w:pPr>
      <w:r>
        <w:t xml:space="preserve">Table 1: Singles Competitor Comparison</w:t>
      </w:r>
    </w:p>
    <w:p>
      <w:pPr>
        <w:pStyle w:val="BodyText"/>
      </w:pPr>
      <w:r>
        <w:t xml:space="preserve">The competitive dynamics revealed in Table 1 carry three strategic implications for findtorontoevents.ca. First, the singles events category is not a commodity market — each operator has carved out a defensible position through format differentiation (activity-based vs. LGBTQ+ inclusive vs. screening-intensive), geographic scope (provincial vs. national vs. hyperlocal), and pricing architecture (volume-discount vs. premium-uniform vs. freemium). A generic aggregator that simply lists all singles events without segmenting by these attributes would deliver inferior user value compared to the dedicated platforms. Second, the combined 32 events from these three operators represent a minimum viable inventory threshold: any aggregator claiming comprehensive Toronto coverage must include at least this volume of singles events to be credible. Third, all three competitors operate on proprietary websites with independent ticketing — none rely on Eventbrite or Meetup as their primary distribution channel — meaning that scraping these events requires direct site integration rather than platform API access.</w:t>
      </w:r>
    </w:p>
    <w:bookmarkEnd w:id="49"/>
    <w:bookmarkStart w:id="53" w:name="major-platform-inventories"/>
    <w:p>
      <w:pPr>
        <w:pStyle w:val="Heading3"/>
      </w:pPr>
      <w:r>
        <w:t xml:space="preserve">3.2 Major Platform Inventories</w:t>
      </w:r>
    </w:p>
    <w:p>
      <w:pPr>
        <w:pStyle w:val="FirstParagraph"/>
      </w:pPr>
      <w:r>
        <w:t xml:space="preserve">Beyond the niche singles segment, the mass-market event landscape is dominated by platforms whose inventory dwarfs that of any aggregator. Understanding their scale, category composition, and data accessibility is essential for positioning findtorontoevents.ca within the broader competitive architecture.</w:t>
      </w:r>
    </w:p>
    <w:p>
      <w:pPr>
        <w:pStyle w:val="BodyText"/>
      </w:pPr>
      <w:r>
        <w:rPr>
          <w:bCs/>
          <w:b/>
        </w:rPr>
        <w:t xml:space="preserve">Eventbrite</w:t>
      </w:r>
      <w:r>
        <w:t xml:space="preserve"> </w:t>
      </w:r>
      <w:r>
        <w:t xml:space="preserve">maintains the largest single inventory of Toronto events, with an estimated 4,500 to 6,500 events scheduled between April and December 2026 — equivalent to 16 to 23 discoverable events per day</w:t>
      </w:r>
      <w:r>
        <w:t xml:space="preserve"> </w:t>
      </w:r>
      <w:fldSimple w:instr="NOTEREF _Ref_Footnote_2 \h \f">
        <w:r>
          <w:rPr>
            <w:vertAlign w:val="superscript"/>
          </w:rPr>
          <w:t>2</w:t>
        </w:r>
      </w:fldSimple>
      <w:r>
        <w:t xml:space="preserve">. This estimate derives from observed pagination depth (48+ pages at 20 events per page for the 2026 schedule filter alone), multiplied across category filters and extrapolated for the eight-month coverage period</w:t>
      </w:r>
      <w:r>
        <w:t xml:space="preserve"> </w:t>
      </w:r>
      <w:fldSimple w:instr="NOTEREF _Ref_Footnote_2 \h \f">
        <w:r>
          <w:rPr>
            <w:vertAlign w:val="superscript"/>
          </w:rPr>
          <w:t>2</w:t>
        </w:r>
      </w:fldSimple>
      <w:r>
        <w:t xml:space="preserve">. The category breakdown reveals a market dominated by music (20%, ~900 events), business and conferences (18%, ~810 events), and nightlife (12%, ~540 events), with food and drink (10%), arts and culture (8%), education and workshops (8%), sports and fitness (7%), festivals (6%), community events (5%), and dating/singles (3%, ~135 events) rounding out the distribution</w:t>
      </w:r>
      <w:r>
        <w:t xml:space="preserve"> </w:t>
      </w:r>
      <w:fldSimple w:instr="NOTEREF _Ref_Footnote_2 \h \f">
        <w:r>
          <w:rPr>
            <w:vertAlign w:val="superscript"/>
          </w:rPr>
          <w:t>2</w:t>
        </w:r>
      </w:fldSimple>
      <w:r>
        <w:t xml:space="preserve">. The pricing structure is weighted toward accessibility: 25% of events are free, 20% are priced below CAD$25, and 30% fall in the CAD$25–75 range, with only 10% exceeding CAD$150</w:t>
      </w:r>
      <w:r>
        <w:t xml:space="preserve"> </w:t>
      </w:r>
      <w:fldSimple w:instr="NOTEREF _Ref_Footnote_2 \h \f">
        <w:r>
          <w:rPr>
            <w:vertAlign w:val="superscript"/>
          </w:rPr>
          <w:t>2</w:t>
        </w:r>
      </w:fldSimple>
      <w:r>
        <w:t xml:space="preserve">. Eventbrite’s singles category alone — approximately 80 Toronto events including recurring series like Elite Singles (47+ occurrences) and the Toronto Dating Hub’s professional mixers — already exceeds the combined dedicated-operator inventory described in Section 3.1. The platform’s data accessibility is high: a public API with event search endpoints, JSON-LD structured data on event pages, and established webhook support for real-time updates. Peak posting occurs Monday through Wednesday mornings, with a typical event listing lead time of 45 days</w:t>
      </w:r>
      <w:r>
        <w:t xml:space="preserve"> </w:t>
      </w:r>
      <w:fldSimple w:instr="NOTEREF _Ref_Footnote_2 \h \f">
        <w:r>
          <w:rPr>
            <w:vertAlign w:val="superscript"/>
          </w:rPr>
          <w:t>2</w:t>
        </w:r>
      </w:fldSimple>
      <w:r>
        <w:t xml:space="preserve">.</w:t>
      </w:r>
    </w:p>
    <w:p>
      <w:pPr>
        <w:pStyle w:val="BodyText"/>
      </w:pPr>
      <w:r>
        <w:rPr>
          <w:bCs/>
          <w:b/>
        </w:rPr>
        <w:t xml:space="preserve">Meetup</w:t>
      </w:r>
      <w:r>
        <w:t xml:space="preserve"> </w:t>
      </w:r>
      <w:r>
        <w:t xml:space="preserve">presents a different inventory profile. Acquired by Bending Spoons in 2024 and now charging organizers CAD$44.99 per month, the platform hosts an estimated 1,500 to 2,000 active Toronto groups with a combined membership of approximately 195,000 users</w:t>
      </w:r>
      <w:r>
        <w:t xml:space="preserve"> </w:t>
      </w:r>
      <w:fldSimple w:instr="NOTEREF _Ref_Footnote_2 \h \f">
        <w:r>
          <w:rPr>
            <w:vertAlign w:val="superscript"/>
          </w:rPr>
          <w:t>2</w:t>
        </w:r>
      </w:fldSimple>
      <w:r>
        <w:t xml:space="preserve">. Event volume for April–December 2026 is estimated at 1,800 to 2,500 events (6–9 per day), but with a critical structural difference from Eventbrite: 70% of events are recurring (weekly, bi-weekly, or monthly), and 65% are free</w:t>
      </w:r>
      <w:r>
        <w:t xml:space="preserve"> </w:t>
      </w:r>
      <w:fldSimple w:instr="NOTEREF _Ref_Footnote_2 \h \f">
        <w:r>
          <w:rPr>
            <w:vertAlign w:val="superscript"/>
          </w:rPr>
          <w:t>2</w:t>
        </w:r>
      </w:fldSimple>
      <w:r>
        <w:t xml:space="preserve">. The category distribution reflects this community-oriented model: social and community events dominate at 30%, followed by technology and startups (12%), business networking (10%), outdoor and adventure (8%), language exchange (7%), food and dining (6%), arts and culture (5%), sports and fitness (8%), hobbies and games (8%), and health and wellness (4%)</w:t>
      </w:r>
      <w:r>
        <w:t xml:space="preserve"> </w:t>
      </w:r>
      <w:fldSimple w:instr="NOTEREF _Ref_Footnote_2 \h \f">
        <w:r>
          <w:rPr>
            <w:vertAlign w:val="superscript"/>
          </w:rPr>
          <w:t>2</w:t>
        </w:r>
      </w:fldSimple>
      <w:r>
        <w:t xml:space="preserve">. Top groups by membership include</w:t>
      </w:r>
      <w:r>
        <w:t xml:space="preserve"> </w:t>
      </w:r>
      <w:r>
        <w:t xml:space="preserve">“</w:t>
      </w:r>
      <w:r>
        <w:t xml:space="preserve">Do Stuff and Make Friends in Toronto</w:t>
      </w:r>
      <w:r>
        <w:t xml:space="preserve">”</w:t>
      </w:r>
      <w:r>
        <w:t xml:space="preserve"> </w:t>
      </w:r>
      <w:r>
        <w:t xml:space="preserve">(13,446 members),</w:t>
      </w:r>
      <w:r>
        <w:t xml:space="preserve"> </w:t>
      </w:r>
      <w:r>
        <w:t xml:space="preserve">“</w:t>
      </w:r>
      <w:r>
        <w:t xml:space="preserve">Toronto Gaymers</w:t>
      </w:r>
      <w:r>
        <w:t xml:space="preserve">”</w:t>
      </w:r>
      <w:r>
        <w:t xml:space="preserve"> </w:t>
      </w:r>
      <w:r>
        <w:t xml:space="preserve">(3,825), and</w:t>
      </w:r>
      <w:r>
        <w:t xml:space="preserve"> </w:t>
      </w:r>
      <w:r>
        <w:t xml:space="preserve">“</w:t>
      </w:r>
      <w:r>
        <w:t xml:space="preserve">Toronto Heavy Boardgamers</w:t>
      </w:r>
      <w:r>
        <w:t xml:space="preserve">”</w:t>
      </w:r>
      <w:r>
        <w:t xml:space="preserve"> </w:t>
      </w:r>
      <w:r>
        <w:t xml:space="preserve">(3,644) — all indicative of the platform’s strength in hobby-based and identity-affirming communities</w:t>
      </w:r>
      <w:r>
        <w:t xml:space="preserve"> </w:t>
      </w:r>
      <w:fldSimple w:instr="NOTEREF _Ref_Footnote_2 \h \f">
        <w:r>
          <w:rPr>
            <w:vertAlign w:val="superscript"/>
          </w:rPr>
          <w:t>2</w:t>
        </w:r>
      </w:fldSimple>
      <w:r>
        <w:t xml:space="preserve">. The high proportion of free events and small-group gatherings (many under 10 attendees) means that Meetup inventory is both voluminous and difficult to monetize directly, but it represents a significant traffic acquisition channel for an aggregator that can filter and surface relevant events.</w:t>
      </w:r>
    </w:p>
    <w:p>
      <w:pPr>
        <w:pStyle w:val="BodyText"/>
      </w:pPr>
      <w:r>
        <w:rPr>
          <w:bCs/>
          <w:b/>
        </w:rPr>
        <w:t xml:space="preserve">Luma</w:t>
      </w:r>
      <w:r>
        <w:t xml:space="preserve"> </w:t>
      </w:r>
      <w:r>
        <w:t xml:space="preserve">occupies an emerging position that is particularly relevant to Toronto’s tech-forward event culture. Estimated at 500 to 1,000 events annually with 5x user growth in 2024, Luma has become the platform of choice for tech meetups, creator economy gatherings, startup events, and design workshops</w:t>
      </w:r>
      <w:r>
        <w:t xml:space="preserve"> </w:t>
      </w:r>
      <w:fldSimple w:instr="NOTEREF _Ref_Footnote_2 \h \f">
        <w:r>
          <w:rPr>
            <w:vertAlign w:val="superscript"/>
          </w:rPr>
          <w:t>2</w:t>
        </w:r>
      </w:fldSimple>
      <w:r>
        <w:t xml:space="preserve">. Unlike Eventbrite and Meetup, Luma does not yet have established aggregator partnerships, meaning its inventory is largely invisible to findtorontoevents.ca and similar platforms. The audience demographic — tech workers, founders, and creative professionals — carries higher-than-average disposable income, making this segment attractive for both event discovery and advertising revenue models.</w:t>
      </w:r>
    </w:p>
    <w:p>
      <w:pPr>
        <w:pStyle w:val="BodyText"/>
      </w:pPr>
      <w:r>
        <w:rPr>
          <w:bCs/>
          <w:b/>
        </w:rPr>
        <w:t xml:space="preserve">Ticketmaster</w:t>
      </w:r>
      <w:r>
        <w:t xml:space="preserve"> </w:t>
      </w:r>
      <w:r>
        <w:t xml:space="preserve">adds an estimated 1,000 to 1,500 major venue events annually, concentrated in concerts (Budweiser Stage alone hosts 48+ scheduled shows for 2026 including Imagine Dragons, Martin Garrix, and Paul Simon), sports (Maple Leafs, Raptors, Toronto FC), and theatre</w:t>
      </w:r>
      <w:r>
        <w:t xml:space="preserve"> </w:t>
      </w:r>
      <w:fldSimple w:instr="NOTEREF _Ref_Footnote_4 \h \f">
        <w:r>
          <w:rPr>
            <w:vertAlign w:val="superscript"/>
          </w:rPr>
          <w:t>4</w:t>
        </w:r>
      </w:fldSimple>
      <w:r>
        <w:t xml:space="preserve">. Ticketmaster’s API is restricted and partner-gated, but event metadata is accessible through venue calendars and artist touring data feeds.</w:t>
      </w:r>
    </w:p>
    <w:p>
      <w:pPr>
        <w:pStyle w:val="CaptionedFigure"/>
      </w:pPr>
      <w:r>
        <w:drawing>
          <wp:inline>
            <wp:extent cx="5334000" cy="2327103"/>
            <wp:effectExtent b="0" l="0" r="0" t="0"/>
            <wp:docPr descr="Table 2: Major Platform Inventories" title="" id="51" name="Picture"/>
            <a:graphic>
              <a:graphicData uri="http://schemas.openxmlformats.org/drawingml/2006/picture">
                <pic:pic>
                  <pic:nvPicPr>
                    <pic:cNvPr descr="/mnt/agents/output/table2_platform_inventories.png" id="52" name="Picture"/>
                    <pic:cNvPicPr>
                      <a:picLocks noChangeArrowheads="1" noChangeAspect="1"/>
                    </pic:cNvPicPr>
                  </pic:nvPicPr>
                  <pic:blipFill>
                    <a:blip r:embed="rId50"/>
                    <a:stretch>
                      <a:fillRect/>
                    </a:stretch>
                  </pic:blipFill>
                  <pic:spPr bwMode="auto">
                    <a:xfrm>
                      <a:off x="0" y="0"/>
                      <a:ext cx="5334000" cy="2327103"/>
                    </a:xfrm>
                    <a:prstGeom prst="rect">
                      <a:avLst/>
                    </a:prstGeom>
                    <a:noFill/>
                    <a:ln w="9525">
                      <a:noFill/>
                      <a:headEnd/>
                      <a:tailEnd/>
                    </a:ln>
                  </pic:spPr>
                </pic:pic>
              </a:graphicData>
            </a:graphic>
          </wp:inline>
        </w:drawing>
      </w:r>
    </w:p>
    <w:p>
      <w:pPr>
        <w:pStyle w:val="ImageCaption"/>
      </w:pPr>
      <w:r>
        <w:t xml:space="preserve">Table 2: Major Platform Inventories</w:t>
      </w:r>
    </w:p>
    <w:p>
      <w:pPr>
        <w:pStyle w:val="BodyText"/>
      </w:pPr>
      <w:r>
        <w:t xml:space="preserve">Table 2 reveals the scale asymmetry that defines the Toronto event aggregation market. Eventbrite alone lists 4–6x more events than findtorontoevents.ca’s current inventory of 1,084 events. The combined platform ecosystem — Eventbrite (4,500–6,500), Meetup (1,800–2,500), Ticketmaster (1,000–1,500), and Luma (500–1,000) — represents an estimated 7,800 to 11,500 events for the April–December 2026 period, before accounting for university events, library programs, and community centre activities</w:t>
      </w:r>
      <w:r>
        <w:t xml:space="preserve"> </w:t>
      </w:r>
      <w:fldSimple w:instr="NOTEREF _Ref_Footnote_2 \h \f">
        <w:r>
          <w:rPr>
            <w:vertAlign w:val="superscript"/>
          </w:rPr>
          <w:t>2</w:t>
        </w:r>
      </w:fldSimple>
      <w:r>
        <w:t xml:space="preserve">. The strategic implication is that findtorontoevents.ca is not competing against these platforms for inventory ownership — it cannot out-list Eventbrite — but rather for discovery utility: the ability to surface the right events from across platforms at the right time. This requires both breadth (integrating multiple source APIs) and depth (rich categorization, filtering, and recommendation) that no single platform currently provides. The recurring event series identified across Eventbrite and Meetup — Fiction Fridays, Bombay Nights, GTApreneurs networking, Toronto Singles in the City, language exchange socials, board game nights, and Toronto History Walks — collectively generate 200+ individual event listings per month that are poorly handled by traditional aggregator deduplication logic</w:t>
      </w:r>
      <w:r>
        <w:t xml:space="preserve"> </w:t>
      </w:r>
      <w:fldSimple w:instr="NOTEREF _Ref_Footnote_2 \h \f">
        <w:r>
          <w:rPr>
            <w:vertAlign w:val="superscript"/>
          </w:rPr>
          <w:t>2</w:t>
        </w:r>
      </w:fldSimple>
      <w:r>
        <w:t xml:space="preserve">.</w:t>
      </w:r>
    </w:p>
    <w:bookmarkEnd w:id="53"/>
    <w:bookmarkStart w:id="57" w:name="X10a4ddccbd70c83ce526fa75c6b3114a4e52a36"/>
    <w:p>
      <w:pPr>
        <w:pStyle w:val="Heading3"/>
      </w:pPr>
      <w:r>
        <w:t xml:space="preserve">3.3 Official and Cultural Institution Sources</w:t>
      </w:r>
    </w:p>
    <w:p>
      <w:pPr>
        <w:pStyle w:val="FirstParagraph"/>
      </w:pPr>
      <w:r>
        <w:t xml:space="preserve">The third competitive layer consists of institutional event sources that operate outside the commercial platform ecosystem. These sources are characterized by large inventory volumes, open or semi-open data access, and minimal or zero overlap with findtorontoevents.ca’s current coverage.</w:t>
      </w:r>
    </w:p>
    <w:p>
      <w:pPr>
        <w:pStyle w:val="BodyText"/>
      </w:pPr>
      <w:r>
        <w:rPr>
          <w:bCs/>
          <w:b/>
        </w:rPr>
        <w:t xml:space="preserve">The City of Toronto CKAN API</w:t>
      </w:r>
      <w:r>
        <w:t xml:space="preserve"> </w:t>
      </w:r>
      <w:r>
        <w:t xml:space="preserve">represents the most accessible official data source. The open data portal at open.toronto.ca publishes a festivals and events dataset refreshed daily under the Open Government Licence — Toronto, containing city-run festivals, community-submitted events, and recreation programs</w:t>
      </w:r>
      <w:r>
        <w:t xml:space="preserve"> </w:t>
      </w:r>
      <w:fldSimple w:instr="NOTEREF _Ref_Footnote_4 \h \f">
        <w:r>
          <w:rPr>
            <w:vertAlign w:val="superscript"/>
          </w:rPr>
          <w:t>4</w:t>
        </w:r>
      </w:fldSimple>
      <w:r>
        <w:t xml:space="preserve">. A CivicTechTO volunteer maintains a Schema.org JSON-LD proxy that transforms the CKAN feed into web-standard structured data with daily JSON Lines snapshots, effectively providing a zero-maintenance ingestion pipeline for any aggregator</w:t>
      </w:r>
      <w:r>
        <w:t xml:space="preserve"> </w:t>
      </w:r>
      <w:fldSimple w:instr="NOTEREF _Ref_Footnote_4 \h \f">
        <w:r>
          <w:rPr>
            <w:vertAlign w:val="superscript"/>
          </w:rPr>
          <w:t>4</w:t>
        </w:r>
      </w:fldSimple>
      <w:r>
        <w:t xml:space="preserve">. The city-run signature events alone include 15+ major festivals: Doors Open Toronto (May 23–24, 2026, 150+ buildings, estimated 200,000 attendees), Pride Month (June, festival weekend June 25–28), Canada Day (July 1), Summerlicious (July 3–19, 200+ restaurants), Nuit Blanche (October 3, 7:00 PM–7:00 AM, 20th edition), and Cavalcade of Lights (late November/December)</w:t>
      </w:r>
      <w:r>
        <w:t xml:space="preserve"> </w:t>
      </w:r>
      <w:fldSimple w:instr="NOTEREF _Ref_Footnote_4 \h \f">
        <w:r>
          <w:rPr>
            <w:vertAlign w:val="superscript"/>
          </w:rPr>
          <w:t>4</w:t>
        </w:r>
      </w:fldSimple>
      <w:r>
        <w:t xml:space="preserve">. Beyond festivals, the city’s broader calendar includes community events, recreation programs, and permit-based street events that number in the hundreds annually. The data feed includes lat/long coordinates, event categories, and date ranges in machine-readable format — making this the single highest-feasibility integration target for findtorontoevents.ca.</w:t>
      </w:r>
    </w:p>
    <w:p>
      <w:pPr>
        <w:pStyle w:val="BodyText"/>
      </w:pPr>
      <w:r>
        <w:rPr>
          <w:bCs/>
          <w:b/>
        </w:rPr>
        <w:t xml:space="preserve">The Toronto Public Library (TPL)</w:t>
      </w:r>
      <w:r>
        <w:t xml:space="preserve"> </w:t>
      </w:r>
      <w:r>
        <w:t xml:space="preserve">constitutes the largest single inventory gap in Toronto’s event ecosystem. With 100+ branches across the city, TPL delivers an estimated 7,000 to 10,000 programs annually spanning book clubs, author talks (Salon Series), AI education workshops (Learn AI), personal finance seminars, small business mentoring, health and wellness programs, cultural heritage programming (Asian Heritage Month, Black History, Jewish Heritage), Pride celebrations, and Pop-Up Learning Labs</w:t>
      </w:r>
      <w:r>
        <w:t xml:space="preserve"> </w:t>
      </w:r>
      <w:fldSimple w:instr="NOTEREF _Ref_Footnote_4 \h \f">
        <w:r>
          <w:rPr>
            <w:vertAlign w:val="superscript"/>
          </w:rPr>
          <w:t>4</w:t>
        </w:r>
      </w:fldSimple>
      <w:r>
        <w:t xml:space="preserve">. TPL publishes an open data feed through the City of Toronto Open Data Portal containing branch programs and events in structured format. Despite this data availability, TPL events are largely invisible to city-wide aggregators because they exist outside the commercial ticketing ecosystem that most scrapers target. The strategic significance is twofold: TPL events are free (removing price as a barrier to attendance) and they serve demographics — seniors, newcomers, families, job seekers — that are underrepresented in Eventbrite and Meetup’s predominantly young-professional user base. For an aggregator seeking to differentiate through inclusive coverage, TPL integration is not optional.</w:t>
      </w:r>
    </w:p>
    <w:p>
      <w:pPr>
        <w:pStyle w:val="BodyText"/>
      </w:pPr>
      <w:r>
        <w:rPr>
          <w:bCs/>
          <w:b/>
        </w:rPr>
        <w:t xml:space="preserve">Toronto’s three major universities</w:t>
      </w:r>
      <w:r>
        <w:t xml:space="preserve"> </w:t>
      </w:r>
      <w:r>
        <w:t xml:space="preserve">— the University of Toronto, York University, and Toronto Metropolitan University (TMU) — contribute an estimated 400 to 800 public events annually, though with substantially lower integration feasibility. U of T maintains a public EVE portal (public.eve.utoronto.ca) listing academic lectures, research showcases, conferences, and arts performances, with sample 2026 events including the Data Sciences Institute Info Session (May 4) and the Connaught PhDs for Public Impact Showcase (June 3)</w:t>
      </w:r>
      <w:r>
        <w:t xml:space="preserve"> </w:t>
      </w:r>
      <w:fldSimple w:instr="NOTEREF _Ref_Footnote_4 \h \f">
        <w:r>
          <w:rPr>
            <w:vertAlign w:val="superscript"/>
          </w:rPr>
          <w:t>4</w:t>
        </w:r>
      </w:fldSimple>
      <w:r>
        <w:t xml:space="preserve">. York University’s programming is more internally focused, dominated by academic conferences and design program exhibitions. TMU’s calendar includes research workshops and public lectures such as the TMU Social Policy Challenge (April 28) and the SSHAP 2026 Conference (July 6)</w:t>
      </w:r>
      <w:r>
        <w:t xml:space="preserve"> </w:t>
      </w:r>
      <w:fldSimple w:instr="NOTEREF _Ref_Footnote_4 \h \f">
        <w:r>
          <w:rPr>
            <w:vertAlign w:val="superscript"/>
          </w:rPr>
          <w:t>4</w:t>
        </w:r>
      </w:fldSimple>
      <w:r>
        <w:t xml:space="preserve">. None of these institutions publish machine-readable event feeds, and the events themselves are primarily academic in nature with limited appeal to general event seekers. The integration recommendation here is selective: capture only arts performances, public lectures, and major conferences that overlap with broader cultural interests.</w:t>
      </w:r>
    </w:p>
    <w:p>
      <w:pPr>
        <w:pStyle w:val="BodyText"/>
      </w:pPr>
      <w:r>
        <w:rPr>
          <w:bCs/>
          <w:b/>
        </w:rPr>
        <w:t xml:space="preserve">Cultural institutions</w:t>
      </w:r>
      <w:r>
        <w:t xml:space="preserve"> </w:t>
      </w:r>
      <w:r>
        <w:t xml:space="preserve">— the Art Gallery of Ontario (AGO), Royal Ontario Museum (ROM), TIFF Bell Lightbox, and Harbourfront Centre — collectively generate 300 to 500 events and exhibitions annually. The AGO’s 2026 calendar includes major exhibitions such as Paul McCartney Photographs 1963–1964 (February 18–June 7), The Impressionist Revolution: Monet to Matisse (June 24–October 18), and recurring Art Hangs on the last Friday of each month. The ROM’s programming spans Shokkan: Japanese Art Through Touch (through September 7), Bees: A Story of Survival (May 16–October 18), and Psychedelics (June 6–December 6), plus ROM After Dark evening social events</w:t>
      </w:r>
      <w:r>
        <w:t xml:space="preserve"> </w:t>
      </w:r>
      <w:fldSimple w:instr="NOTEREF _Ref_Footnote_4 \h \f">
        <w:r>
          <w:rPr>
            <w:vertAlign w:val="superscript"/>
          </w:rPr>
          <w:t>4</w:t>
        </w:r>
      </w:fldSimple>
      <w:r>
        <w:t xml:space="preserve">. TIFF operates year-round at the Bell Lightbox in addition to its September festival. Harbourfront Centre delivers daily programming including Summer Music in the Garden (June 21–August 27), KUUMBA (Black Futures Month), and Festival Kompa Zouk Ontario (August 2)</w:t>
      </w:r>
      <w:r>
        <w:t xml:space="preserve"> </w:t>
      </w:r>
      <w:fldSimple w:instr="NOTEREF _Ref_Footnote_4 \h \f">
        <w:r>
          <w:rPr>
            <w:vertAlign w:val="superscript"/>
          </w:rPr>
          <w:t>4</w:t>
        </w:r>
      </w:fldSimple>
      <w:r>
        <w:t xml:space="preserve">. These institutions publish event data only through their own websites, with no centralized API, but their events are partially captured by media aggregators like BlogTO and NOW Toronto.</w:t>
      </w:r>
    </w:p>
    <w:p>
      <w:pPr>
        <w:pStyle w:val="CaptionedFigure"/>
      </w:pPr>
      <w:r>
        <w:drawing>
          <wp:inline>
            <wp:extent cx="5334000" cy="2485195"/>
            <wp:effectExtent b="0" l="0" r="0" t="0"/>
            <wp:docPr descr="Table 3: Official and Cultural Institution Event Sources" title="" id="55" name="Picture"/>
            <a:graphic>
              <a:graphicData uri="http://schemas.openxmlformats.org/drawingml/2006/picture">
                <pic:pic>
                  <pic:nvPicPr>
                    <pic:cNvPr descr="/mnt/agents/output/table3_official_sources.png" id="56" name="Picture"/>
                    <pic:cNvPicPr>
                      <a:picLocks noChangeArrowheads="1" noChangeAspect="1"/>
                    </pic:cNvPicPr>
                  </pic:nvPicPr>
                  <pic:blipFill>
                    <a:blip r:embed="rId54"/>
                    <a:stretch>
                      <a:fillRect/>
                    </a:stretch>
                  </pic:blipFill>
                  <pic:spPr bwMode="auto">
                    <a:xfrm>
                      <a:off x="0" y="0"/>
                      <a:ext cx="5334000" cy="2485195"/>
                    </a:xfrm>
                    <a:prstGeom prst="rect">
                      <a:avLst/>
                    </a:prstGeom>
                    <a:noFill/>
                    <a:ln w="9525">
                      <a:noFill/>
                      <a:headEnd/>
                      <a:tailEnd/>
                    </a:ln>
                  </pic:spPr>
                </pic:pic>
              </a:graphicData>
            </a:graphic>
          </wp:inline>
        </w:drawing>
      </w:r>
    </w:p>
    <w:p>
      <w:pPr>
        <w:pStyle w:val="ImageCaption"/>
      </w:pPr>
      <w:r>
        <w:t xml:space="preserve">Table 3: Official and Cultural Institution Event Sources</w:t>
      </w:r>
    </w:p>
    <w:p>
      <w:pPr>
        <w:pStyle w:val="BodyText"/>
      </w:pPr>
      <w:r>
        <w:t xml:space="preserve">Table 3 reveals a stark accessibility gradient across institutional sources. The City of Toronto CKAN API and TPL Open Data feed are machine-readable, openly licensed, and refreshed daily — integration is primarily an engineering task. University and cultural institution data, by contrast, requires bespoke scrapers for HTML-only sources with irregular update patterns and no standard schema. The strategic calculus favors prioritizing the two high-feasibility integrations (City API + TPL) before committing development resources to lower-yield institutional scrapers. Together, the City API and TPL feed represent an estimated 7,500 to 11,000 annual events that are currently invisible to findtorontoevents.ca — a volume that would more than quadruple the platform’s current inventory of 1,084 events.</w:t>
      </w:r>
    </w:p>
    <w:bookmarkEnd w:id="57"/>
    <w:bookmarkStart w:id="61" w:name="X86e5e20b8ea685410e34c315f07dc1748f57c57"/>
    <w:p>
      <w:pPr>
        <w:pStyle w:val="Heading3"/>
      </w:pPr>
      <w:r>
        <w:t xml:space="preserve">3.4 2026 Major Festivals and the Competitive Calendar</w:t>
      </w:r>
    </w:p>
    <w:p>
      <w:pPr>
        <w:pStyle w:val="FirstParagraph"/>
      </w:pPr>
      <w:r>
        <w:t xml:space="preserve">The festival calendar anchors Toronto’s cultural identity and drives the highest-volume search queries for event discovery. Fifteen major festivals and signature events are confirmed for 2026, spanning film, music, sports, food, theatre, and contemporary art</w:t>
      </w:r>
      <w:r>
        <w:t xml:space="preserve"> </w:t>
      </w:r>
      <w:fldSimple w:instr="NOTEREF _Ref_Footnote_4 \h \f">
        <w:r>
          <w:rPr>
            <w:vertAlign w:val="superscript"/>
          </w:rPr>
          <w:t>4</w:t>
        </w:r>
      </w:fldSimple>
      <w:r>
        <w:t xml:space="preserve">.</w:t>
      </w:r>
    </w:p>
    <w:p>
      <w:pPr>
        <w:pStyle w:val="BodyText"/>
      </w:pPr>
      <w:r>
        <w:t xml:space="preserve">The first half of the year opens with Hot Docs (April 23–May 3), Canada’s largest documentary festival, screening 115+ films to approximately 50,000 attendees</w:t>
      </w:r>
      <w:r>
        <w:t xml:space="preserve"> </w:t>
      </w:r>
      <w:fldSimple w:instr="NOTEREF _Ref_Footnote_4 \h \f">
        <w:r>
          <w:rPr>
            <w:vertAlign w:val="superscript"/>
          </w:rPr>
          <w:t>4</w:t>
        </w:r>
      </w:fldSimple>
      <w:r>
        <w:t xml:space="preserve">. Doors Open Toronto (May 23–24) grants access to 150+ buildings under the theme</w:t>
      </w:r>
      <w:r>
        <w:t xml:space="preserve"> </w:t>
      </w:r>
      <w:r>
        <w:t xml:space="preserve">“</w:t>
      </w:r>
      <w:r>
        <w:t xml:space="preserve">The World in a City,</w:t>
      </w:r>
      <w:r>
        <w:t xml:space="preserve">”</w:t>
      </w:r>
      <w:r>
        <w:t xml:space="preserve"> </w:t>
      </w:r>
      <w:r>
        <w:t xml:space="preserve">drawing an estimated 200,000 visitors</w:t>
      </w:r>
      <w:r>
        <w:t xml:space="preserve"> </w:t>
      </w:r>
      <w:fldSimple w:instr="NOTEREF _Ref_Footnote_4 \h \f">
        <w:r>
          <w:rPr>
            <w:vertAlign w:val="superscript"/>
          </w:rPr>
          <w:t>4</w:t>
        </w:r>
      </w:fldSimple>
      <w:r>
        <w:t xml:space="preserve">. Canadian Music Week (May 2026, dates TBA) brings 1,000+ bands to venues across the city. The Luminato Festival (June 3–28) presents 50+ free and ticketed events with 140+ performances at Harbourfront Centre and venues city-wide. The TD Toronto Jazz Festival (June 19–28) occupies clubs and outdoor stages across downtown. The Toronto Fringe Festival (June 30–July 12) features 100+ theatre companies at 20+ venues</w:t>
      </w:r>
      <w:r>
        <w:t xml:space="preserve"> </w:t>
      </w:r>
      <w:fldSimple w:instr="NOTEREF _Ref_Footnote_4 \h \f">
        <w:r>
          <w:rPr>
            <w:vertAlign w:val="superscript"/>
          </w:rPr>
          <w:t>4</w:t>
        </w:r>
      </w:fldSimple>
      <w:r>
        <w:t xml:space="preserve">.</w:t>
      </w:r>
    </w:p>
    <w:p>
      <w:pPr>
        <w:pStyle w:val="BodyText"/>
      </w:pPr>
      <w:r>
        <w:t xml:space="preserve">The summer peak is defined by three mega-events with million-plus attendance. Pride Toronto (June 25–28, with month-long programming) draws over one million attendees to the parade alone, with 15+ official events distributed across the festival weekend</w:t>
      </w:r>
      <w:r>
        <w:t xml:space="preserve"> </w:t>
      </w:r>
      <w:fldSimple w:instr="NOTEREF _Ref_Footnote_4 \h \f">
        <w:r>
          <w:rPr>
            <w:vertAlign w:val="superscript"/>
          </w:rPr>
          <w:t>4</w:t>
        </w:r>
      </w:fldSimple>
      <w:r>
        <w:t xml:space="preserve">. The FIFA World Cup 2026 (June 12–July 2) brings six matches to BMO Field / Toronto Stadium, accompanied by the FIFA Fan Festival at Fort York and The Bentway running June 11–July 19</w:t>
      </w:r>
      <w:r>
        <w:t xml:space="preserve"> </w:t>
      </w:r>
      <w:fldSimple w:instr="NOTEREF _Ref_Footnote_4 \h \f">
        <w:r>
          <w:rPr>
            <w:vertAlign w:val="superscript"/>
          </w:rPr>
          <w:t>4</w:t>
        </w:r>
      </w:fldSimple>
      <w:r>
        <w:t xml:space="preserve">. The Toronto Caribbean Carnival / Caribana (July 30–August 3) culminates in the Grand Parade on August 1, with an estimated one million attendees and 10+ associated events listed on Eventbrite and official channels. Summerlicious (July 3–19) engages 200+ restaurants in a prix fixe program, while the Canadian National Exhibition (August 21–September 7) draws 1.5 million visitors over 18 days</w:t>
      </w:r>
      <w:r>
        <w:t xml:space="preserve"> </w:t>
      </w:r>
      <w:fldSimple w:instr="NOTEREF _Ref_Footnote_4 \h \f">
        <w:r>
          <w:rPr>
            <w:vertAlign w:val="superscript"/>
          </w:rPr>
          <w:t>4</w:t>
        </w:r>
      </w:fldSimple>
      <w:r>
        <w:t xml:space="preserve">.</w:t>
      </w:r>
    </w:p>
    <w:p>
      <w:pPr>
        <w:pStyle w:val="BodyText"/>
      </w:pPr>
      <w:r>
        <w:t xml:space="preserve">The autumn calendar features TIFF (September 10–20), the city’s preeminent cultural export, with its 51st edition offering 300+ films and an estimated 500,000+ attendees. The festival’s ticketing structure — member packages on sale June 10, public tickets August 31, schedule release August 11 — creates a predictable demand spike that aggregators can anticipate</w:t>
      </w:r>
      <w:r>
        <w:t xml:space="preserve"> </w:t>
      </w:r>
      <w:fldSimple w:instr="NOTEREF _Ref_Footnote_4 \h \f">
        <w:r>
          <w:rPr>
            <w:vertAlign w:val="superscript"/>
          </w:rPr>
          <w:t>4</w:t>
        </w:r>
      </w:fldSimple>
      <w:r>
        <w:t xml:space="preserve">. Nuit Blanche (October 3), celebrating its 20th edition under the theme</w:t>
      </w:r>
      <w:r>
        <w:t xml:space="preserve"> </w:t>
      </w:r>
      <w:r>
        <w:t xml:space="preserve">“</w:t>
      </w:r>
      <w:r>
        <w:t xml:space="preserve">Tomorrow’s Memories,</w:t>
      </w:r>
      <w:r>
        <w:t xml:space="preserve">”</w:t>
      </w:r>
      <w:r>
        <w:t xml:space="preserve"> </w:t>
      </w:r>
      <w:r>
        <w:t xml:space="preserve">runs 7:00 PM to 7:00 AM and attracts over one million participants to contemporary art installations across the city</w:t>
      </w:r>
      <w:r>
        <w:t xml:space="preserve"> </w:t>
      </w:r>
      <w:fldSimple w:instr="NOTEREF _Ref_Footnote_4 \h \f">
        <w:r>
          <w:rPr>
            <w:vertAlign w:val="superscript"/>
          </w:rPr>
          <w:t>4</w:t>
        </w:r>
      </w:fldSimple>
      <w:r>
        <w:t xml:space="preserve">. The National Bank Open (August 2026) adds professional women’s tennis at Sobeys Stadium to the sports calendar.</w:t>
      </w:r>
    </w:p>
    <w:p>
      <w:pPr>
        <w:pStyle w:val="CaptionedFigure"/>
      </w:pPr>
      <w:r>
        <w:drawing>
          <wp:inline>
            <wp:extent cx="5334000" cy="3119141"/>
            <wp:effectExtent b="0" l="0" r="0" t="0"/>
            <wp:docPr descr="Table 4: 2026 Major Toronto Festivals Calendar" title="" id="59" name="Picture"/>
            <a:graphic>
              <a:graphicData uri="http://schemas.openxmlformats.org/drawingml/2006/picture">
                <pic:pic>
                  <pic:nvPicPr>
                    <pic:cNvPr descr="/mnt/agents/output/table4_festivals_calendar.png" id="60" name="Picture"/>
                    <pic:cNvPicPr>
                      <a:picLocks noChangeArrowheads="1" noChangeAspect="1"/>
                    </pic:cNvPicPr>
                  </pic:nvPicPr>
                  <pic:blipFill>
                    <a:blip r:embed="rId58"/>
                    <a:stretch>
                      <a:fillRect/>
                    </a:stretch>
                  </pic:blipFill>
                  <pic:spPr bwMode="auto">
                    <a:xfrm>
                      <a:off x="0" y="0"/>
                      <a:ext cx="5334000" cy="3119141"/>
                    </a:xfrm>
                    <a:prstGeom prst="rect">
                      <a:avLst/>
                    </a:prstGeom>
                    <a:noFill/>
                    <a:ln w="9525">
                      <a:noFill/>
                      <a:headEnd/>
                      <a:tailEnd/>
                    </a:ln>
                  </pic:spPr>
                </pic:pic>
              </a:graphicData>
            </a:graphic>
          </wp:inline>
        </w:drawing>
      </w:r>
    </w:p>
    <w:p>
      <w:pPr>
        <w:pStyle w:val="ImageCaption"/>
      </w:pPr>
      <w:r>
        <w:t xml:space="preserve">Table 4: 2026 Major Toronto Festivals Calendar</w:t>
      </w:r>
    </w:p>
    <w:p>
      <w:pPr>
        <w:pStyle w:val="BodyText"/>
      </w:pPr>
      <w:r>
        <w:t xml:space="preserve">Table 4 illustrates the density and diversity of Toronto’s festival ecosystem. Six of the fifteen listed events attract over one million attendees; four are city-run and supported by open data feeds; and all fifteen distribute event information across multiple platforms (official websites, Eventbrite, Ticketmaster, media partners, and social channels). For findtorontoevents.ca, this fragmentation represents both a challenge and an opportunity. The challenge is that no single API captures all festival sub-events — a major festival like Caribana or Pride may have 10 to 25 individually ticketed events across three or more platforms. The opportunity is that users demonstrably want unified festival schedules: search volume for</w:t>
      </w:r>
      <w:r>
        <w:t xml:space="preserve"> </w:t>
      </w:r>
      <w:r>
        <w:t xml:space="preserve">“</w:t>
      </w:r>
      <w:r>
        <w:t xml:space="preserve">Caribana events</w:t>
      </w:r>
      <w:r>
        <w:t xml:space="preserve">”</w:t>
      </w:r>
      <w:r>
        <w:t xml:space="preserve"> </w:t>
      </w:r>
      <w:r>
        <w:t xml:space="preserve">and</w:t>
      </w:r>
      <w:r>
        <w:t xml:space="preserve"> </w:t>
      </w:r>
      <w:r>
        <w:t xml:space="preserve">“</w:t>
      </w:r>
      <w:r>
        <w:t xml:space="preserve">TIFF tickets</w:t>
      </w:r>
      <w:r>
        <w:t xml:space="preserve">”</w:t>
      </w:r>
      <w:r>
        <w:t xml:space="preserve"> </w:t>
      </w:r>
      <w:r>
        <w:t xml:space="preserve">spikes in the weeks preceding each festival, and no existing aggregator provides a complete cross-platform view. The FIFA World Cup, in particular, represents a unique 2026 inflection point: with matches spread across June and July and the Fan Festival running 39 consecutive days, the volume of associated events (watch parties, cultural programming, hospitality promotions) will exceed any previous Toronto sporting event. An aggregator that can capture and categorize these sub-events in real-time would capture significant search traffic during a period of elevated event discovery intent.</w:t>
      </w:r>
    </w:p>
    <w:p>
      <w:pPr>
        <w:pStyle w:val="BodyText"/>
      </w:pPr>
      <w:r>
        <w:t xml:space="preserve">The competitive landscape, viewed in its totality, reveals that findtorontoevents.ca operates in a market defined not by scarcity but by fragmentation. An estimated 10,000 to 16,500 unique events occur in Toronto between April and December 2026 across the platforms and institutions mapped in this chapter</w:t>
      </w:r>
      <w:r>
        <w:t xml:space="preserve"> </w:t>
      </w:r>
      <w:fldSimple w:instr="NOTEREF _Ref_Footnote_2 \h \f">
        <w:r>
          <w:rPr>
            <w:vertAlign w:val="superscript"/>
          </w:rPr>
          <w:t>2</w:t>
        </w:r>
      </w:fldSimple>
      <w:r>
        <w:t xml:space="preserve">. The singles competitors alone demonstrate that 32 events in a high-intent, high-willingness-to-pay category can exist entirely outside an aggregator’s field of view. Eventbrite’s 4,500+ events, Meetup’s 1,800+ recurring gatherings, TPL’s 7,000–10,000 programs, and the city’s 15+ signature festivals each represent distinct data integration challenges with corresponding user value if solved. Chapter 4 will quantify the specific coverage shortfalls and prioritize integration pathways based on the feasibility and yield data presented here.</w:t>
      </w:r>
      <w:r>
        <w:t xml:space="preserve"> </w:t>
      </w:r>
      <w:r>
        <w:t xml:space="preserve">## 4. Gap Analysis and Coverage Matrix</w:t>
      </w:r>
    </w:p>
    <w:p>
      <w:pPr>
        <w:pStyle w:val="BodyText"/>
      </w:pPr>
      <w:r>
        <w:t xml:space="preserve">Chapter 3 mapped Toronto’s event ecosystem across twelve distinct platforms and institutional sources. This chapter translates that inventory into a rigorous coverage assessment for findtorontoevents.ca (FTE), quantifying what the aggregator captures, what it misses, and where the most consequential gaps lie. The analysis proceeds from aggregate coverage ratios through category-specific blind spots, temporal fidelity, and search engine visibility.</w:t>
      </w:r>
    </w:p>
    <w:bookmarkEnd w:id="61"/>
    <w:bookmarkStart w:id="68" w:name="quantitative-coverage-comparison"/>
    <w:p>
      <w:pPr>
        <w:pStyle w:val="Heading3"/>
      </w:pPr>
      <w:r>
        <w:t xml:space="preserve">4.1 Quantitative Coverage Comparison</w:t>
      </w:r>
    </w:p>
    <w:bookmarkStart w:id="65" w:name="Xfd4e7350dac2afacdd9a2db661b4a72f404cc95"/>
    <w:p>
      <w:pPr>
        <w:pStyle w:val="Heading4"/>
      </w:pPr>
      <w:r>
        <w:t xml:space="preserve">4.1.1 Overall Coverage Ratio: 29–44% of Total Inventory</w:t>
      </w:r>
    </w:p>
    <w:p>
      <w:pPr>
        <w:pStyle w:val="FirstParagraph"/>
      </w:pPr>
      <w:r>
        <w:t xml:space="preserve">The FTE database contains 4,422 events in its JSON payload, of which 1,084 display on the homepage after default filters (price cap, sold-out suppression, ongoing-event hiding).</w:t>
      </w:r>
      <w:fldSimple w:instr="NOTEREF _Ref_Footnote_1 \h \f">
        <w:r>
          <w:rPr>
            <w:vertAlign w:val="superscript"/>
          </w:rPr>
          <w:t>1</w:t>
        </w:r>
      </w:fldSimple>
      <w:r>
        <w:t xml:space="preserve">Scraped daily from ~30 sources and deduplicated by normalized title and date, these events represent a coverage ratio of approximately 29–44% against the total Toronto ecosystem, which independent estimates place at 10,000–15,000+ unique events annually.</w:t>
      </w:r>
      <w:fldSimple w:instr="NOTEREF _Ref_Footnote_4 \h \f">
        <w:r>
          <w:rPr>
            <w:vertAlign w:val="superscript"/>
          </w:rPr>
          <w:t>4</w:t>
        </w:r>
      </w:fldSimple>
      <w:r>
        <w:t xml:space="preserve">Using the midpoint estimate of ~12,500 events yields a 35.3% capture rate — roughly one-third of the city’s programming.</w:t>
      </w:r>
      <w:fldSimple w:instr="NOTEREF _Ref_Footnote_4 \h \f">
        <w:r>
          <w:rPr>
            <w:vertAlign w:val="superscript"/>
          </w:rPr>
          <w:t>4</w:t>
        </w:r>
      </w:fldSimple>
      <w:r>
        <w:drawing>
          <wp:inline>
            <wp:extent cx="5334000" cy="6528524"/>
            <wp:effectExtent b="0" l="0" r="0" t="0"/>
            <wp:docPr descr="Toronto Event Ecosystem Coverage Gap Analysis" title="" id="63" name="Picture"/>
            <a:graphic>
              <a:graphicData uri="http://schemas.openxmlformats.org/drawingml/2006/picture">
                <pic:pic>
                  <pic:nvPicPr>
                    <pic:cNvPr descr="/mnt/agents/output/events_audit_chart_ch4.png" id="64" name="Picture"/>
                    <pic:cNvPicPr>
                      <a:picLocks noChangeArrowheads="1" noChangeAspect="1"/>
                    </pic:cNvPicPr>
                  </pic:nvPicPr>
                  <pic:blipFill>
                    <a:blip r:embed="rId62"/>
                    <a:stretch>
                      <a:fillRect/>
                    </a:stretch>
                  </pic:blipFill>
                  <pic:spPr bwMode="auto">
                    <a:xfrm>
                      <a:off x="0" y="0"/>
                      <a:ext cx="5334000" cy="6528524"/>
                    </a:xfrm>
                    <a:prstGeom prst="rect">
                      <a:avLst/>
                    </a:prstGeom>
                    <a:noFill/>
                    <a:ln w="9525">
                      <a:noFill/>
                      <a:headEnd/>
                      <a:tailEnd/>
                    </a:ln>
                  </pic:spPr>
                </pic:pic>
              </a:graphicData>
            </a:graphic>
          </wp:inline>
        </w:drawing>
      </w:r>
    </w:p>
    <w:p>
      <w:pPr>
        <w:pStyle w:val="BodyText"/>
      </w:pPr>
      <w:r>
        <w:rPr>
          <w:iCs/>
          <w:i/>
        </w:rPr>
        <w:t xml:space="preserve">Figure 4.1 — Coverage gap breakdown. FTE captures 35.3% of the estimated ~12,500-event Toronto ecosystem. The 64.7% missed inventory comprises free community programs (22.4%), commercial ticketing remainders (25.6%), social/grassroots gatherings (12.0%), and niche/emerging categories (4.8%).</w:t>
      </w:r>
      <w:fldSimple w:instr="NOTEREF _Ref_Footnote_4 \h \f">
        <w:r>
          <w:rPr>
            <w:vertAlign w:val="superscript"/>
          </w:rPr>
          <w:t>4</w:t>
        </w:r>
      </w:fldSimple>
      <w:r>
        <w:t xml:space="preserve"> </w:t>
      </w:r>
      <w:fldSimple w:instr="NOTEREF _Ref_Footnote_3 \h \f">
        <w:r>
          <w:rPr>
            <w:vertAlign w:val="superscript"/>
          </w:rPr>
          <w:t>3</w:t>
        </w:r>
      </w:fldSimple>
      <w:r>
        <w:t xml:space="preserve">The largest missed segment is paid and commercial events on Eventbrite and Ticketmaster that FTE’s scrapers do not reach. The second-largest — free community programs from TPL and city recreation centres — is structurally inaccessible because FTE does not scrape these sources. Together these two segments account for 48 of the 64.7 missed percentage points, making them the highest-priority expansion targets.</w:t>
      </w:r>
    </w:p>
    <w:bookmarkEnd w:id="65"/>
    <w:bookmarkStart w:id="66" w:name="X761c1a54de4388373c784c0ac031697174ba0fa"/>
    <w:p>
      <w:pPr>
        <w:pStyle w:val="Heading4"/>
      </w:pPr>
      <w:r>
        <w:t xml:space="preserve">4.1.2 Against Eventbrite: Near Parity on Major Ticketed Events</w:t>
      </w:r>
    </w:p>
    <w:p>
      <w:pPr>
        <w:pStyle w:val="FirstParagraph"/>
      </w:pPr>
      <w:r>
        <w:t xml:space="preserve">Eventbrite lists an estimated 4,500–6,500 Toronto events for April–December 2026.</w:t>
      </w:r>
      <w:fldSimple w:instr="NOTEREF _Ref_Footnote_1 \h \f">
        <w:r>
          <w:rPr>
            <w:vertAlign w:val="superscript"/>
          </w:rPr>
          <w:t>1</w:t>
        </w:r>
      </w:fldSimple>
      <w:r>
        <w:t xml:space="preserve">FTE captures 637 of these — 11.6% of the platform’s inventory.</w:t>
      </w:r>
      <w:fldSimple w:instr="NOTEREF _Ref_Footnote_2 \h \f">
        <w:r>
          <w:rPr>
            <w:vertAlign w:val="superscript"/>
          </w:rPr>
          <w:t>2</w:t>
        </w:r>
      </w:fldSimple>
      <w:r>
        <w:t xml:space="preserve">This headline understates FTE’s competitiveness in the ticketed segment, because Eventbrite’s inventory is heavily skewed toward recurring small events: ~70% of nightlife listings and ~60% of singles events are weekly or monthly repeats.</w:t>
      </w:r>
      <w:fldSimple w:instr="NOTEREF _Ref_Footnote_1 \h \f">
        <w:r>
          <w:rPr>
            <w:vertAlign w:val="superscript"/>
          </w:rPr>
          <w:t>1</w:t>
        </w:r>
      </w:fldSimple>
      <w:r>
        <w:t xml:space="preserve">FTE’s scraper targets higher-profile listings — major festivals, one-off concerts, branded conferences — meaning it competes for high-intent ticketed programming rather than the long tail of recurring club nights and fitness classes.</w:t>
      </w:r>
    </w:p>
    <w:bookmarkEnd w:id="66"/>
    <w:bookmarkStart w:id="67" w:name="Xcbde5e44cf4b43596cee76011a0a701ae1db69f"/>
    <w:p>
      <w:pPr>
        <w:pStyle w:val="Heading4"/>
      </w:pPr>
      <w:r>
        <w:t xml:space="preserve">4.1.3 Free Community Events: The Largest Structural Gap</w:t>
      </w:r>
    </w:p>
    <w:p>
      <w:pPr>
        <w:pStyle w:val="FirstParagraph"/>
      </w:pPr>
      <w:r>
        <w:t xml:space="preserve">The Toronto Public Library delivers an estimated 7,000–10,000 programs annually across 100+ branches — book clubs, AI workshops, author talks, health seminars, children’s storytimes — and FTE captures none of them.</w:t>
      </w:r>
      <w:fldSimple w:instr="NOTEREF _Ref_Footnote_5 \h \f">
        <w:r>
          <w:rPr>
            <w:vertAlign w:val="superscript"/>
          </w:rPr>
          <w:t>5</w:t>
        </w:r>
      </w:fldSimple>
      <w:r>
        <w:t xml:space="preserve">TPL publishes an open data feed through the City of Toronto Open Data Portal, making this an integration gap rather than a scraper limitation.</w:t>
      </w:r>
      <w:fldSimple w:instr="NOTEREF _Ref_Footnote_5 \h \f">
        <w:r>
          <w:rPr>
            <w:vertAlign w:val="superscript"/>
          </w:rPr>
          <w:t>5</w:t>
        </w:r>
      </w:fldSimple>
      <w:r>
        <w:t xml:space="preserve">Meetup compounds the deficit: 65% of its Toronto events are free, yet FTE captures only 464 of 1,800–2,500 total Meetup events (21.6% coverage).</w:t>
      </w:r>
      <w:fldSimple w:instr="NOTEREF _Ref_Footnote_1 \h \f">
        <w:r>
          <w:rPr>
            <w:vertAlign w:val="superscript"/>
          </w:rPr>
          <w:t>1</w:t>
        </w:r>
      </w:fldSimple>
      <w:r>
        <w:t xml:space="preserve">The 1,300+ free Meetup gatherings FTE misses — language exchanges, board game nights, walking groups — are effectively invisible. Facebook Events adds 2,000–5,000 grassroots events annually, though duplicate listings and private events make this inventory unreliable.</w:t>
      </w:r>
      <w:fldSimple w:instr="NOTEREF _Ref_Footnote_1 \h \f">
        <w:r>
          <w:rPr>
            <w:vertAlign w:val="superscript"/>
          </w:rPr>
          <w:t>1</w:t>
        </w:r>
      </w:fldSimple>
      <w:r>
        <w:t xml:space="preserve">Table 4.1 consolidates the coverage picture across all major sources.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Total Inventory</w:t>
            </w:r>
          </w:p>
        </w:tc>
        <w:tc>
          <w:tcPr/>
          <w:p>
            <w:pPr>
              <w:pStyle w:val="Compact"/>
              <w:jc w:val="left"/>
            </w:pPr>
            <w:r>
              <w:t xml:space="preserve">Captured by FTE</w:t>
            </w:r>
          </w:p>
        </w:tc>
        <w:tc>
          <w:tcPr/>
          <w:p>
            <w:pPr>
              <w:pStyle w:val="Compact"/>
              <w:jc w:val="left"/>
            </w:pPr>
            <w:r>
              <w:t xml:space="preserve">Missed</w:t>
            </w:r>
          </w:p>
        </w:tc>
        <w:tc>
          <w:tcPr/>
          <w:p>
            <w:pPr>
              <w:pStyle w:val="Compact"/>
              <w:jc w:val="left"/>
            </w:pPr>
            <w:r>
              <w:t xml:space="preserve">Coverage %</w:t>
            </w:r>
          </w:p>
        </w:tc>
        <w:tc>
          <w:tcPr/>
          <w:p>
            <w:pPr>
              <w:pStyle w:val="Compact"/>
              <w:jc w:val="left"/>
            </w:pPr>
            <w:r>
              <w:t xml:space="preserve">Gap Severity</w:t>
            </w:r>
          </w:p>
        </w:tc>
      </w:tr>
      <w:tr>
        <w:tc>
          <w:tcPr/>
          <w:p>
            <w:pPr>
              <w:pStyle w:val="Compact"/>
              <w:jc w:val="left"/>
            </w:pPr>
            <w:r>
              <w:t xml:space="preserve">NOW Toronto</w:t>
            </w:r>
          </w:p>
        </w:tc>
        <w:tc>
          <w:tcPr/>
          <w:p>
            <w:pPr>
              <w:pStyle w:val="Compact"/>
              <w:jc w:val="left"/>
            </w:pPr>
            <w:r>
              <w:t xml:space="preserve">~2,000</w:t>
            </w:r>
          </w:p>
        </w:tc>
        <w:tc>
          <w:tcPr/>
          <w:p>
            <w:pPr>
              <w:pStyle w:val="Compact"/>
              <w:jc w:val="left"/>
            </w:pPr>
            <w:r>
              <w:t xml:space="preserve">~1,956</w:t>
            </w:r>
          </w:p>
        </w:tc>
        <w:tc>
          <w:tcPr/>
          <w:p>
            <w:pPr>
              <w:pStyle w:val="Compact"/>
              <w:jc w:val="left"/>
            </w:pPr>
            <w:r>
              <w:t xml:space="preserve">~44</w:t>
            </w:r>
          </w:p>
        </w:tc>
        <w:tc>
          <w:tcPr/>
          <w:p>
            <w:pPr>
              <w:pStyle w:val="Compact"/>
              <w:jc w:val="left"/>
            </w:pPr>
            <w:r>
              <w:t xml:space="preserve">~98%</w:t>
            </w:r>
          </w:p>
        </w:tc>
        <w:tc>
          <w:tcPr/>
          <w:p>
            <w:pPr>
              <w:pStyle w:val="Compact"/>
              <w:jc w:val="left"/>
            </w:pPr>
            <w:r>
              <w:t xml:space="preserve">Negligible</w:t>
            </w:r>
          </w:p>
        </w:tc>
      </w:tr>
      <w:tr>
        <w:tc>
          <w:tcPr/>
          <w:p>
            <w:pPr>
              <w:pStyle w:val="Compact"/>
              <w:jc w:val="left"/>
            </w:pPr>
            <w:r>
              <w:t xml:space="preserve">Cultural Institutions (AGO, ROM, TBG, etc.)</w:t>
            </w:r>
          </w:p>
        </w:tc>
        <w:tc>
          <w:tcPr/>
          <w:p>
            <w:pPr>
              <w:pStyle w:val="Compact"/>
              <w:jc w:val="left"/>
            </w:pPr>
            <w:r>
              <w:t xml:space="preserve">~750</w:t>
            </w:r>
          </w:p>
        </w:tc>
        <w:tc>
          <w:tcPr/>
          <w:p>
            <w:pPr>
              <w:pStyle w:val="Compact"/>
              <w:jc w:val="left"/>
            </w:pPr>
            <w:r>
              <w:t xml:space="preserve">~468</w:t>
            </w:r>
          </w:p>
        </w:tc>
        <w:tc>
          <w:tcPr/>
          <w:p>
            <w:pPr>
              <w:pStyle w:val="Compact"/>
              <w:jc w:val="left"/>
            </w:pPr>
            <w:r>
              <w:t xml:space="preserve">~282</w:t>
            </w:r>
          </w:p>
        </w:tc>
        <w:tc>
          <w:tcPr/>
          <w:p>
            <w:pPr>
              <w:pStyle w:val="Compact"/>
              <w:jc w:val="left"/>
            </w:pPr>
            <w:r>
              <w:t xml:space="preserve">~62%</w:t>
            </w:r>
          </w:p>
        </w:tc>
        <w:tc>
          <w:tcPr/>
          <w:p>
            <w:pPr>
              <w:pStyle w:val="Compact"/>
              <w:jc w:val="left"/>
            </w:pPr>
            <w:r>
              <w:t xml:space="preserve">Moderate</w:t>
            </w:r>
          </w:p>
        </w:tc>
      </w:tr>
      <w:tr>
        <w:tc>
          <w:tcPr/>
          <w:p>
            <w:pPr>
              <w:pStyle w:val="Compact"/>
              <w:jc w:val="left"/>
            </w:pPr>
            <w:r>
              <w:t xml:space="preserve">Ticketmaster / Major Venues</w:t>
            </w:r>
          </w:p>
        </w:tc>
        <w:tc>
          <w:tcPr/>
          <w:p>
            <w:pPr>
              <w:pStyle w:val="Compact"/>
              <w:jc w:val="left"/>
            </w:pPr>
            <w:r>
              <w:t xml:space="preserve">~1,250</w:t>
            </w:r>
          </w:p>
        </w:tc>
        <w:tc>
          <w:tcPr/>
          <w:p>
            <w:pPr>
              <w:pStyle w:val="Compact"/>
              <w:jc w:val="left"/>
            </w:pPr>
            <w:r>
              <w:t xml:space="preserve">~500</w:t>
            </w:r>
          </w:p>
        </w:tc>
        <w:tc>
          <w:tcPr/>
          <w:p>
            <w:pPr>
              <w:pStyle w:val="Compact"/>
              <w:jc w:val="left"/>
            </w:pPr>
            <w:r>
              <w:t xml:space="preserve">~750</w:t>
            </w:r>
          </w:p>
        </w:tc>
        <w:tc>
          <w:tcPr/>
          <w:p>
            <w:pPr>
              <w:pStyle w:val="Compact"/>
              <w:jc w:val="left"/>
            </w:pPr>
            <w:r>
              <w:t xml:space="preserve">~40%</w:t>
            </w:r>
          </w:p>
        </w:tc>
        <w:tc>
          <w:tcPr/>
          <w:p>
            <w:pPr>
              <w:pStyle w:val="Compact"/>
              <w:jc w:val="left"/>
            </w:pPr>
            <w:r>
              <w:t xml:space="preserve">Moderate</w:t>
            </w:r>
          </w:p>
        </w:tc>
      </w:tr>
      <w:tr>
        <w:tc>
          <w:tcPr/>
          <w:p>
            <w:pPr>
              <w:pStyle w:val="Compact"/>
              <w:jc w:val="left"/>
            </w:pPr>
            <w:r>
              <w:t xml:space="preserve">Meetup</w:t>
            </w:r>
          </w:p>
        </w:tc>
        <w:tc>
          <w:tcPr/>
          <w:p>
            <w:pPr>
              <w:pStyle w:val="Compact"/>
              <w:jc w:val="left"/>
            </w:pPr>
            <w:r>
              <w:t xml:space="preserve">~2,150</w:t>
            </w:r>
          </w:p>
        </w:tc>
        <w:tc>
          <w:tcPr/>
          <w:p>
            <w:pPr>
              <w:pStyle w:val="Compact"/>
              <w:jc w:val="left"/>
            </w:pPr>
            <w:r>
              <w:t xml:space="preserve">464</w:t>
            </w:r>
          </w:p>
        </w:tc>
        <w:tc>
          <w:tcPr/>
          <w:p>
            <w:pPr>
              <w:pStyle w:val="Compact"/>
              <w:jc w:val="left"/>
            </w:pPr>
            <w:r>
              <w:t xml:space="preserve">~1,686</w:t>
            </w:r>
          </w:p>
        </w:tc>
        <w:tc>
          <w:tcPr/>
          <w:p>
            <w:pPr>
              <w:pStyle w:val="Compact"/>
              <w:jc w:val="left"/>
            </w:pPr>
            <w:r>
              <w:t xml:space="preserve">21.6%</w:t>
            </w:r>
          </w:p>
        </w:tc>
        <w:tc>
          <w:tcPr/>
          <w:p>
            <w:pPr>
              <w:pStyle w:val="Compact"/>
              <w:jc w:val="left"/>
            </w:pPr>
            <w:r>
              <w:t xml:space="preserve">High</w:t>
            </w:r>
          </w:p>
        </w:tc>
      </w:tr>
      <w:tr>
        <w:tc>
          <w:tcPr/>
          <w:p>
            <w:pPr>
              <w:pStyle w:val="Compact"/>
              <w:jc w:val="left"/>
            </w:pPr>
            <w:r>
              <w:t xml:space="preserve">Eventbrite</w:t>
            </w:r>
          </w:p>
        </w:tc>
        <w:tc>
          <w:tcPr/>
          <w:p>
            <w:pPr>
              <w:pStyle w:val="Compact"/>
              <w:jc w:val="left"/>
            </w:pPr>
            <w:r>
              <w:t xml:space="preserve">~5,500</w:t>
            </w:r>
          </w:p>
        </w:tc>
        <w:tc>
          <w:tcPr/>
          <w:p>
            <w:pPr>
              <w:pStyle w:val="Compact"/>
              <w:jc w:val="left"/>
            </w:pPr>
            <w:r>
              <w:t xml:space="preserve">637</w:t>
            </w:r>
          </w:p>
        </w:tc>
        <w:tc>
          <w:tcPr/>
          <w:p>
            <w:pPr>
              <w:pStyle w:val="Compact"/>
              <w:jc w:val="left"/>
            </w:pPr>
            <w:r>
              <w:t xml:space="preserve">~4,863</w:t>
            </w:r>
          </w:p>
        </w:tc>
        <w:tc>
          <w:tcPr/>
          <w:p>
            <w:pPr>
              <w:pStyle w:val="Compact"/>
              <w:jc w:val="left"/>
            </w:pPr>
            <w:r>
              <w:t xml:space="preserve">11.6%</w:t>
            </w:r>
          </w:p>
        </w:tc>
        <w:tc>
          <w:tcPr/>
          <w:p>
            <w:pPr>
              <w:pStyle w:val="Compact"/>
              <w:jc w:val="left"/>
            </w:pPr>
            <w:r>
              <w:t xml:space="preserve">Critical</w:t>
            </w:r>
          </w:p>
        </w:tc>
      </w:tr>
      <w:tr>
        <w:tc>
          <w:tcPr/>
          <w:p>
            <w:pPr>
              <w:pStyle w:val="Compact"/>
              <w:jc w:val="left"/>
            </w:pPr>
            <w:r>
              <w:t xml:space="preserve">City of Toronto (CKAN API)</w:t>
            </w:r>
          </w:p>
        </w:tc>
        <w:tc>
          <w:tcPr/>
          <w:p>
            <w:pPr>
              <w:pStyle w:val="Compact"/>
              <w:jc w:val="left"/>
            </w:pPr>
            <w:r>
              <w:t xml:space="preserve">~300</w:t>
            </w:r>
          </w:p>
        </w:tc>
        <w:tc>
          <w:tcPr/>
          <w:p>
            <w:pPr>
              <w:pStyle w:val="Compact"/>
              <w:jc w:val="left"/>
            </w:pPr>
            <w:r>
              <w:t xml:space="preserve">19</w:t>
            </w:r>
          </w:p>
        </w:tc>
        <w:tc>
          <w:tcPr/>
          <w:p>
            <w:pPr>
              <w:pStyle w:val="Compact"/>
              <w:jc w:val="left"/>
            </w:pPr>
            <w:r>
              <w:t xml:space="preserve">~281</w:t>
            </w:r>
          </w:p>
        </w:tc>
        <w:tc>
          <w:tcPr/>
          <w:p>
            <w:pPr>
              <w:pStyle w:val="Compact"/>
              <w:jc w:val="left"/>
            </w:pPr>
            <w:r>
              <w:t xml:space="preserve">6.3%</w:t>
            </w:r>
          </w:p>
        </w:tc>
        <w:tc>
          <w:tcPr/>
          <w:p>
            <w:pPr>
              <w:pStyle w:val="Compact"/>
              <w:jc w:val="left"/>
            </w:pPr>
            <w:r>
              <w:t xml:space="preserve">Critical</w:t>
            </w:r>
          </w:p>
        </w:tc>
      </w:tr>
      <w:tr>
        <w:tc>
          <w:tcPr/>
          <w:p>
            <w:pPr>
              <w:pStyle w:val="Compact"/>
              <w:jc w:val="left"/>
            </w:pPr>
            <w:r>
              <w:t xml:space="preserve">Facebook Events</w:t>
            </w:r>
          </w:p>
        </w:tc>
        <w:tc>
          <w:tcPr/>
          <w:p>
            <w:pPr>
              <w:pStyle w:val="Compact"/>
              <w:jc w:val="left"/>
            </w:pPr>
            <w:r>
              <w:t xml:space="preserve">~3,500</w:t>
            </w:r>
          </w:p>
        </w:tc>
        <w:tc>
          <w:tcPr/>
          <w:p>
            <w:pPr>
              <w:pStyle w:val="Compact"/>
              <w:jc w:val="left"/>
            </w:pPr>
            <w:r>
              <w:t xml:space="preserve">~50</w:t>
            </w:r>
          </w:p>
        </w:tc>
        <w:tc>
          <w:tcPr/>
          <w:p>
            <w:pPr>
              <w:pStyle w:val="Compact"/>
              <w:jc w:val="left"/>
            </w:pPr>
            <w:r>
              <w:t xml:space="preserve">~3,450</w:t>
            </w:r>
          </w:p>
        </w:tc>
        <w:tc>
          <w:tcPr/>
          <w:p>
            <w:pPr>
              <w:pStyle w:val="Compact"/>
              <w:jc w:val="left"/>
            </w:pPr>
            <w:r>
              <w:t xml:space="preserve">~1%</w:t>
            </w:r>
          </w:p>
        </w:tc>
        <w:tc>
          <w:tcPr/>
          <w:p>
            <w:pPr>
              <w:pStyle w:val="Compact"/>
              <w:jc w:val="left"/>
            </w:pPr>
            <w:r>
              <w:t xml:space="preserve">Critical</w:t>
            </w:r>
          </w:p>
        </w:tc>
      </w:tr>
      <w:tr>
        <w:tc>
          <w:tcPr/>
          <w:p>
            <w:pPr>
              <w:pStyle w:val="Compact"/>
              <w:jc w:val="left"/>
            </w:pPr>
            <w:r>
              <w:t xml:space="preserve">Luma</w:t>
            </w:r>
          </w:p>
        </w:tc>
        <w:tc>
          <w:tcPr/>
          <w:p>
            <w:pPr>
              <w:pStyle w:val="Compact"/>
              <w:jc w:val="left"/>
            </w:pPr>
            <w:r>
              <w:t xml:space="preserve">~750</w:t>
            </w:r>
          </w:p>
        </w:tc>
        <w:tc>
          <w:tcPr/>
          <w:p>
            <w:pPr>
              <w:pStyle w:val="Compact"/>
              <w:jc w:val="left"/>
            </w:pPr>
            <w:r>
              <w:t xml:space="preserve">0</w:t>
            </w:r>
          </w:p>
        </w:tc>
        <w:tc>
          <w:tcPr/>
          <w:p>
            <w:pPr>
              <w:pStyle w:val="Compact"/>
              <w:jc w:val="left"/>
            </w:pPr>
            <w:r>
              <w:t xml:space="preserve">750</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Singles / Dating (3 operators)</w:t>
            </w:r>
          </w:p>
        </w:tc>
        <w:tc>
          <w:tcPr/>
          <w:p>
            <w:pPr>
              <w:pStyle w:val="Compact"/>
              <w:jc w:val="left"/>
            </w:pPr>
            <w:r>
              <w:t xml:space="preserve">32</w:t>
            </w:r>
          </w:p>
        </w:tc>
        <w:tc>
          <w:tcPr/>
          <w:p>
            <w:pPr>
              <w:pStyle w:val="Compact"/>
              <w:jc w:val="left"/>
            </w:pPr>
            <w:r>
              <w:t xml:space="preserve">0</w:t>
            </w:r>
          </w:p>
        </w:tc>
        <w:tc>
          <w:tcPr/>
          <w:p>
            <w:pPr>
              <w:pStyle w:val="Compact"/>
              <w:jc w:val="left"/>
            </w:pPr>
            <w:r>
              <w:t xml:space="preserve">32</w:t>
            </w:r>
          </w:p>
        </w:tc>
        <w:tc>
          <w:tcPr/>
          <w:p>
            <w:pPr>
              <w:pStyle w:val="Compact"/>
              <w:jc w:val="left"/>
            </w:pPr>
            <w:r>
              <w:t xml:space="preserve">0%</w:t>
            </w:r>
          </w:p>
        </w:tc>
        <w:tc>
          <w:tcPr/>
          <w:p>
            <w:pPr>
              <w:pStyle w:val="Compact"/>
              <w:jc w:val="left"/>
            </w:pPr>
            <w:r>
              <w:t xml:space="preserve">High</w:t>
            </w:r>
          </w:p>
        </w:tc>
      </w:tr>
      <w:tr>
        <w:tc>
          <w:tcPr/>
          <w:p>
            <w:pPr>
              <w:pStyle w:val="Compact"/>
              <w:jc w:val="left"/>
            </w:pPr>
            <w:r>
              <w:t xml:space="preserve">Toronto Public Library</w:t>
            </w:r>
          </w:p>
        </w:tc>
        <w:tc>
          <w:tcPr/>
          <w:p>
            <w:pPr>
              <w:pStyle w:val="Compact"/>
              <w:jc w:val="left"/>
            </w:pPr>
            <w:r>
              <w:t xml:space="preserve">~8,500</w:t>
            </w:r>
          </w:p>
        </w:tc>
        <w:tc>
          <w:tcPr/>
          <w:p>
            <w:pPr>
              <w:pStyle w:val="Compact"/>
              <w:jc w:val="left"/>
            </w:pPr>
            <w:r>
              <w:t xml:space="preserve">0</w:t>
            </w:r>
          </w:p>
        </w:tc>
        <w:tc>
          <w:tcPr/>
          <w:p>
            <w:pPr>
              <w:pStyle w:val="Compact"/>
              <w:jc w:val="left"/>
            </w:pPr>
            <w:r>
              <w:t xml:space="preserve">~8,500</w:t>
            </w:r>
          </w:p>
        </w:tc>
        <w:tc>
          <w:tcPr/>
          <w:p>
            <w:pPr>
              <w:pStyle w:val="Compact"/>
              <w:jc w:val="left"/>
            </w:pPr>
            <w:r>
              <w:t xml:space="preserve">0%</w:t>
            </w:r>
          </w:p>
        </w:tc>
        <w:tc>
          <w:tcPr/>
          <w:p>
            <w:pPr>
              <w:pStyle w:val="Compact"/>
              <w:jc w:val="left"/>
            </w:pPr>
            <w:r>
              <w:t xml:space="preserve">Critical</w:t>
            </w:r>
          </w:p>
        </w:tc>
      </w:tr>
    </w:tbl>
    <w:p>
      <w:pPr>
        <w:pStyle w:val="BodyText"/>
      </w:pPr>
      <w:r>
        <w:rPr>
          <w:iCs/>
          <w:i/>
        </w:rPr>
        <w:t xml:space="preserve">Table 4.1 — Coverage Matrix by Source. Total inventory figures represent midpoint or best estimates from platform research conducted April 2026.</w:t>
      </w:r>
      <w:r>
        <w:rPr>
          <w:iCs/>
          <w:i/>
        </w:rPr>
        <w:t xml:space="preserve"> </w:t>
      </w:r>
      <w:r>
        <w:rPr>
          <w:iCs/>
          <w:i/>
        </w:rPr>
        <w:t xml:space="preserve">“</w:t>
      </w:r>
      <w:r>
        <w:rPr>
          <w:iCs/>
          <w:i/>
        </w:rPr>
        <w:t xml:space="preserve">Captured by FTE</w:t>
      </w:r>
      <w:r>
        <w:rPr>
          <w:iCs/>
          <w:i/>
        </w:rPr>
        <w:t xml:space="preserve">”</w:t>
      </w:r>
      <w:r>
        <w:rPr>
          <w:iCs/>
          <w:i/>
        </w:rPr>
        <w:t xml:space="preserve"> </w:t>
      </w:r>
      <w:r>
        <w:rPr>
          <w:iCs/>
          <w:i/>
        </w:rPr>
        <w:t xml:space="preserve">derived from scraper source counts;</w:t>
      </w:r>
      <w:r>
        <w:rPr>
          <w:iCs/>
          <w:i/>
        </w:rPr>
        <w:t xml:space="preserve"> </w:t>
      </w:r>
      <w:r>
        <w:rPr>
          <w:iCs/>
          <w:i/>
        </w:rPr>
        <w:t xml:space="preserve">“</w:t>
      </w:r>
      <w:r>
        <w:rPr>
          <w:iCs/>
          <w:i/>
        </w:rPr>
        <w:t xml:space="preserve">Missed</w:t>
      </w:r>
      <w:r>
        <w:rPr>
          <w:iCs/>
          <w:i/>
        </w:rPr>
        <w:t xml:space="preserve">”</w:t>
      </w:r>
      <w:r>
        <w:rPr>
          <w:iCs/>
          <w:i/>
        </w:rPr>
        <w:t xml:space="preserve"> </w:t>
      </w:r>
      <w:r>
        <w:rPr>
          <w:iCs/>
          <w:i/>
        </w:rPr>
        <w:t xml:space="preserve">is the arithmetic difference.</w:t>
      </w:r>
      <w:fldSimple w:instr="NOTEREF _Ref_Footnote_1 \h \f">
        <w:r>
          <w:rPr>
            <w:vertAlign w:val="superscript"/>
          </w:rPr>
          <w:t>1</w:t>
        </w:r>
      </w:fldSimple>
      <w:r>
        <w:rPr>
          <w:iCs/>
          <w:i/>
        </w:rPr>
        <w:t xml:space="preserve"> </w:t>
      </w:r>
      <w:fldSimple w:instr="NOTEREF _Ref_Footnote_2 \h \f">
        <w:r>
          <w:rPr>
            <w:vertAlign w:val="superscript"/>
          </w:rPr>
          <w:t>2</w:t>
        </w:r>
      </w:fldSimple>
      <w:r>
        <w:rPr>
          <w:iCs/>
          <w:i/>
        </w:rPr>
        <w:t xml:space="preserve"> </w:t>
      </w:r>
      <w:fldSimple w:instr="NOTEREF _Ref_Footnote_5 \h \f">
        <w:r>
          <w:rPr>
            <w:vertAlign w:val="superscript"/>
          </w:rPr>
          <w:t>5</w:t>
        </w:r>
      </w:fldSimple>
    </w:p>
    <w:p>
      <w:pPr>
        <w:pStyle w:val="BodyText"/>
      </w:pPr>
      <w:r>
        <w:t xml:space="preserve">The matrix reveals a clear gradient: FTE excels at media-curated sources (NOW Toronto at ~98%) and cultural institutions (~62%), but coverage degrades as events become smaller, cheaper, or community-driven. At the extreme, TPL’s 8,500 programs and Luma’s 750 tech events are entirely absent. The ten sources collectively list ~22,732 event slots; FTE captures 5,094 (22.4% per-source). After cross-platform deduplication, FTE’s effective unique coverage is 4,422 events, or 35.3% of the deduplicated ecosystem.</w:t>
      </w:r>
    </w:p>
    <w:bookmarkEnd w:id="67"/>
    <w:bookmarkEnd w:id="68"/>
    <w:bookmarkStart w:id="71" w:name="category-gaps"/>
    <w:p>
      <w:pPr>
        <w:pStyle w:val="Heading3"/>
      </w:pPr>
      <w:r>
        <w:t xml:space="preserve">4.2 Category Gaps</w:t>
      </w:r>
    </w:p>
    <w:p>
      <w:pPr>
        <w:pStyle w:val="FirstParagraph"/>
      </w:pPr>
      <w:r>
        <w:t xml:space="preserve">The category-level analysis exposes which audience segments FTE structurally underserves.</w:t>
      </w:r>
    </w:p>
    <w:bookmarkStart w:id="69" w:name="X14529d56b4edfb6edcb4a4365009ecfb183f9c4"/>
    <w:p>
      <w:pPr>
        <w:pStyle w:val="Heading4"/>
      </w:pPr>
      <w:r>
        <w:t xml:space="preserve">4.2.1 Singles and Dating: 32 Events from Three Dedicated Operators Entirely Absent</w:t>
      </w:r>
    </w:p>
    <w:p>
      <w:pPr>
        <w:pStyle w:val="FirstParagraph"/>
      </w:pPr>
      <w:r>
        <w:t xml:space="preserve">Three active singles operators — Single in the City (17 events), Flare Events (6 Toronto events), and Toronto Dating Hub (9 events) — collectively program 32 events at $0–$55 per attendee, none of which appear on FTE.</w:t>
      </w:r>
      <w:fldSimple w:instr="NOTEREF _Ref_Footnote_6 \h \f">
        <w:r>
          <w:rPr>
            <w:vertAlign w:val="superscript"/>
          </w:rPr>
          <w:t>6</w:t>
        </w:r>
      </w:fldSimple>
      <w:r>
        <w:t xml:space="preserve">Singles events command high ticket prices, strong repeat attendance, and dedicated customer bases; Flare Events has been featured in CTV, Global News, Toronto Life, BlogTO, the Globe and Mail, and the Toronto Star.</w:t>
      </w:r>
      <w:fldSimple w:instr="NOTEREF _Ref_Footnote_6 \h \f">
        <w:r>
          <w:rPr>
            <w:vertAlign w:val="superscript"/>
          </w:rPr>
          <w:t>6</w:t>
        </w:r>
      </w:fldSimple>
      <w:r>
        <w:t xml:space="preserve">The gap widens on Eventbrite, which lists ~80 Toronto singles events of which ~60% are recurring series such as Elite Singles.</w:t>
      </w:r>
      <w:fldSimple w:instr="NOTEREF _Ref_Footnote_1 \h \f">
        <w:r>
          <w:rPr>
            <w:vertAlign w:val="superscript"/>
          </w:rPr>
          <w:t>1</w:t>
        </w:r>
      </w:fldSimple>
      <w:r>
        <w:t xml:space="preserve">For a platform with</w:t>
      </w:r>
      <w:r>
        <w:t xml:space="preserve"> </w:t>
      </w:r>
      <w:r>
        <w:t xml:space="preserve">“</w:t>
      </w:r>
      <w:r>
        <w:t xml:space="preserve">Dating</w:t>
      </w:r>
      <w:r>
        <w:t xml:space="preserve">”</w:t>
      </w:r>
      <w:r>
        <w:t xml:space="preserve"> </w:t>
      </w:r>
      <w:r>
        <w:t xml:space="preserve">as one of 17 filter categories, this represents near-total category failure.</w:t>
      </w:r>
    </w:p>
    <w:bookmarkEnd w:id="69"/>
    <w:bookmarkStart w:id="70" w:name="X115fd8dac302dfa03611e12c55b0c4ba6bf4b88"/>
    <w:p>
      <w:pPr>
        <w:pStyle w:val="Heading4"/>
      </w:pPr>
      <w:r>
        <w:t xml:space="preserve">4.2.2 Children’s and Family Programming: Below the Scraper Radar</w:t>
      </w:r>
    </w:p>
    <w:p>
      <w:pPr>
        <w:pStyle w:val="FirstParagraph"/>
      </w:pPr>
      <w:r>
        <w:t xml:space="preserve">Family events present a two-layer gap. The surface layer — Toronto Zoo seasonal events, Ontario Science Centre pop-ups, Harbourfront Centre’s KidSpark — is partially captured through cultural institution scrapers, but inconsistently: the ROM’s 391 scraped entries likely include few explicitly tagged family programs.</w:t>
      </w:r>
      <w:fldSimple w:instr="NOTEREF _Ref_Footnote_5 \h \f">
        <w:r>
          <w:rPr>
            <w:vertAlign w:val="superscript"/>
          </w:rPr>
          <w:t>5</w:t>
        </w:r>
      </w:fldSimple>
      <w:r>
        <w:t xml:space="preserve">The deeper layer — drop-in programs at 130+ community recreation centres (parent-and-tot groups, after-school clubs, swim lessons) plus TPL storytimes — totals several thousand annual events that are structurally invisible because they sit behind neither Eventbrite nor Meetup.</w:t>
      </w:r>
      <w:fldSimple w:instr="NOTEREF _Ref_Footnote_5 \h \f">
        <w:r>
          <w:rPr>
            <w:vertAlign w:val="superscript"/>
          </w:rPr>
          <w:t>5</w:t>
        </w:r>
      </w:fldSimple>
      <w:r>
        <w:t xml:space="preserve">#### 4.2.3 Faith-Based and Cultural Celebrations</w:t>
      </w:r>
    </w:p>
    <w:p>
      <w:pPr>
        <w:pStyle w:val="BodyText"/>
      </w:pPr>
      <w:r>
        <w:t xml:space="preserve">Events at places of worship — church concerts, temple festivals, mosque dinners, Diwali celebrations, iftar gatherings — carry significant cultural programming but virtually no presence on commercial ticketing platforms.</w:t>
      </w:r>
      <w:fldSimple w:instr="NOTEREF _Ref_Footnote_5 \h \f">
        <w:r>
          <w:rPr>
            <w:vertAlign w:val="superscript"/>
          </w:rPr>
          <w:t>5</w:t>
        </w:r>
      </w:fldSimple>
      <w:r>
        <w:t xml:space="preserve">Promoted through parish bulletins, ethnic newspapers, and WhatsApp groups, they rarely appear on Eventbrite or Meetup, giving FTE’s scrapers no capture pathway. The gap is estimated at 200–400 events annually across hundreds of independent venues, though no precise inventory exists.</w:t>
      </w:r>
      <w:fldSimple w:instr="NOTEREF _Ref_Footnote_5 \h \f">
        <w:r>
          <w:rPr>
            <w:vertAlign w:val="superscript"/>
          </w:rPr>
          <w:t>5</w:t>
        </w:r>
      </w:fldSimple>
      <w:r>
        <w:t xml:space="preserve">#### 4.2.4 Neighborhood Association and Hyperlocal Events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Neighborhood associations, Business Improvement Areas (BIAs), and resident associations program street festivals, farmers’ markets, block parties, and heritage walks promoted through local email lists and BIA websites.</w:t>
            </w:r>
            <w:fldSimple w:instr="NOTEREF _Ref_Footnote_5 \h \f">
              <w:r>
                <w:rPr>
                  <w:vertAlign w:val="superscript"/>
                </w:rPr>
                <w:t>5</w:t>
              </w:r>
            </w:fldSimple>
            <w:r>
              <w:t xml:space="preserve">FTE scrapes only 19 events from the official Toronto.ca calendar, missing most community-submitted listings despite the city’s daily-updated CKAN and JSON-LD feeds being publicly available.</w:t>
            </w:r>
            <w:fldSimple w:instr="NOTEREF _Ref_Footnote_2 \h \f">
              <w:r>
                <w:rPr>
                  <w:vertAlign w:val="superscript"/>
                </w:rPr>
                <w:t>2</w:t>
              </w:r>
            </w:fldSimple>
            <w:r>
              <w:t xml:space="preserve"> </w:t>
            </w:r>
            <w:fldSimple w:instr="NOTEREF _Ref_Footnote_5 \h \f">
              <w:r>
                <w:rPr>
                  <w:vertAlign w:val="superscript"/>
                </w:rPr>
                <w:t>5</w:t>
              </w:r>
            </w:fldSimple>
          </w:p>
        </w:tc>
        <w:tc>
          <w:tcPr/>
          <w:p>
            <w:pPr>
              <w:pStyle w:val="Compact"/>
              <w:jc w:val="left"/>
            </w:pPr>
            <w:r>
              <w:t xml:space="preserve">Category</w:t>
            </w:r>
          </w:p>
        </w:tc>
        <w:tc>
          <w:tcPr/>
          <w:p>
            <w:pPr>
              <w:pStyle w:val="Compact"/>
              <w:jc w:val="left"/>
            </w:pPr>
            <w:r>
              <w:t xml:space="preserve">FTE Count (est.)</w:t>
            </w:r>
          </w:p>
        </w:tc>
        <w:tc>
          <w:tcPr/>
          <w:p>
            <w:pPr>
              <w:pStyle w:val="Compact"/>
              <w:jc w:val="left"/>
            </w:pPr>
            <w:r>
              <w:t xml:space="preserve">Competitor/Platform Count</w:t>
            </w:r>
          </w:p>
        </w:tc>
        <w:tc>
          <w:tcPr/>
          <w:p>
            <w:pPr>
              <w:pStyle w:val="Compact"/>
              <w:jc w:val="left"/>
            </w:pPr>
            <w:r>
              <w:t xml:space="preserve">Gap Size</w:t>
            </w:r>
          </w:p>
        </w:tc>
        <w:tc>
          <w:tcPr/>
          <w:p>
            <w:pPr>
              <w:pStyle w:val="Compact"/>
              <w:jc w:val="left"/>
            </w:pPr>
            <w:r>
              <w:t xml:space="preserve">Priority</w:t>
            </w:r>
          </w:p>
        </w:tc>
      </w:tr>
      <w:tr>
        <w:tc>
          <w:tcPr/>
          <w:p>
            <w:pPr>
              <w:pStyle w:val="Compact"/>
              <w:jc w:val="left"/>
            </w:pPr>
            <w:r>
              <w:t xml:space="preserve">Singles / Dating</w:t>
            </w:r>
          </w:p>
        </w:tc>
        <w:tc>
          <w:tcPr/>
          <w:p>
            <w:pPr>
              <w:pStyle w:val="Compact"/>
              <w:jc w:val="left"/>
            </w:pPr>
            <w:r>
              <w:t xml:space="preserve">~50 (EB fraction)</w:t>
            </w:r>
          </w:p>
        </w:tc>
        <w:tc>
          <w:tcPr/>
          <w:p>
            <w:pPr>
              <w:pStyle w:val="Compact"/>
              <w:jc w:val="left"/>
            </w:pPr>
            <w:r>
              <w:t xml:space="preserve">32 dedicated + 80 EB + 20 MU = ~132</w:t>
            </w:r>
          </w:p>
        </w:tc>
        <w:tc>
          <w:tcPr/>
          <w:p>
            <w:pPr>
              <w:pStyle w:val="Compact"/>
              <w:jc w:val="left"/>
            </w:pPr>
            <w:r>
              <w:t xml:space="preserve">~82 events (62% gap)</w:t>
            </w:r>
          </w:p>
        </w:tc>
        <w:tc>
          <w:tcPr/>
          <w:p>
            <w:pPr>
              <w:pStyle w:val="Compact"/>
              <w:jc w:val="left"/>
            </w:pPr>
            <w:r>
              <w:t xml:space="preserve">High</w:t>
            </w:r>
          </w:p>
        </w:tc>
        <w:tc>
          <w:tcPr/>
          <w:p>
            <w:pPr>
              <w:pStyle w:val="Compact"/>
              <w:jc w:val="left"/>
            </w:pPr>
            <w:r>
              <w:t xml:space="preserve">High ARPU ($35–55/ticket), recurring demand, media-validated</w:t>
            </w:r>
          </w:p>
        </w:tc>
      </w:tr>
      <w:tr>
        <w:tc>
          <w:tcPr/>
          <w:p>
            <w:pPr>
              <w:pStyle w:val="Compact"/>
              <w:jc w:val="left"/>
            </w:pPr>
            <w:r>
              <w:t xml:space="preserve">Family / Children</w:t>
            </w:r>
          </w:p>
        </w:tc>
        <w:tc>
          <w:tcPr/>
          <w:p>
            <w:pPr>
              <w:pStyle w:val="Compact"/>
              <w:jc w:val="left"/>
            </w:pPr>
            <w:r>
              <w:t xml:space="preserve">~200 (institutional)</w:t>
            </w:r>
          </w:p>
        </w:tc>
        <w:tc>
          <w:tcPr/>
          <w:p>
            <w:pPr>
              <w:pStyle w:val="Compact"/>
              <w:jc w:val="left"/>
            </w:pPr>
            <w:r>
              <w:t xml:space="preserve">8,500 TPL + 2,000 rec centres = ~10,500</w:t>
            </w:r>
          </w:p>
        </w:tc>
        <w:tc>
          <w:tcPr/>
          <w:p>
            <w:pPr>
              <w:pStyle w:val="Compact"/>
              <w:jc w:val="left"/>
            </w:pPr>
            <w:r>
              <w:t xml:space="preserve">~10,300 (98% gap)</w:t>
            </w:r>
          </w:p>
        </w:tc>
        <w:tc>
          <w:tcPr/>
          <w:p>
            <w:pPr>
              <w:pStyle w:val="Compact"/>
              <w:jc w:val="left"/>
            </w:pPr>
            <w:r>
              <w:t xml:space="preserve">Critical</w:t>
            </w:r>
          </w:p>
        </w:tc>
        <w:tc>
          <w:tcPr/>
          <w:p>
            <w:pPr>
              <w:pStyle w:val="Compact"/>
              <w:jc w:val="left"/>
            </w:pPr>
            <w:r>
              <w:t xml:space="preserve">Massive volume, free programming drives traffic, TPL has open data feed</w:t>
            </w:r>
          </w:p>
        </w:tc>
      </w:tr>
      <w:tr>
        <w:tc>
          <w:tcPr/>
          <w:p>
            <w:pPr>
              <w:pStyle w:val="Compact"/>
              <w:jc w:val="left"/>
            </w:pPr>
            <w:r>
              <w:t xml:space="preserve">Faith-Based / Cultural</w:t>
            </w:r>
          </w:p>
        </w:tc>
        <w:tc>
          <w:tcPr/>
          <w:p>
            <w:pPr>
              <w:pStyle w:val="Compact"/>
              <w:jc w:val="left"/>
            </w:pPr>
            <w:r>
              <w:t xml:space="preserve">~0</w:t>
            </w:r>
          </w:p>
        </w:tc>
        <w:tc>
          <w:tcPr/>
          <w:p>
            <w:pPr>
              <w:pStyle w:val="Compact"/>
              <w:jc w:val="left"/>
            </w:pPr>
            <w:r>
              <w:t xml:space="preserve">~200–400 (est.)</w:t>
            </w:r>
          </w:p>
        </w:tc>
        <w:tc>
          <w:tcPr/>
          <w:p>
            <w:pPr>
              <w:pStyle w:val="Compact"/>
              <w:jc w:val="left"/>
            </w:pPr>
            <w:r>
              <w:t xml:space="preserve">~300 (100% gap)</w:t>
            </w:r>
          </w:p>
        </w:tc>
        <w:tc>
          <w:tcPr/>
          <w:p>
            <w:pPr>
              <w:pStyle w:val="Compact"/>
              <w:jc w:val="left"/>
            </w:pPr>
            <w:r>
              <w:t xml:space="preserve">Medium</w:t>
            </w:r>
          </w:p>
        </w:tc>
        <w:tc>
          <w:tcPr/>
          <w:p>
            <w:pPr>
              <w:pStyle w:val="Compact"/>
              <w:jc w:val="left"/>
            </w:pPr>
            <w:r>
              <w:t xml:space="preserve">Cultural inclusion, fragmented sources, hard to automate</w:t>
            </w:r>
          </w:p>
        </w:tc>
      </w:tr>
      <w:tr>
        <w:tc>
          <w:tcPr/>
          <w:p>
            <w:pPr>
              <w:pStyle w:val="Compact"/>
              <w:jc w:val="left"/>
            </w:pPr>
            <w:r>
              <w:t xml:space="preserve">Neighborhood / Hyperlocal</w:t>
            </w:r>
          </w:p>
        </w:tc>
        <w:tc>
          <w:tcPr/>
          <w:p>
            <w:pPr>
              <w:pStyle w:val="Compact"/>
              <w:jc w:val="left"/>
            </w:pPr>
            <w:r>
              <w:t xml:space="preserve">~19 (city calendar)</w:t>
            </w:r>
          </w:p>
        </w:tc>
        <w:tc>
          <w:tcPr/>
          <w:p>
            <w:pPr>
              <w:pStyle w:val="Compact"/>
              <w:jc w:val="left"/>
            </w:pPr>
            <w:r>
              <w:t xml:space="preserve">~500–800 (est.)</w:t>
            </w:r>
          </w:p>
        </w:tc>
        <w:tc>
          <w:tcPr/>
          <w:p>
            <w:pPr>
              <w:pStyle w:val="Compact"/>
              <w:jc w:val="left"/>
            </w:pPr>
            <w:r>
              <w:t xml:space="preserve">~600 (96% gap)</w:t>
            </w:r>
          </w:p>
        </w:tc>
        <w:tc>
          <w:tcPr/>
          <w:p>
            <w:pPr>
              <w:pStyle w:val="Compact"/>
              <w:jc w:val="left"/>
            </w:pPr>
            <w:r>
              <w:t xml:space="preserve">Medium</w:t>
            </w:r>
          </w:p>
        </w:tc>
        <w:tc>
          <w:tcPr/>
          <w:p>
            <w:pPr>
              <w:pStyle w:val="Compact"/>
              <w:jc w:val="left"/>
            </w:pPr>
            <w:r>
              <w:t xml:space="preserve">CKAN API available, low hanging fruit with data integration</w:t>
            </w:r>
          </w:p>
        </w:tc>
      </w:tr>
      <w:tr>
        <w:tc>
          <w:tcPr/>
          <w:p>
            <w:pPr>
              <w:pStyle w:val="Compact"/>
              <w:jc w:val="left"/>
            </w:pPr>
            <w:r>
              <w:t xml:space="preserve">Free Community (Meetup)</w:t>
            </w:r>
          </w:p>
        </w:tc>
        <w:tc>
          <w:tcPr/>
          <w:p>
            <w:pPr>
              <w:pStyle w:val="Compact"/>
              <w:jc w:val="left"/>
            </w:pPr>
            <w:r>
              <w:t xml:space="preserve">~160 (free subset)</w:t>
            </w:r>
          </w:p>
        </w:tc>
        <w:tc>
          <w:tcPr/>
          <w:p>
            <w:pPr>
              <w:pStyle w:val="Compact"/>
              <w:jc w:val="left"/>
            </w:pPr>
            <w:r>
              <w:t xml:space="preserve">~1,180 free on MU + 1,375 free on EB = ~2,555</w:t>
            </w:r>
          </w:p>
        </w:tc>
        <w:tc>
          <w:tcPr/>
          <w:p>
            <w:pPr>
              <w:pStyle w:val="Compact"/>
              <w:jc w:val="left"/>
            </w:pPr>
            <w:r>
              <w:t xml:space="preserve">~2,395 (94% gap)</w:t>
            </w:r>
          </w:p>
        </w:tc>
        <w:tc>
          <w:tcPr/>
          <w:p>
            <w:pPr>
              <w:pStyle w:val="Compact"/>
              <w:jc w:val="left"/>
            </w:pPr>
            <w:r>
              <w:t xml:space="preserve">High</w:t>
            </w:r>
          </w:p>
        </w:tc>
        <w:tc>
          <w:tcPr/>
          <w:p>
            <w:pPr>
              <w:pStyle w:val="Compact"/>
              <w:jc w:val="left"/>
            </w:pPr>
            <w:r>
              <w:t xml:space="preserve">65% of Meetup events are free; high engagement, repeat attendance</w:t>
            </w:r>
          </w:p>
        </w:tc>
      </w:tr>
      <w:tr>
        <w:tc>
          <w:tcPr/>
          <w:p>
            <w:pPr>
              <w:pStyle w:val="Compact"/>
              <w:jc w:val="left"/>
            </w:pPr>
            <w:r>
              <w:t xml:space="preserve">Music / Nightlife (small)</w:t>
            </w:r>
          </w:p>
        </w:tc>
        <w:tc>
          <w:tcPr/>
          <w:p>
            <w:pPr>
              <w:pStyle w:val="Compact"/>
              <w:jc w:val="left"/>
            </w:pPr>
            <w:r>
              <w:t xml:space="preserve">~300</w:t>
            </w:r>
          </w:p>
        </w:tc>
        <w:tc>
          <w:tcPr/>
          <w:p>
            <w:pPr>
              <w:pStyle w:val="Compact"/>
              <w:jc w:val="left"/>
            </w:pPr>
            <w:r>
              <w:t xml:space="preserve">~700 recurring club nights + ~200 DJ events = ~900</w:t>
            </w:r>
          </w:p>
        </w:tc>
        <w:tc>
          <w:tcPr/>
          <w:p>
            <w:pPr>
              <w:pStyle w:val="Compact"/>
              <w:jc w:val="left"/>
            </w:pPr>
            <w:r>
              <w:t xml:space="preserve">~600 (67% gap)</w:t>
            </w:r>
          </w:p>
        </w:tc>
        <w:tc>
          <w:tcPr/>
          <w:p>
            <w:pPr>
              <w:pStyle w:val="Compact"/>
              <w:jc w:val="left"/>
            </w:pPr>
            <w:r>
              <w:t xml:space="preserve">Medium</w:t>
            </w:r>
          </w:p>
        </w:tc>
        <w:tc>
          <w:tcPr/>
          <w:p>
            <w:pPr>
              <w:pStyle w:val="Compact"/>
              <w:jc w:val="left"/>
            </w:pPr>
            <w:r>
              <w:t xml:space="preserve">Recurring events hard to deduplicate; audience expects completeness</w:t>
            </w:r>
          </w:p>
        </w:tc>
      </w:tr>
      <w:tr>
        <w:tc>
          <w:tcPr/>
          <w:p>
            <w:pPr>
              <w:pStyle w:val="Compact"/>
              <w:jc w:val="left"/>
            </w:pPr>
            <w:r>
              <w:t xml:space="preserve">Business / Networking</w:t>
            </w:r>
          </w:p>
        </w:tc>
        <w:tc>
          <w:tcPr/>
          <w:p>
            <w:pPr>
              <w:pStyle w:val="Compact"/>
              <w:jc w:val="left"/>
            </w:pPr>
            <w:r>
              <w:t xml:space="preserve">~150</w:t>
            </w:r>
          </w:p>
        </w:tc>
        <w:tc>
          <w:tcPr/>
          <w:p>
            <w:pPr>
              <w:pStyle w:val="Compact"/>
              <w:jc w:val="left"/>
            </w:pPr>
            <w:r>
              <w:t xml:space="preserve">~810 EB + 180 MU = ~990</w:t>
            </w:r>
          </w:p>
        </w:tc>
        <w:tc>
          <w:tcPr/>
          <w:p>
            <w:pPr>
              <w:pStyle w:val="Compact"/>
              <w:jc w:val="left"/>
            </w:pPr>
            <w:r>
              <w:t xml:space="preserve">~840 (85% gap)</w:t>
            </w:r>
          </w:p>
        </w:tc>
        <w:tc>
          <w:tcPr/>
          <w:p>
            <w:pPr>
              <w:pStyle w:val="Compact"/>
              <w:jc w:val="left"/>
            </w:pPr>
            <w:r>
              <w:t xml:space="preserve">Medium</w:t>
            </w:r>
          </w:p>
        </w:tc>
        <w:tc>
          <w:tcPr/>
          <w:p>
            <w:pPr>
              <w:pStyle w:val="Compact"/>
              <w:jc w:val="left"/>
            </w:pPr>
            <w:r>
              <w:t xml:space="preserve">Professional audience, higher ticket prices, weekday demand</w:t>
            </w:r>
          </w:p>
        </w:tc>
      </w:tr>
      <w:tr>
        <w:tc>
          <w:tcPr/>
          <w:p>
            <w:pPr>
              <w:pStyle w:val="Compact"/>
              <w:jc w:val="left"/>
            </w:pPr>
            <w:r>
              <w:t xml:space="preserve">Luma Tech / Creator</w:t>
            </w:r>
          </w:p>
        </w:tc>
        <w:tc>
          <w:tcPr/>
          <w:p>
            <w:pPr>
              <w:pStyle w:val="Compact"/>
              <w:jc w:val="left"/>
            </w:pPr>
            <w:r>
              <w:t xml:space="preserve">0</w:t>
            </w:r>
          </w:p>
        </w:tc>
        <w:tc>
          <w:tcPr/>
          <w:p>
            <w:pPr>
              <w:pStyle w:val="Compact"/>
              <w:jc w:val="left"/>
            </w:pPr>
            <w:r>
              <w:t xml:space="preserve">~500–1,000</w:t>
            </w:r>
          </w:p>
        </w:tc>
        <w:tc>
          <w:tcPr/>
          <w:p>
            <w:pPr>
              <w:pStyle w:val="Compact"/>
              <w:jc w:val="left"/>
            </w:pPr>
            <w:r>
              <w:t xml:space="preserve">~750 (100% gap)</w:t>
            </w:r>
          </w:p>
        </w:tc>
        <w:tc>
          <w:tcPr/>
          <w:p>
            <w:pPr>
              <w:pStyle w:val="Compact"/>
              <w:jc w:val="left"/>
            </w:pPr>
            <w:r>
              <w:t xml:space="preserve">High</w:t>
            </w:r>
          </w:p>
        </w:tc>
        <w:tc>
          <w:tcPr/>
          <w:p>
            <w:pPr>
              <w:pStyle w:val="Compact"/>
              <w:jc w:val="left"/>
            </w:pPr>
            <w:r>
              <w:t xml:space="preserve">Fastest-growing segment, 5x user growth in 2024, high purchasing power</w:t>
            </w:r>
          </w:p>
        </w:tc>
      </w:tr>
    </w:tbl>
    <w:p>
      <w:pPr>
        <w:pStyle w:val="BodyText"/>
      </w:pPr>
      <w:r>
        <w:rPr>
          <w:iCs/>
          <w:i/>
        </w:rPr>
        <w:t xml:space="preserve">Table 4.2 — Category Gap Analysis. FTE Count estimated from scraper source breakdowns and category tag frequency. Competitor counts derived from platform research and institutional data. Gap Size represents the difference; Priority reflects combined impact of volume, monetization potential, and integration feasibility.</w:t>
      </w:r>
      <w:fldSimple w:instr="NOTEREF _Ref_Footnote_1 \h \f">
        <w:r>
          <w:rPr>
            <w:vertAlign w:val="superscript"/>
          </w:rPr>
          <w:t>1</w:t>
        </w:r>
      </w:fldSimple>
      <w:r>
        <w:rPr>
          <w:iCs/>
          <w:i/>
        </w:rPr>
        <w:t xml:space="preserve"> </w:t>
      </w:r>
      <w:fldSimple w:instr="NOTEREF _Ref_Footnote_5 \h \f">
        <w:r>
          <w:rPr>
            <w:vertAlign w:val="superscript"/>
          </w:rPr>
          <w:t>5</w:t>
        </w:r>
      </w:fldSimple>
      <w:r>
        <w:rPr>
          <w:iCs/>
          <w:i/>
        </w:rPr>
        <w:t xml:space="preserve"> </w:t>
      </w:r>
      <w:fldSimple w:instr="NOTEREF _Ref_Footnote_6 \h \f">
        <w:r>
          <w:rPr>
            <w:vertAlign w:val="superscript"/>
          </w:rPr>
          <w:t>6</w:t>
        </w:r>
      </w:fldSimple>
    </w:p>
    <w:p>
      <w:pPr>
        <w:pStyle w:val="BodyText"/>
      </w:pPr>
      <w:r>
        <w:t xml:space="preserve">FTE’s gaps systematically exclude free events (TPL, rec centres, Meetup), culturally specific programming (faith-based), and emerging platform content (Luma). Singles/dating stands out for commercial value despite smaller volume — each event represents a $35–$55 ticket with demonstrated purchaser intent. The family programming gap is largest in raw volume: ~10,500 annual events versus FTE’s ~200 captured, a 98% deficit reducible through TPL open data integration alone.</w:t>
      </w:r>
    </w:p>
    <w:bookmarkEnd w:id="70"/>
    <w:bookmarkEnd w:id="71"/>
    <w:bookmarkStart w:id="76" w:name="temporal-and-freshness-gaps"/>
    <w:p>
      <w:pPr>
        <w:pStyle w:val="Heading3"/>
      </w:pPr>
      <w:r>
        <w:t xml:space="preserve">4.3 Temporal and Freshness Gaps</w:t>
      </w:r>
    </w:p>
    <w:bookmarkStart w:id="72" w:name="X782bf2c2fbbe8a04949667964160b01636ce7e5"/>
    <w:p>
      <w:pPr>
        <w:pStyle w:val="Heading4"/>
      </w:pPr>
      <w:r>
        <w:t xml:space="preserve">4.3.1 Daily Scraping Is Operational but the SQL Database Is Disconnected</w:t>
      </w:r>
    </w:p>
    <w:p>
      <w:pPr>
        <w:pStyle w:val="FirstParagraph"/>
      </w:pPr>
      <w:r>
        <w:t xml:space="preserve">FTE’s GitHub Actions workflow triggers daily at 12:00 UTC, scraping 30+ sources and deploying an updated</w:t>
      </w:r>
      <w:r>
        <w:t xml:space="preserve"> </w:t>
      </w:r>
      <w:r>
        <w:rPr>
          <w:rStyle w:val="VerbatimChar"/>
        </w:rPr>
        <w:t xml:space="preserve">events.json</w:t>
      </w:r>
      <w:r>
        <w:t xml:space="preserve"> </w:t>
      </w:r>
      <w:r>
        <w:t xml:space="preserve">via FTP.</w:t>
      </w:r>
      <w:fldSimple w:instr="NOTEREF _Ref_Footnote_2 \h \f">
        <w:r>
          <w:rPr>
            <w:vertAlign w:val="superscript"/>
          </w:rPr>
          <w:t>2</w:t>
        </w:r>
      </w:fldSimple>
      <w:r>
        <w:t xml:space="preserve">The infrastructure for frequent updates is sound. However, a significant disconnect exists: while events sync to a remote SQL database via</w:t>
      </w:r>
      <w:r>
        <w:t xml:space="preserve"> </w:t>
      </w:r>
      <w:r>
        <w:rPr>
          <w:rStyle w:val="VerbatimChar"/>
        </w:rPr>
        <w:t xml:space="preserve">events_sync.php</w:t>
      </w:r>
      <w:r>
        <w:t xml:space="preserve">, the frontend loads the static JSON file directly, leaving the database idle from a user-facing perspective.</w:t>
      </w:r>
      <w:fldSimple w:instr="NOTEREF _Ref_Footnote_2 \h \f">
        <w:r>
          <w:rPr>
            <w:vertAlign w:val="superscript"/>
          </w:rPr>
          <w:t>2</w:t>
        </w:r>
      </w:fldSimple>
      <w:r>
        <w:t xml:space="preserve">The homepage shows a last-updated timestamp of</w:t>
      </w:r>
      <w:r>
        <w:t xml:space="preserve"> </w:t>
      </w:r>
      <w:r>
        <w:t xml:space="preserve">“</w:t>
      </w:r>
      <w:r>
        <w:t xml:space="preserve">Jan 27, 3:38 PM EST</w:t>
      </w:r>
      <w:r>
        <w:t xml:space="preserve">”</w:t>
      </w:r>
      <w:r>
        <w:t xml:space="preserve"> </w:t>
      </w:r>
      <w:r>
        <w:t xml:space="preserve">despite underlying data being refreshed on April 25, 2026, suggesting a display bug that undermines confidence in freshness.</w:t>
      </w:r>
      <w:fldSimple w:instr="NOTEREF _Ref_Footnote_2 \h \f">
        <w:r>
          <w:rPr>
            <w:vertAlign w:val="superscript"/>
          </w:rPr>
          <w:t>2</w:t>
        </w:r>
      </w:fldSimple>
      <w:r>
        <w:t xml:space="preserve">#### 4.3.2 Last-Minute Events Missed by Daily Batch Scrapers</w:t>
      </w:r>
    </w:p>
    <w:p>
      <w:pPr>
        <w:pStyle w:val="BodyText"/>
      </w:pPr>
      <w:r>
        <w:t xml:space="preserve">Events posted with less than one week’s lead time are systematically disadvantaged by daily batch scraping. Eventbrite’s average listing lead time is 45 days, but an estimated 50–100 events per week are posted on shorter notice — pop-up dining, flash sales, last-minute performer announcements.</w:t>
      </w:r>
      <w:fldSimple w:instr="NOTEREF _Ref_Footnote_1 \h \f">
        <w:r>
          <w:rPr>
            <w:vertAlign w:val="superscript"/>
          </w:rPr>
          <w:t>1</w:t>
        </w:r>
      </w:fldSimple>
      <w:r>
        <w:t xml:space="preserve">A 12:00 UTC scraper will capture these eventually, but 24-hour latency means</w:t>
      </w:r>
      <w:r>
        <w:t xml:space="preserve"> </w:t>
      </w:r>
      <w:r>
        <w:t xml:space="preserve">“</w:t>
      </w:r>
      <w:r>
        <w:t xml:space="preserve">tonight</w:t>
      </w:r>
      <w:r>
        <w:t xml:space="preserve">”</w:t>
      </w:r>
      <w:r>
        <w:t xml:space="preserve"> </w:t>
      </w:r>
      <w:r>
        <w:t xml:space="preserve">or</w:t>
      </w:r>
      <w:r>
        <w:t xml:space="preserve"> </w:t>
      </w:r>
      <w:r>
        <w:t xml:space="preserve">“</w:t>
      </w:r>
      <w:r>
        <w:t xml:space="preserve">this weekend</w:t>
      </w:r>
      <w:r>
        <w:t xml:space="preserve">”</w:t>
      </w:r>
      <w:r>
        <w:t xml:space="preserve"> </w:t>
      </w:r>
      <w:r>
        <w:t xml:space="preserve">events may surface only after they have occurred. Weekend-specific aggregators such as TodoCanada optimize for this by refreshing on Thursday or Friday mornings.</w:t>
      </w:r>
      <w:fldSimple w:instr="NOTEREF _Ref_Footnote_5 \h \f">
        <w:r>
          <w:rPr>
            <w:vertAlign w:val="superscript"/>
          </w:rPr>
          <w:t>5</w:t>
        </w:r>
      </w:fldSimple>
      <w:r>
        <w:t xml:space="preserve">#### 4.3.3 Recurring Events: Double-Counting and Expiration Risk</w:t>
      </w:r>
    </w:p>
    <w:p>
      <w:pPr>
        <w:pStyle w:val="BodyText"/>
      </w:pPr>
      <w:r>
        <w:t xml:space="preserve">Recurring events present a dual challenge. On Eventbrite, ~70% of nightlife and ~60% of singles listings are recurring series; on Meetup, ~70% across all categories.</w:t>
      </w:r>
      <w:fldSimple w:instr="NOTEREF _Ref_Footnote_1 \h \f">
        <w:r>
          <w:rPr>
            <w:vertAlign w:val="superscript"/>
          </w:rPr>
          <w:t>1</w:t>
        </w:r>
      </w:fldSimple>
      <w:r>
        <w:t xml:space="preserve">FTE deduplicates by normalized title plus date, which prevents exact duplicates but may not catch the same series posted across platforms with variant titles. More critically, cancelled or hibernating series may persist indefinitely because no verification mechanism exists. The homepage’s</w:t>
      </w:r>
      <w:r>
        <w:t xml:space="preserve"> </w:t>
      </w:r>
      <w:r>
        <w:t xml:space="preserve">“</w:t>
      </w:r>
      <w:r>
        <w:t xml:space="preserve">ongoing</w:t>
      </w:r>
      <w:r>
        <w:t xml:space="preserve">”</w:t>
      </w:r>
      <w:r>
        <w:t xml:space="preserve"> </w:t>
      </w:r>
      <w:r>
        <w:t xml:space="preserve">filter hides 3,035 events — over two-thirds of the database — suggesting most of the 4,422-entry inventory consists of long-running entries not shown to users by default.</w:t>
      </w:r>
      <w:fldSimple w:instr="NOTEREF _Ref_Footnote_2 \h \f">
        <w:r>
          <w:rPr>
            <w:vertAlign w:val="superscript"/>
          </w:rPr>
          <w:t>2</w:t>
        </w:r>
      </w:fldSimple>
      <w:r>
        <w:t xml:space="preserve">### 4.4 Google Search Visibility Baseline</w:t>
      </w:r>
    </w:p>
    <w:p>
      <w:pPr>
        <w:pStyle w:val="BodyText"/>
      </w:pPr>
      <w:r>
        <w:t xml:space="preserve">Search visibility determines whether an aggregator can attract organic traffic. The audit mapped top organic results for</w:t>
      </w:r>
      <w:r>
        <w:t xml:space="preserve"> </w:t>
      </w:r>
      <w:r>
        <w:t xml:space="preserve">“</w:t>
      </w:r>
      <w:r>
        <w:t xml:space="preserve">Toronto events</w:t>
      </w:r>
      <w:r>
        <w:t xml:space="preserve">”</w:t>
      </w:r>
      <w:r>
        <w:t xml:space="preserve"> </w:t>
      </w:r>
      <w:r>
        <w:t xml:space="preserve">and related long-tail variants.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Site</w:t>
            </w:r>
          </w:p>
        </w:tc>
        <w:tc>
          <w:tcPr/>
          <w:p>
            <w:pPr>
              <w:pStyle w:val="Compact"/>
              <w:jc w:val="left"/>
            </w:pPr>
            <w:r>
              <w:t xml:space="preserve">Category</w:t>
            </w:r>
          </w:p>
        </w:tc>
        <w:tc>
          <w:tcPr/>
          <w:p>
            <w:pPr>
              <w:pStyle w:val="Compact"/>
              <w:jc w:val="left"/>
            </w:pPr>
            <w:r>
              <w:t xml:space="preserve">FTE Position</w:t>
            </w:r>
          </w:p>
        </w:tc>
        <w:tc>
          <w:tcPr/>
          <w:p>
            <w:pPr>
              <w:pStyle w:val="Compact"/>
              <w:jc w:val="left"/>
            </w:pPr>
            <w:r>
              <w:t xml:space="preserve">Threat Level</w:t>
            </w:r>
          </w:p>
        </w:tc>
        <w:tc>
          <w:tcPr/>
          <w:p>
            <w:pPr>
              <w:pStyle w:val="Compact"/>
              <w:jc w:val="left"/>
            </w:pPr>
            <w:r>
              <w:t xml:space="preserve">Key Differentiator</w:t>
            </w:r>
          </w:p>
        </w:tc>
      </w:tr>
      <w:tr>
        <w:tc>
          <w:tcPr/>
          <w:p>
            <w:pPr>
              <w:pStyle w:val="Compact"/>
              <w:jc w:val="left"/>
            </w:pPr>
            <w:r>
              <w:t xml:space="preserve">1</w:t>
            </w:r>
          </w:p>
        </w:tc>
        <w:tc>
          <w:tcPr/>
          <w:p>
            <w:pPr>
              <w:pStyle w:val="Compact"/>
              <w:jc w:val="left"/>
            </w:pPr>
            <w:r>
              <w:t xml:space="preserve">Eventbrite Toronto</w:t>
            </w:r>
          </w:p>
        </w:tc>
        <w:tc>
          <w:tcPr/>
          <w:p>
            <w:pPr>
              <w:pStyle w:val="Compact"/>
              <w:jc w:val="left"/>
            </w:pPr>
            <w:r>
              <w:t xml:space="preserve">Ticketing / Marketplace</w:t>
            </w:r>
          </w:p>
        </w:tc>
        <w:tc>
          <w:tcPr/>
          <w:p>
            <w:pPr>
              <w:pStyle w:val="Compact"/>
              <w:jc w:val="left"/>
            </w:pPr>
            <w:r>
              <w:t xml:space="preserve">Not ranked</w:t>
            </w:r>
          </w:p>
        </w:tc>
        <w:tc>
          <w:tcPr/>
          <w:p>
            <w:pPr>
              <w:pStyle w:val="Compact"/>
              <w:jc w:val="left"/>
            </w:pPr>
            <w:r>
              <w:t xml:space="preserve">Critical</w:t>
            </w:r>
          </w:p>
        </w:tc>
        <w:tc>
          <w:tcPr/>
          <w:p>
            <w:pPr>
              <w:pStyle w:val="Compact"/>
              <w:jc w:val="left"/>
            </w:pPr>
            <w:r>
              <w:t xml:space="preserve">Largest inventory, transactional intent, Google’s preferred events partner</w:t>
            </w:r>
          </w:p>
        </w:tc>
      </w:tr>
      <w:tr>
        <w:tc>
          <w:tcPr/>
          <w:p>
            <w:pPr>
              <w:pStyle w:val="Compact"/>
              <w:jc w:val="left"/>
            </w:pPr>
            <w:r>
              <w:t xml:space="preserve">2</w:t>
            </w:r>
          </w:p>
        </w:tc>
        <w:tc>
          <w:tcPr/>
          <w:p>
            <w:pPr>
              <w:pStyle w:val="Compact"/>
              <w:jc w:val="left"/>
            </w:pPr>
            <w:r>
              <w:t xml:space="preserve">Destination Toronto</w:t>
            </w:r>
          </w:p>
        </w:tc>
        <w:tc>
          <w:tcPr/>
          <w:p>
            <w:pPr>
              <w:pStyle w:val="Compact"/>
              <w:jc w:val="left"/>
            </w:pPr>
            <w:r>
              <w:t xml:space="preserve">Official Tourism Board</w:t>
            </w:r>
          </w:p>
        </w:tc>
        <w:tc>
          <w:tcPr/>
          <w:p>
            <w:pPr>
              <w:pStyle w:val="Compact"/>
              <w:jc w:val="left"/>
            </w:pPr>
            <w:r>
              <w:t xml:space="preserve">Not ranked</w:t>
            </w:r>
          </w:p>
        </w:tc>
        <w:tc>
          <w:tcPr/>
          <w:p>
            <w:pPr>
              <w:pStyle w:val="Compact"/>
              <w:jc w:val="left"/>
            </w:pPr>
            <w:r>
              <w:t xml:space="preserve">High</w:t>
            </w:r>
          </w:p>
        </w:tc>
        <w:tc>
          <w:tcPr/>
          <w:p>
            <w:pPr>
              <w:pStyle w:val="Compact"/>
              <w:jc w:val="left"/>
            </w:pPr>
            <w:r>
              <w:t xml:space="preserve">Free listings, neighborhood filters, map view, event submission open</w:t>
            </w:r>
          </w:p>
        </w:tc>
      </w:tr>
      <w:tr>
        <w:tc>
          <w:tcPr/>
          <w:p>
            <w:pPr>
              <w:pStyle w:val="Compact"/>
              <w:jc w:val="left"/>
            </w:pPr>
            <w:r>
              <w:t xml:space="preserve">3</w:t>
            </w:r>
          </w:p>
        </w:tc>
        <w:tc>
          <w:tcPr/>
          <w:p>
            <w:pPr>
              <w:pStyle w:val="Compact"/>
              <w:jc w:val="left"/>
            </w:pPr>
            <w:r>
              <w:t xml:space="preserve">BlogTO Events</w:t>
            </w:r>
          </w:p>
        </w:tc>
        <w:tc>
          <w:tcPr/>
          <w:p>
            <w:pPr>
              <w:pStyle w:val="Compact"/>
              <w:jc w:val="left"/>
            </w:pPr>
            <w:r>
              <w:t xml:space="preserve">Local Media / Curated</w:t>
            </w:r>
          </w:p>
        </w:tc>
        <w:tc>
          <w:tcPr/>
          <w:p>
            <w:pPr>
              <w:pStyle w:val="Compact"/>
              <w:jc w:val="left"/>
            </w:pPr>
            <w:r>
              <w:t xml:space="preserve">Not ranked</w:t>
            </w:r>
          </w:p>
        </w:tc>
        <w:tc>
          <w:tcPr/>
          <w:p>
            <w:pPr>
              <w:pStyle w:val="Compact"/>
              <w:jc w:val="left"/>
            </w:pPr>
            <w:r>
              <w:t xml:space="preserve">High</w:t>
            </w:r>
          </w:p>
        </w:tc>
        <w:tc>
          <w:tcPr/>
          <w:p>
            <w:pPr>
              <w:pStyle w:val="Compact"/>
              <w:jc w:val="left"/>
            </w:pPr>
            <w:r>
              <w:t xml:space="preserve">Editorial curation, 2M+ monthly readers, free submission, newsletter</w:t>
            </w:r>
          </w:p>
        </w:tc>
      </w:tr>
      <w:tr>
        <w:tc>
          <w:tcPr/>
          <w:p>
            <w:pPr>
              <w:pStyle w:val="Compact"/>
              <w:jc w:val="left"/>
            </w:pPr>
            <w:r>
              <w:t xml:space="preserve">4</w:t>
            </w:r>
          </w:p>
        </w:tc>
        <w:tc>
          <w:tcPr/>
          <w:p>
            <w:pPr>
              <w:pStyle w:val="Compact"/>
              <w:jc w:val="left"/>
            </w:pPr>
            <w:r>
              <w:t xml:space="preserve">NOW Toronto Events</w:t>
            </w:r>
          </w:p>
        </w:tc>
        <w:tc>
          <w:tcPr/>
          <w:p>
            <w:pPr>
              <w:pStyle w:val="Compact"/>
              <w:jc w:val="left"/>
            </w:pPr>
            <w:r>
              <w:t xml:space="preserve">Alternative Weekly</w:t>
            </w:r>
          </w:p>
        </w:tc>
        <w:tc>
          <w:tcPr/>
          <w:p>
            <w:pPr>
              <w:pStyle w:val="Compact"/>
              <w:jc w:val="left"/>
            </w:pPr>
            <w:r>
              <w:t xml:space="preserve">Source scraped by FTE</w:t>
            </w:r>
          </w:p>
        </w:tc>
        <w:tc>
          <w:tcPr/>
          <w:p>
            <w:pPr>
              <w:pStyle w:val="Compact"/>
              <w:jc w:val="left"/>
            </w:pPr>
            <w:r>
              <w:t xml:space="preserve">Medium</w:t>
            </w:r>
          </w:p>
        </w:tc>
        <w:tc>
          <w:tcPr/>
          <w:p>
            <w:pPr>
              <w:pStyle w:val="Compact"/>
              <w:jc w:val="left"/>
            </w:pPr>
            <w:r>
              <w:t xml:space="preserve">50+ year brand, arts/music focus, calendar export (iCal/Google/Outlook)</w:t>
            </w:r>
          </w:p>
        </w:tc>
      </w:tr>
      <w:tr>
        <w:tc>
          <w:tcPr/>
          <w:p>
            <w:pPr>
              <w:pStyle w:val="Compact"/>
              <w:jc w:val="left"/>
            </w:pPr>
            <w:r>
              <w:t xml:space="preserve">5</w:t>
            </w:r>
          </w:p>
        </w:tc>
        <w:tc>
          <w:tcPr/>
          <w:p>
            <w:pPr>
              <w:pStyle w:val="Compact"/>
              <w:jc w:val="left"/>
            </w:pPr>
            <w:r>
              <w:t xml:space="preserve">Ticketmaster Toronto</w:t>
            </w:r>
          </w:p>
        </w:tc>
        <w:tc>
          <w:tcPr/>
          <w:p>
            <w:pPr>
              <w:pStyle w:val="Compact"/>
              <w:jc w:val="left"/>
            </w:pPr>
            <w:r>
              <w:t xml:space="preserve">Primary Ticketing</w:t>
            </w:r>
          </w:p>
        </w:tc>
        <w:tc>
          <w:tcPr/>
          <w:p>
            <w:pPr>
              <w:pStyle w:val="Compact"/>
              <w:jc w:val="left"/>
            </w:pPr>
            <w:r>
              <w:t xml:space="preserve">Not ranked</w:t>
            </w:r>
          </w:p>
        </w:tc>
        <w:tc>
          <w:tcPr/>
          <w:p>
            <w:pPr>
              <w:pStyle w:val="Compact"/>
              <w:jc w:val="left"/>
            </w:pPr>
            <w:r>
              <w:t xml:space="preserve">High</w:t>
            </w:r>
          </w:p>
        </w:tc>
        <w:tc>
          <w:tcPr/>
          <w:p>
            <w:pPr>
              <w:pStyle w:val="Compact"/>
              <w:jc w:val="left"/>
            </w:pPr>
            <w:r>
              <w:t xml:space="preserve">Exclusive major venue data, real-time availability, seating charts</w:t>
            </w:r>
          </w:p>
        </w:tc>
      </w:tr>
      <w:tr>
        <w:tc>
          <w:tcPr/>
          <w:p>
            <w:pPr>
              <w:pStyle w:val="Compact"/>
              <w:jc w:val="left"/>
            </w:pPr>
            <w:r>
              <w:t xml:space="preserve">6</w:t>
            </w:r>
          </w:p>
        </w:tc>
        <w:tc>
          <w:tcPr/>
          <w:p>
            <w:pPr>
              <w:pStyle w:val="Compact"/>
              <w:jc w:val="left"/>
            </w:pPr>
            <w:r>
              <w:t xml:space="preserve">Songkick Toronto</w:t>
            </w:r>
          </w:p>
        </w:tc>
        <w:tc>
          <w:tcPr/>
          <w:p>
            <w:pPr>
              <w:pStyle w:val="Compact"/>
              <w:jc w:val="left"/>
            </w:pPr>
            <w:r>
              <w:t xml:space="preserve">Music Vertical</w:t>
            </w:r>
          </w:p>
        </w:tc>
        <w:tc>
          <w:tcPr/>
          <w:p>
            <w:pPr>
              <w:pStyle w:val="Compact"/>
              <w:jc w:val="left"/>
            </w:pPr>
            <w:r>
              <w:t xml:space="preserve">Not ranked</w:t>
            </w:r>
          </w:p>
        </w:tc>
        <w:tc>
          <w:tcPr/>
          <w:p>
            <w:pPr>
              <w:pStyle w:val="Compact"/>
              <w:jc w:val="left"/>
            </w:pPr>
            <w:r>
              <w:t xml:space="preserve">Medium</w:t>
            </w:r>
          </w:p>
        </w:tc>
        <w:tc>
          <w:tcPr/>
          <w:p>
            <w:pPr>
              <w:pStyle w:val="Compact"/>
              <w:jc w:val="left"/>
            </w:pPr>
            <w:r>
              <w:t xml:space="preserve">237+ June 2026 concerts listed, artist tour data, dedicated music audience</w:t>
            </w:r>
          </w:p>
        </w:tc>
      </w:tr>
      <w:tr>
        <w:tc>
          <w:tcPr/>
          <w:p>
            <w:pPr>
              <w:pStyle w:val="Compact"/>
              <w:jc w:val="left"/>
            </w:pPr>
            <w:r>
              <w:t xml:space="preserve">7</w:t>
            </w:r>
          </w:p>
        </w:tc>
        <w:tc>
          <w:tcPr/>
          <w:p>
            <w:pPr>
              <w:pStyle w:val="Compact"/>
              <w:jc w:val="left"/>
            </w:pPr>
            <w:r>
              <w:t xml:space="preserve">Toronto Public Library</w:t>
            </w:r>
          </w:p>
        </w:tc>
        <w:tc>
          <w:tcPr/>
          <w:p>
            <w:pPr>
              <w:pStyle w:val="Compact"/>
              <w:jc w:val="left"/>
            </w:pPr>
            <w:r>
              <w:t xml:space="preserve">Public Institution</w:t>
            </w:r>
          </w:p>
        </w:tc>
        <w:tc>
          <w:tcPr/>
          <w:p>
            <w:pPr>
              <w:pStyle w:val="Compact"/>
              <w:jc w:val="left"/>
            </w:pPr>
            <w:r>
              <w:t xml:space="preserve">Not ranked</w:t>
            </w:r>
          </w:p>
        </w:tc>
        <w:tc>
          <w:tcPr/>
          <w:p>
            <w:pPr>
              <w:pStyle w:val="Compact"/>
              <w:jc w:val="left"/>
            </w:pPr>
            <w:r>
              <w:t xml:space="preserve">Low (non-competing)</w:t>
            </w:r>
          </w:p>
        </w:tc>
        <w:tc>
          <w:tcPr/>
          <w:p>
            <w:pPr>
              <w:pStyle w:val="Compact"/>
              <w:jc w:val="left"/>
            </w:pPr>
            <w:r>
              <w:t xml:space="preserve">7,000–10,000 free programs, open data feed, serves different intent</w:t>
            </w:r>
          </w:p>
        </w:tc>
      </w:tr>
      <w:tr>
        <w:tc>
          <w:tcPr/>
          <w:p>
            <w:pPr>
              <w:pStyle w:val="Compact"/>
              <w:jc w:val="left"/>
            </w:pPr>
            <w:r>
              <w:t xml:space="preserve">8</w:t>
            </w:r>
          </w:p>
        </w:tc>
        <w:tc>
          <w:tcPr/>
          <w:p>
            <w:pPr>
              <w:pStyle w:val="Compact"/>
              <w:jc w:val="left"/>
            </w:pPr>
            <w:r>
              <w:t xml:space="preserve">TodoCanada Toronto</w:t>
            </w:r>
          </w:p>
        </w:tc>
        <w:tc>
          <w:tcPr/>
          <w:p>
            <w:pPr>
              <w:pStyle w:val="Compact"/>
              <w:jc w:val="left"/>
            </w:pPr>
            <w:r>
              <w:t xml:space="preserve">Weekend Aggregator</w:t>
            </w:r>
          </w:p>
        </w:tc>
        <w:tc>
          <w:tcPr/>
          <w:p>
            <w:pPr>
              <w:pStyle w:val="Compact"/>
              <w:jc w:val="left"/>
            </w:pPr>
            <w:r>
              <w:t xml:space="preserve">Not ranked</w:t>
            </w:r>
          </w:p>
        </w:tc>
        <w:tc>
          <w:tcPr/>
          <w:p>
            <w:pPr>
              <w:pStyle w:val="Compact"/>
              <w:jc w:val="left"/>
            </w:pPr>
            <w:r>
              <w:t xml:space="preserve">Medium</w:t>
            </w:r>
          </w:p>
        </w:tc>
        <w:tc>
          <w:tcPr/>
          <w:p>
            <w:pPr>
              <w:pStyle w:val="Compact"/>
              <w:jc w:val="left"/>
            </w:pPr>
            <w:r>
              <w:t xml:space="preserve">“</w:t>
            </w:r>
            <w:r>
              <w:t xml:space="preserve">This weekend</w:t>
            </w:r>
            <w:r>
              <w:t xml:space="preserve">”</w:t>
            </w:r>
            <w:r>
              <w:t xml:space="preserve"> </w:t>
            </w:r>
            <w:r>
              <w:t xml:space="preserve">optimization, weekly digest format, high recency</w:t>
            </w:r>
          </w:p>
        </w:tc>
      </w:tr>
      <w:tr>
        <w:tc>
          <w:tcPr/>
          <w:p>
            <w:pPr>
              <w:pStyle w:val="Compact"/>
              <w:jc w:val="left"/>
            </w:pPr>
            <w:r>
              <w:t xml:space="preserve">9</w:t>
            </w:r>
          </w:p>
        </w:tc>
        <w:tc>
          <w:tcPr/>
          <w:p>
            <w:pPr>
              <w:pStyle w:val="Compact"/>
              <w:jc w:val="left"/>
            </w:pPr>
            <w:r>
              <w:t xml:space="preserve">Toronto.ca Official Calendar</w:t>
            </w:r>
          </w:p>
        </w:tc>
        <w:tc>
          <w:tcPr/>
          <w:p>
            <w:pPr>
              <w:pStyle w:val="Compact"/>
              <w:jc w:val="left"/>
            </w:pPr>
            <w:r>
              <w:t xml:space="preserve">Government / Municipal</w:t>
            </w:r>
          </w:p>
        </w:tc>
        <w:tc>
          <w:tcPr/>
          <w:p>
            <w:pPr>
              <w:pStyle w:val="Compact"/>
              <w:jc w:val="left"/>
            </w:pPr>
            <w:r>
              <w:t xml:space="preserve">19 events scraped</w:t>
            </w:r>
          </w:p>
        </w:tc>
        <w:tc>
          <w:tcPr/>
          <w:p>
            <w:pPr>
              <w:pStyle w:val="Compact"/>
              <w:jc w:val="left"/>
            </w:pPr>
            <w:r>
              <w:t xml:space="preserve">Low</w:t>
            </w:r>
          </w:p>
        </w:tc>
        <w:tc>
          <w:tcPr/>
          <w:p>
            <w:pPr>
              <w:pStyle w:val="Compact"/>
              <w:jc w:val="left"/>
            </w:pPr>
            <w:r>
              <w:t xml:space="preserve">CKAN API + JSON-LD proxy, community-submitted events</w:t>
            </w:r>
          </w:p>
        </w:tc>
      </w:tr>
      <w:tr>
        <w:tc>
          <w:tcPr/>
          <w:p>
            <w:pPr>
              <w:pStyle w:val="Compact"/>
              <w:jc w:val="left"/>
            </w:pPr>
            <w:r>
              <w:t xml:space="preserve">10</w:t>
            </w:r>
          </w:p>
        </w:tc>
        <w:tc>
          <w:tcPr/>
          <w:p>
            <w:pPr>
              <w:pStyle w:val="Compact"/>
              <w:jc w:val="left"/>
            </w:pPr>
            <w:r>
              <w:t xml:space="preserve">Exhibition Place</w:t>
            </w:r>
          </w:p>
        </w:tc>
        <w:tc>
          <w:tcPr/>
          <w:p>
            <w:pPr>
              <w:pStyle w:val="Compact"/>
              <w:jc w:val="left"/>
            </w:pPr>
            <w:r>
              <w:t xml:space="preserve">Venue Events</w:t>
            </w:r>
          </w:p>
        </w:tc>
        <w:tc>
          <w:tcPr/>
          <w:p>
            <w:pPr>
              <w:pStyle w:val="Compact"/>
              <w:jc w:val="left"/>
            </w:pPr>
            <w:r>
              <w:t xml:space="preserve">Not ranked</w:t>
            </w:r>
          </w:p>
        </w:tc>
        <w:tc>
          <w:tcPr/>
          <w:p>
            <w:pPr>
              <w:pStyle w:val="Compact"/>
              <w:jc w:val="left"/>
            </w:pPr>
            <w:r>
              <w:t xml:space="preserve">Low</w:t>
            </w:r>
          </w:p>
        </w:tc>
        <w:tc>
          <w:tcPr/>
          <w:p>
            <w:pPr>
              <w:pStyle w:val="Compact"/>
              <w:jc w:val="left"/>
            </w:pPr>
            <w:r>
              <w:t xml:space="preserve">Trade shows and sporting events at single venue complex</w:t>
            </w:r>
          </w:p>
        </w:tc>
      </w:tr>
    </w:tbl>
    <w:p>
      <w:pPr>
        <w:pStyle w:val="BodyText"/>
      </w:pPr>
      <w:r>
        <w:rPr>
          <w:iCs/>
          <w:i/>
        </w:rPr>
        <w:t xml:space="preserve">Table 4.3 — Google Search Visibility Ranking for</w:t>
      </w:r>
      <w:r>
        <w:rPr>
          <w:iCs/>
          <w:i/>
        </w:rPr>
        <w:t xml:space="preserve"> </w:t>
      </w:r>
      <w:r>
        <w:rPr>
          <w:iCs/>
          <w:i/>
        </w:rPr>
        <w:t xml:space="preserve">“</w:t>
      </w:r>
      <w:r>
        <w:rPr>
          <w:iCs/>
          <w:i/>
        </w:rPr>
        <w:t xml:space="preserve">Toronto events</w:t>
      </w:r>
      <w:r>
        <w:rPr>
          <w:iCs/>
          <w:i/>
        </w:rPr>
        <w:t xml:space="preserve">”</w:t>
      </w:r>
      <w:r>
        <w:rPr>
          <w:iCs/>
          <w:i/>
        </w:rPr>
        <w:t xml:space="preserve"> </w:t>
      </w:r>
      <w:r>
        <w:rPr>
          <w:iCs/>
          <w:i/>
        </w:rPr>
        <w:t xml:space="preserve">(April 2026). FTE Position indicates whether findtorontoevents.ca appears in the top ten organic results (it does not) or has any relationship to the ranked site. Threat Level reflects competitive intensity for the same audience.</w:t>
      </w:r>
      <w:fldSimple w:instr="NOTEREF _Ref_Footnote_5 \h \f">
        <w:r>
          <w:rPr>
            <w:vertAlign w:val="superscript"/>
          </w:rPr>
          <w:t>5</w:t>
        </w:r>
      </w:fldSimple>
    </w:p>
    <w:bookmarkEnd w:id="72"/>
    <w:bookmarkStart w:id="73" w:name="Xa2e50001ca068812cd444b969abfd92f64d7211"/>
    <w:p>
      <w:pPr>
        <w:pStyle w:val="Heading4"/>
      </w:pPr>
      <w:r>
        <w:t xml:space="preserve">4.4.1 The Top Ten Is Dominated by Established Platforms</w:t>
      </w:r>
    </w:p>
    <w:p>
      <w:pPr>
        <w:pStyle w:val="FirstParagraph"/>
      </w:pPr>
      <w:r>
        <w:t xml:space="preserve">FTE does not rank in the top ten for</w:t>
      </w:r>
      <w:r>
        <w:t xml:space="preserve"> </w:t>
      </w:r>
      <w:r>
        <w:t xml:space="preserve">“</w:t>
      </w:r>
      <w:r>
        <w:t xml:space="preserve">Toronto events.</w:t>
      </w:r>
      <w:r>
        <w:t xml:space="preserve">”</w:t>
      </w:r>
      <w:r>
        <w:t xml:space="preserve"> </w:t>
      </w:r>
      <w:r>
        <w:t xml:space="preserve">Eventbrite holds position 1 through Google’s events integration and schema markup; Destination Toronto (position 2) offers free submission and neighborhood filtering; BlogTO (position 3) and NOW Toronto (position 4) leverage decades of editorial brand recognition.</w:t>
      </w:r>
      <w:fldSimple w:instr="NOTEREF _Ref_Footnote_5 \h \f">
        <w:r>
          <w:rPr>
            <w:vertAlign w:val="superscript"/>
          </w:rPr>
          <w:t>5</w:t>
        </w:r>
      </w:fldSimple>
      <w:r>
        <w:t xml:space="preserve">Ticketmaster (position 5) controls venue exclusives, while Songkick (position 6) owns the live music vertical with 237+ June 2026 concerts.</w:t>
      </w:r>
      <w:fldSimple w:instr="NOTEREF _Ref_Footnote_5 \h \f">
        <w:r>
          <w:rPr>
            <w:vertAlign w:val="superscript"/>
          </w:rPr>
          <w:t>5</w:t>
        </w:r>
      </w:fldSimple>
      <w:r>
        <w:t xml:space="preserve">Google’s algorithm favours massive inventory, institutional authority, editorial strength, or vertical specialization — none of which describe FTE’s current generalist positioning with moderate inventory.</w:t>
      </w:r>
    </w:p>
    <w:bookmarkEnd w:id="73"/>
    <w:bookmarkStart w:id="74" w:name="X888715ef6652110246c62d4537e647b4e5419a6"/>
    <w:p>
      <w:pPr>
        <w:pStyle w:val="Heading4"/>
      </w:pPr>
      <w:r>
        <w:t xml:space="preserve">4.4.2 Weekend-Specific Aggregators Represent an Uncontested Niche</w:t>
      </w:r>
    </w:p>
    <w:p>
      <w:pPr>
        <w:pStyle w:val="FirstParagraph"/>
      </w:pPr>
      <w:r>
        <w:t xml:space="preserve">The query</w:t>
      </w:r>
      <w:r>
        <w:t xml:space="preserve"> </w:t>
      </w:r>
      <w:r>
        <w:t xml:space="preserve">“</w:t>
      </w:r>
      <w:r>
        <w:t xml:space="preserve">Toronto events this weekend</w:t>
      </w:r>
      <w:r>
        <w:t xml:space="preserve">”</w:t>
      </w:r>
      <w:r>
        <w:t xml:space="preserve"> </w:t>
      </w:r>
      <w:r>
        <w:t xml:space="preserve">surfaces a different competitive set, with TodoCanada (position 8) and weekend newsletters such as Toronto Events Weekly (7,000+ subscribers) gaining prominence.</w:t>
      </w:r>
      <w:fldSimple w:instr="NOTEREF _Ref_Footnote_5 \h \f">
        <w:r>
          <w:rPr>
            <w:vertAlign w:val="superscript"/>
          </w:rPr>
          <w:t>5</w:t>
        </w:r>
      </w:fldSimple>
      <w:r>
        <w:t xml:space="preserve">These sources optimize for short-horizon discovery and update on Thursday or Friday. FTE offers date filters (Today, Tomorrow, This Week, This Month), but its daily batch model means weekend listings may not reflect events posted after Wednesday.</w:t>
      </w:r>
      <w:fldSimple w:instr="NOTEREF _Ref_Footnote_2 \h \f">
        <w:r>
          <w:rPr>
            <w:vertAlign w:val="superscript"/>
          </w:rPr>
          <w:t>2</w:t>
        </w:r>
      </w:fldSimple>
      <w:r>
        <w:t xml:space="preserve">The weekend-aggregator niche is uncontested by any source with both real-time data and strong SEO.</w:t>
      </w:r>
    </w:p>
    <w:bookmarkEnd w:id="74"/>
    <w:bookmarkStart w:id="75" w:name="X3ae3ae6616aef3de61d6478914eb34d2255c1a1"/>
    <w:p>
      <w:pPr>
        <w:pStyle w:val="Heading4"/>
      </w:pPr>
      <w:r>
        <w:t xml:space="preserve">4.4.3 Singles Events: An SEO Opportunity with Zero Competition</w:t>
      </w:r>
    </w:p>
    <w:p>
      <w:pPr>
        <w:pStyle w:val="FirstParagraph"/>
      </w:pPr>
      <w:r>
        <w:t xml:space="preserve">The query</w:t>
      </w:r>
      <w:r>
        <w:t xml:space="preserve"> </w:t>
      </w:r>
      <w:r>
        <w:t xml:space="preserve">“</w:t>
      </w:r>
      <w:r>
        <w:t xml:space="preserve">Toronto singles events</w:t>
      </w:r>
      <w:r>
        <w:t xml:space="preserve">”</w:t>
      </w:r>
      <w:r>
        <w:t xml:space="preserve"> </w:t>
      </w:r>
      <w:r>
        <w:t xml:space="preserve">yields a striking result: no dedicated aggregator ranks in the top ten. Eventbrite’s category page appears, along with individual operators such as Flare Events and Toronto Dating Hub, but no horizontal source consolidates speed dating, mixers, and activity-based programming across the market.</w:t>
      </w:r>
      <w:fldSimple w:instr="NOTEREF _Ref_Footnote_1 \h \f">
        <w:r>
          <w:rPr>
            <w:vertAlign w:val="superscript"/>
          </w:rPr>
          <w:t>1</w:t>
        </w:r>
      </w:fldSimple>
      <w:r>
        <w:t xml:space="preserve"> </w:t>
      </w:r>
      <w:fldSimple w:instr="NOTEREF _Ref_Footnote_6 \h \f">
        <w:r>
          <w:rPr>
            <w:vertAlign w:val="superscript"/>
          </w:rPr>
          <w:t>6</w:t>
        </w:r>
      </w:fldSimple>
      <w:r>
        <w:t xml:space="preserve">With 32 events from three dedicated operators absent and ~80+ Eventbrite singles events underrepresented, the category is both an SEO vacuum and a coverage gap.</w:t>
      </w:r>
      <w:fldSimple w:instr="NOTEREF _Ref_Footnote_6 \h \f">
        <w:r>
          <w:rPr>
            <w:vertAlign w:val="superscript"/>
          </w:rPr>
          <w:t>6</w:t>
        </w:r>
      </w:fldSimple>
      <w:r>
        <w:t xml:space="preserve">Adding the three operators’ feeds and optimizing a</w:t>
      </w:r>
      <w:r>
        <w:t xml:space="preserve"> </w:t>
      </w:r>
      <w:r>
        <w:t xml:space="preserve">“</w:t>
      </w:r>
      <w:r>
        <w:t xml:space="preserve">Toronto singles events</w:t>
      </w:r>
      <w:r>
        <w:t xml:space="preserve">”</w:t>
      </w:r>
      <w:r>
        <w:t xml:space="preserve"> </w:t>
      </w:r>
      <w:r>
        <w:t xml:space="preserve">landing page would position FTE as the default aggregator for a high-intent, commercially valuable segment. The gap analysis positions Chapter 5 to address these deficits through specific integration and SEO recommendations.</w:t>
      </w:r>
      <w:r>
        <w:t xml:space="preserve"> </w:t>
      </w:r>
      <w:r>
        <w:t xml:space="preserve">## 5. Enhancement Recommendations and Integration Roadmap</w:t>
      </w:r>
    </w:p>
    <w:p>
      <w:pPr>
        <w:pStyle w:val="BodyText"/>
      </w:pPr>
      <w:r>
        <w:t xml:space="preserve">Chapters 1 through 4 established a clear diagnostic: findtorontoevents.ca (FTE) captures approximately 35.3% of Toronto’s estimated 12,500-event annual ecosystem, operates on a static-file architecture that has outgrown its production demands, and maintains a disconnected SQL database whose deduplication capabilities never reach end users.</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4 \h \f">
        <w:r>
          <w:rPr>
            <w:vertAlign w:val="superscript"/>
          </w:rPr>
          <w:t>4</w:t>
        </w:r>
      </w:fldSimple>
      <w:r>
        <w:t xml:space="preserve">The competitive landscape reveals multiple high-feasibility integration targets — from open data feeds to platform APIs — that would expand coverage while improving data quality and search visibility.</w:t>
      </w:r>
    </w:p>
    <w:p>
      <w:pPr>
        <w:pStyle w:val="BodyText"/>
      </w:pPr>
      <w:r>
        <w:t xml:space="preserve">This chapter translates those findings into an actionable roadmap. Each recommendation specifies what to build, why it matters with quantified impact, and the technical approach required. The priority matrix in Section 5.5 maps all recommendations along effort and impact dimensions, enabling sequencing for maximum engineering return.</w:t>
      </w:r>
    </w:p>
    <w:bookmarkEnd w:id="75"/>
    <w:bookmarkEnd w:id="76"/>
    <w:bookmarkStart w:id="80" w:name="immediate-actions-0-30-days"/>
    <w:p>
      <w:pPr>
        <w:pStyle w:val="Heading3"/>
      </w:pPr>
      <w:r>
        <w:t xml:space="preserve">5.1 Immediate Actions (0-30 days)</w:t>
      </w:r>
    </w:p>
    <w:p>
      <w:pPr>
        <w:pStyle w:val="FirstParagraph"/>
      </w:pPr>
      <w:r>
        <w:t xml:space="preserve">Three interventions require under one week of engineering time each while delivering outsized impact on coverage, user experience, and architectural clarity.</w:t>
      </w:r>
    </w:p>
    <w:bookmarkStart w:id="77" w:name="Xe953feb43c79b2f93f99464617f33cdb788a964"/>
    <w:p>
      <w:pPr>
        <w:pStyle w:val="Heading4"/>
      </w:pPr>
      <w:r>
        <w:t xml:space="preserve">5.1.1 Reconnect or Retire the SQL Database — Eliminate the Data Silo</w:t>
      </w:r>
    </w:p>
    <w:p>
      <w:pPr>
        <w:pStyle w:val="FirstParagraph"/>
      </w:pPr>
      <w:r>
        <w:t xml:space="preserve">FTE maintains two parallel datastores: a 4,422-event JSON file serving the live site and a 1,046-event SQL database that no frontend code queries.</w:t>
      </w:r>
      <w:fldSimple w:instr="NOTEREF _Ref_Footnote_2 \h \f">
        <w:r>
          <w:rPr>
            <w:vertAlign w:val="superscript"/>
          </w:rPr>
          <w:t>2</w:t>
        </w:r>
      </w:fldSimple>
      <w:r>
        <w:t xml:space="preserve">The SQL silo contains working deduplication logic linking multi-source events, yet this intelligence never reaches users because the frontend loads only the flat JSON file.</w:t>
      </w:r>
      <w:fldSimple w:instr="NOTEREF _Ref_Footnote_2 \h \f">
        <w:r>
          <w:rPr>
            <w:vertAlign w:val="superscript"/>
          </w:rPr>
          <w:t>2</w:t>
        </w:r>
      </w:fldSimple>
      <w:r>
        <w:t xml:space="preserve">The recommended action is to retire the MySQL database within 30 days: extract any valuable deduplication logic as a Python module for the JSON pipeline, then decommission the database and redirect hosting resources. This is preferred over reconnecting because the MySQL schema — a flat</w:t>
      </w:r>
      <w:r>
        <w:t xml:space="preserve"> </w:t>
      </w:r>
      <w:r>
        <w:rPr>
          <w:rStyle w:val="VerbatimChar"/>
        </w:rPr>
        <w:t xml:space="preserve">events_log</w:t>
      </w:r>
      <w:r>
        <w:t xml:space="preserve"> </w:t>
      </w:r>
      <w:r>
        <w:t xml:space="preserve">table with no normalized references — was designed for bulk import, and 78.3% of its events are already past-dated.</w:t>
      </w:r>
      <w:fldSimple w:instr="NOTEREF _Ref_Footnote_3 \h \f">
        <w:r>
          <w:rPr>
            <w:vertAlign w:val="superscript"/>
          </w:rPr>
          <w:t>3</w:t>
        </w:r>
      </w:fldSimple>
      <w:r>
        <w:t xml:space="preserve">Retiring eliminates pure overhead and removes confusion from maintaining two parallel ingestion pipelines. Engineering estimate: 2–3 days.</w:t>
      </w:r>
    </w:p>
    <w:bookmarkEnd w:id="77"/>
    <w:bookmarkStart w:id="78" w:name="Xdba8bdb089d6c6b964e5fbb83bfa0b03ae39722"/>
    <w:p>
      <w:pPr>
        <w:pStyle w:val="Heading4"/>
      </w:pPr>
      <w:r>
        <w:t xml:space="preserve">5.1.2 Add Dedicated Scrapers for Single in the City, Flare Events, and Toronto Dating Hub</w:t>
      </w:r>
    </w:p>
    <w:p>
      <w:pPr>
        <w:pStyle w:val="FirstParagraph"/>
      </w:pPr>
      <w:r>
        <w:t xml:space="preserve">Three dedicated singles operators — Single in the City (17 events), Flare Events (6 Toronto events), and Toronto Dating Hub (9 events) — collectively program 32 events, none of which appear on FTE.</w:t>
      </w:r>
      <w:fldSimple w:instr="NOTEREF _Ref_Footnote_5 \h \f">
        <w:r>
          <w:rPr>
            <w:vertAlign w:val="superscript"/>
          </w:rPr>
          <w:t>5</w:t>
        </w:r>
      </w:fldSimple>
      <w:r>
        <w:t xml:space="preserve">The query</w:t>
      </w:r>
      <w:r>
        <w:t xml:space="preserve"> </w:t>
      </w:r>
      <w:r>
        <w:t xml:space="preserve">“</w:t>
      </w:r>
      <w:r>
        <w:t xml:space="preserve">Toronto singles events</w:t>
      </w:r>
      <w:r>
        <w:t xml:space="preserve">”</w:t>
      </w:r>
      <w:r>
        <w:t xml:space="preserve"> </w:t>
      </w:r>
      <w:r>
        <w:t xml:space="preserve">returns no dedicated aggregator in Google’s top ten, creating an SEO vacuum.</w:t>
      </w:r>
      <w:fldSimple w:instr="NOTEREF _Ref_Footnote_4 \h \f">
        <w:r>
          <w:rPr>
            <w:vertAlign w:val="superscript"/>
          </w:rPr>
          <w:t>4</w:t>
        </w:r>
      </w:fldSimple>
      <w:r>
        <w:t xml:space="preserve">The implementation requires three bespoke scrapers: Single in the City runs on WordPress with consistent HTML; Flare Events uses Eventbrite for ticketing but maintains its own listing page; Toronto Dating Hub operates a proprietary site. Each scraper extracts title, date, venue, price, description, and booking URL, normalizing to FTE’s JSON schema. Singles events command $35–$55 per ticket with demonstrated repeat attendance.</w:t>
      </w:r>
      <w:fldSimple w:instr="NOTEREF _Ref_Footnote_5 \h \f">
        <w:r>
          <w:rPr>
            <w:vertAlign w:val="superscript"/>
          </w:rPr>
          <w:t>5</w:t>
        </w:r>
      </w:fldSimple>
      <w:r>
        <w:t xml:space="preserve">Capturing them positions FTE as the default aggregator for a high-intent query with zero competition. Engineering estimate: 4–5 days.</w:t>
      </w:r>
    </w:p>
    <w:bookmarkEnd w:id="78"/>
    <w:bookmarkStart w:id="79" w:name="X617995fa35acc7a906ce36def5bc8767aa72943"/>
    <w:p>
      <w:pPr>
        <w:pStyle w:val="Heading4"/>
      </w:pPr>
      <w:r>
        <w:t xml:space="preserve">5.1.3 Integrate the Toronto Public Library Open Data Feed</w:t>
      </w:r>
    </w:p>
    <w:p>
      <w:pPr>
        <w:pStyle w:val="FirstParagraph"/>
      </w:pPr>
      <w:r>
        <w:t xml:space="preserve">TPL delivers an estimated 7,000–10,000 programs annually — book clubs, AI workshops, author talks, children’s storytimes — and FTE captures none of them.</w:t>
      </w:r>
      <w:fldSimple w:instr="NOTEREF _Ref_Footnote_6 \h \f">
        <w:r>
          <w:rPr>
            <w:vertAlign w:val="superscript"/>
          </w:rPr>
          <w:t>6</w:t>
        </w:r>
      </w:fldSimple>
      <w:r>
        <w:t xml:space="preserve">This is the largest single coverage gap in the ecosystem, representing 56–80% of all events FTE misses. TPL publishes structured data through the City of Toronto Open Data Portal under the</w:t>
      </w:r>
      <w:r>
        <w:t xml:space="preserve"> </w:t>
      </w:r>
      <w:r>
        <w:t xml:space="preserve">“</w:t>
      </w:r>
      <w:r>
        <w:t xml:space="preserve">Branch Programs and Events Feed,</w:t>
      </w:r>
      <w:r>
        <w:t xml:space="preserve">”</w:t>
      </w:r>
      <w:r>
        <w:t xml:space="preserve"> </w:t>
      </w:r>
      <w:r>
        <w:t xml:space="preserve">updated daily under the Open Government Licence — Toronto.</w:t>
      </w:r>
      <w:fldSimple w:instr="NOTEREF _Ref_Footnote_6 \h \f">
        <w:r>
          <w:rPr>
            <w:vertAlign w:val="superscript"/>
          </w:rPr>
          <w:t>6</w:t>
        </w:r>
      </w:fldSimple>
      <w:r>
        <w:t xml:space="preserve">The connector — a Python</w:t>
      </w:r>
      <w:r>
        <w:t xml:space="preserve"> </w:t>
      </w:r>
      <w:r>
        <w:rPr>
          <w:rStyle w:val="VerbatimChar"/>
        </w:rPr>
        <w:t xml:space="preserve">requests</w:t>
      </w:r>
      <w:r>
        <w:t xml:space="preserve"> </w:t>
      </w:r>
      <w:r>
        <w:t xml:space="preserve">call against the CKAN datastore API running in the existing GitHub Actions workflow — should filter to Toronto-proper branches, map TPL categories to FTE’s 17-taxonomy system, and flag all events as free. Adding 7,000–10,000 programs would more than triple FTE’s inventory and establish the only aggregator combining commercial ticketed events with public library programming.</w:t>
      </w:r>
      <w:fldSimple w:instr="NOTEREF _Ref_Footnote_1 \h \f">
        <w:r>
          <w:rPr>
            <w:vertAlign w:val="superscript"/>
          </w:rPr>
          <w:t>1</w:t>
        </w:r>
      </w:fldSimple>
      <w:r>
        <w:t xml:space="preserve">TPL events serve seniors, newcomers, and families — demographics underrepresented on Eventbrite and Meetup.</w:t>
      </w:r>
      <w:fldSimple w:instr="NOTEREF _Ref_Footnote_6 \h \f">
        <w:r>
          <w:rPr>
            <w:vertAlign w:val="superscript"/>
          </w:rPr>
          <w:t>6</w:t>
        </w:r>
      </w:fldSimple>
      <w:r>
        <w:t xml:space="preserve">Engineering estimate: 3–4 days.</w:t>
      </w:r>
    </w:p>
    <w:bookmarkEnd w:id="79"/>
    <w:bookmarkEnd w:id="80"/>
    <w:bookmarkStart w:id="85" w:name="short-term-integrations-30-90-days"/>
    <w:p>
      <w:pPr>
        <w:pStyle w:val="Heading3"/>
      </w:pPr>
      <w:r>
        <w:t xml:space="preserve">5.2 Short-term Integrations (30-90 days)</w:t>
      </w:r>
    </w:p>
    <w:p>
      <w:pPr>
        <w:pStyle w:val="FirstParagraph"/>
      </w:pPr>
      <w:r>
        <w:t xml:space="preserve">Four platform integrations require API development or structured scraping and address distinct coverage segments.</w:t>
      </w:r>
    </w:p>
    <w:bookmarkStart w:id="81" w:name="X716d609519f9bb78afdc50075f520d9fcb6581a"/>
    <w:p>
      <w:pPr>
        <w:pStyle w:val="Heading4"/>
      </w:pPr>
      <w:r>
        <w:t xml:space="preserve">5.2.1 Build an Eventbrite API Connector with Location+Radius Filtering</w:t>
      </w:r>
    </w:p>
    <w:p>
      <w:pPr>
        <w:pStyle w:val="FirstParagraph"/>
      </w:pPr>
      <w:r>
        <w:t xml:space="preserve">Eventbrite lists 4,500–6,500 Toronto events; FTE captures 637 (11.6%).</w:t>
      </w:r>
      <w:fldSimple w:instr="NOTEREF _Ref_Footnote_7 \h \f">
        <w:r>
          <w:rPr>
            <w:vertAlign w:val="superscript"/>
          </w:rPr>
          <w:t>7</w:t>
        </w:r>
      </w:fldSimple>
      <w:r>
        <w:t xml:space="preserve">The Eventbrite API provides</w:t>
      </w:r>
      <w:r>
        <w:t xml:space="preserve"> </w:t>
      </w:r>
      <w:r>
        <w:rPr>
          <w:rStyle w:val="VerbatimChar"/>
        </w:rPr>
        <w:t xml:space="preserve">event_search</w:t>
      </w:r>
      <w:r>
        <w:t xml:space="preserve"> </w:t>
      </w:r>
      <w:r>
        <w:t xml:space="preserve">with lat/long radius filtering. The connector should query a Toronto centroid (43.6532°N, 79.3832°W) with a 25 km radius, paginate through results, and extract title, description, datetime, venue with coordinates, organizer, price tiers, and category. Eventbrite’s inventory spans music (20%), business (18%), nightlife (12%), food and drink (10%), and arts (8%), with 25% free.</w:t>
      </w:r>
      <w:fldSimple w:instr="NOTEREF _Ref_Footnote_7 \h \f">
        <w:r>
          <w:rPr>
            <w:vertAlign w:val="superscript"/>
          </w:rPr>
          <w:t>7</w:t>
        </w:r>
      </w:fldSimple>
      <w:r>
        <w:t xml:space="preserve">Full API ingestion would raise FTE’s coverage from 35.3% to approximately 55–60% of the ecosystem. Engineering estimate: 5–7 days.</w:t>
      </w:r>
    </w:p>
    <w:bookmarkEnd w:id="81"/>
    <w:bookmarkStart w:id="82" w:name="X2e65924d6be8f1c977754dfa12db4db7c6d484c"/>
    <w:p>
      <w:pPr>
        <w:pStyle w:val="Heading4"/>
      </w:pPr>
      <w:r>
        <w:t xml:space="preserve">5.2.2 Add Meetup API Integration for Recurring Community Event Capture</w:t>
      </w:r>
    </w:p>
    <w:p>
      <w:pPr>
        <w:pStyle w:val="FirstParagraph"/>
      </w:pPr>
      <w:r>
        <w:t xml:space="preserve">Meetup hosts 1,800–2,500 Toronto events; FTE captures 464 (21.6%).</w:t>
      </w:r>
      <w:fldSimple w:instr="NOTEREF _Ref_Footnote_7 \h \f">
        <w:r>
          <w:rPr>
            <w:vertAlign w:val="superscript"/>
          </w:rPr>
          <w:t>7</w:t>
        </w:r>
      </w:fldSimple>
      <w:r>
        <w:t xml:space="preserve">The gap is largest for free programming: 65% of Meetup events are free, yet FTE misses approximately 1,300 gatherings including language exchanges, board game nights, and walking groups.</w:t>
      </w:r>
      <w:fldSimple w:instr="NOTEREF _Ref_Footnote_7 \h \f">
        <w:r>
          <w:rPr>
            <w:vertAlign w:val="superscript"/>
          </w:rPr>
          <w:t>7</w:t>
        </w:r>
      </w:fldSimple>
      <w:r>
        <w:t xml:space="preserve">The Meetup API (v3, OAuth2) exposes</w:t>
      </w:r>
      <w:r>
        <w:t xml:space="preserve"> </w:t>
      </w:r>
      <w:r>
        <w:rPr>
          <w:rStyle w:val="VerbatimChar"/>
        </w:rPr>
        <w:t xml:space="preserve">/find/groups</w:t>
      </w:r>
      <w:r>
        <w:t xml:space="preserve"> </w:t>
      </w:r>
      <w:r>
        <w:t xml:space="preserve">and</w:t>
      </w:r>
      <w:r>
        <w:t xml:space="preserve"> </w:t>
      </w:r>
      <w:r>
        <w:rPr>
          <w:rStyle w:val="VerbatimChar"/>
        </w:rPr>
        <w:t xml:space="preserve">/find/events</w:t>
      </w:r>
      <w:r>
        <w:t xml:space="preserve"> </w:t>
      </w:r>
      <w:r>
        <w:t xml:space="preserve">with location filtering. The integration should discover Toronto-area groups via lat/long search, fetch upcoming events per group, and deduplicate recurring series (70% of Meetup events) by grouping on series title and generating distinct date instances.</w:t>
      </w:r>
      <w:fldSimple w:instr="NOTEREF _Ref_Footnote_7 \h \f">
        <w:r>
          <w:rPr>
            <w:vertAlign w:val="superscript"/>
          </w:rPr>
          <w:t>7</w:t>
        </w:r>
      </w:fldSimple>
      <w:r>
        <w:t xml:space="preserve">Top groups like</w:t>
      </w:r>
      <w:r>
        <w:t xml:space="preserve"> </w:t>
      </w:r>
      <w:r>
        <w:t xml:space="preserve">“</w:t>
      </w:r>
      <w:r>
        <w:t xml:space="preserve">Do Stuff and Make Friends in Toronto</w:t>
      </w:r>
      <w:r>
        <w:t xml:space="preserve">”</w:t>
      </w:r>
      <w:r>
        <w:t xml:space="preserve"> </w:t>
      </w:r>
      <w:r>
        <w:t xml:space="preserve">(13,446 members) represent engaged communities searching for discovery alternatives. Engineering estimate: 5–6 days.</w:t>
      </w:r>
    </w:p>
    <w:bookmarkEnd w:id="82"/>
    <w:bookmarkStart w:id="83" w:name="X543f0863c4392ee82754af78ca4c18de3334944"/>
    <w:p>
      <w:pPr>
        <w:pStyle w:val="Heading4"/>
      </w:pPr>
      <w:r>
        <w:t xml:space="preserve">5.2.3 Integrate the City of Toronto CKAN API and CivicTechTO JSON-LD Proxy</w:t>
      </w:r>
    </w:p>
    <w:p>
      <w:pPr>
        <w:pStyle w:val="FirstParagraph"/>
      </w:pPr>
      <w:r>
        <w:t xml:space="preserve">The City of Toronto’s open data portal publishes festivals and events refreshed daily; FTE captures only 19 events (6.3%).</w:t>
      </w:r>
      <w:fldSimple w:instr="NOTEREF _Ref_Footnote_8 \h \f">
        <w:r>
          <w:rPr>
            <w:vertAlign w:val="superscript"/>
          </w:rPr>
          <w:t>8</w:t>
        </w:r>
      </w:fldSimple>
      <w:r>
        <w:t xml:space="preserve">A CivicTechTO volunteer maintains a Schema.org JSON-LD proxy that transforms the CKAN feed into standardized structured data with daily snapshots.</w:t>
      </w:r>
      <w:fldSimple w:instr="NOTEREF _Ref_Footnote_8 \h \f">
        <w:r>
          <w:rPr>
            <w:vertAlign w:val="superscript"/>
          </w:rPr>
          <w:t>8</w:t>
        </w:r>
      </w:fldSimple>
      <w:r>
        <w:t xml:space="preserve">The integration should consume both the CKAN API directly (for city-run festivals: Doors Open Toronto, Pride, Nuit Blanche, Summerlicious) and the CivicTechTO proxy (for community-submitted events). Between these feeds, FTE would capture 250–300 annual city events plus real-time community submissions. City-run festivals drive the highest-volume search queries in Toronto’s calendar, and no aggregator currently provides a unified cross-platform festival view.</w:t>
      </w:r>
      <w:fldSimple w:instr="NOTEREF _Ref_Footnote_8 \h \f">
        <w:r>
          <w:rPr>
            <w:vertAlign w:val="superscript"/>
          </w:rPr>
          <w:t>8</w:t>
        </w:r>
      </w:fldSimple>
      <w:r>
        <w:t xml:space="preserve">Engineering estimate: 3–4 days.</w:t>
      </w:r>
    </w:p>
    <w:bookmarkEnd w:id="83"/>
    <w:bookmarkStart w:id="84" w:name="X21b8391820f3ff8cd31e574f8111c998870f2da"/>
    <w:p>
      <w:pPr>
        <w:pStyle w:val="Heading4"/>
      </w:pPr>
      <w:r>
        <w:t xml:space="preserve">5.2.4 Add a Luma Platform Scraper for the Tech/Creator Event Segment</w:t>
      </w:r>
    </w:p>
    <w:p>
      <w:pPr>
        <w:pStyle w:val="FirstParagraph"/>
      </w:pPr>
      <w:r>
        <w:t xml:space="preserve">Luma — with 500–1,000 annual Toronto events and 5x user growth in 2024 — is the fastest-growing event platform, yet FTE captures zero events.</w:t>
      </w:r>
      <w:fldSimple w:instr="NOTEREF _Ref_Footnote_7 \h \f">
        <w:r>
          <w:rPr>
            <w:vertAlign w:val="superscript"/>
          </w:rPr>
          <w:t>7</w:t>
        </w:r>
      </w:fldSimple>
      <w:r>
        <w:t xml:space="preserve">Luma has no public API but publishes Schema.org JSON-LD on event pages with consistent markup for name, description, start time, host, and registration URL. A scraper targeting Luma’s Toronto discovery page can use FTE’s existing</w:t>
      </w:r>
      <w:r>
        <w:t xml:space="preserve"> </w:t>
      </w:r>
      <w:r>
        <w:rPr>
          <w:rStyle w:val="VerbatimChar"/>
        </w:rPr>
        <w:t xml:space="preserve">json+ld</w:t>
      </w:r>
      <w:r>
        <w:t xml:space="preserve"> </w:t>
      </w:r>
      <w:r>
        <w:t xml:space="preserve">parsing infrastructure. The audience — tech workers, founders, and creative professionals — carries above-average disposable income. Early integration establishes FTE as the first aggregator to capture this inventory. Engineering estimate: 2–3 days.</w:t>
      </w:r>
    </w:p>
    <w:bookmarkEnd w:id="84"/>
    <w:bookmarkEnd w:id="85"/>
    <w:bookmarkStart w:id="90" w:name="medium-term-expansion-90-180-days"/>
    <w:p>
      <w:pPr>
        <w:pStyle w:val="Heading3"/>
      </w:pPr>
      <w:r>
        <w:t xml:space="preserve">5.3 Medium-term Expansion (90-180 days)</w:t>
      </w:r>
    </w:p>
    <w:p>
      <w:pPr>
        <w:pStyle w:val="FirstParagraph"/>
      </w:pPr>
      <w:r>
        <w:t xml:space="preserve">Four integrations with higher complexity or lower immediate yield, scheduled after short-term foundations are operational.</w:t>
      </w:r>
    </w:p>
    <w:bookmarkStart w:id="86" w:name="university-event-calendar-scrapers"/>
    <w:p>
      <w:pPr>
        <w:pStyle w:val="Heading4"/>
      </w:pPr>
      <w:r>
        <w:t xml:space="preserve">5.3.1 University Event Calendar Scrapers</w:t>
      </w:r>
    </w:p>
    <w:p>
      <w:pPr>
        <w:pStyle w:val="FirstParagraph"/>
      </w:pPr>
      <w:r>
        <w:t xml:space="preserve">U of T, York, and TMU contribute 400–800 public events annually.</w:t>
      </w:r>
      <w:fldSimple w:instr="NOTEREF _Ref_Footnote_8 \h \f">
        <w:r>
          <w:rPr>
            <w:vertAlign w:val="superscript"/>
          </w:rPr>
          <w:t>8</w:t>
        </w:r>
      </w:fldSimple>
      <w:r>
        <w:t xml:space="preserve">U of T’s public EVE portal (public.eve.utoronto.ca) has the most structured data. The recommended approach is selective: build a scraper for U of T capturing only arts performances, public lectures, and major conferences — events with cross-demographic appeal. York and TMU should be deferred until demand analytics justify the effort. Engineering estimate: 5–6 days for U of T.</w:t>
      </w:r>
    </w:p>
    <w:bookmarkEnd w:id="86"/>
    <w:bookmarkStart w:id="87" w:name="facebook-events-graph-api-integration"/>
    <w:p>
      <w:pPr>
        <w:pStyle w:val="Heading4"/>
      </w:pPr>
      <w:r>
        <w:t xml:space="preserve">5.3.2 Facebook Events Graph API Integration</w:t>
      </w:r>
    </w:p>
    <w:p>
      <w:pPr>
        <w:pStyle w:val="FirstParagraph"/>
      </w:pPr>
      <w:r>
        <w:t xml:space="preserve">Facebook Events hosts 2,000–5,000 Toronto events annually — the largest reservoir of grassroots programming.</w:t>
      </w:r>
      <w:fldSimple w:instr="NOTEREF _Ref_Footnote_7 \h \f">
        <w:r>
          <w:rPr>
            <w:vertAlign w:val="superscript"/>
          </w:rPr>
          <w:t>7</w:t>
        </w:r>
      </w:fldSimple>
      <w:r>
        <w:t xml:space="preserve">The Graph API v18.0+ exposes event search with location filters, but requires Business Verification (2–4 week approval). The implementation should query public events within Toronto’s boundary, filter to those with 5+ interested attendees and venue information, and apply aggressive deduplication since Facebook events are frequently cross-posted. Conservative filtering yields an estimated 500–1,200 quality events annually. The primary risk is API policy fragility: Facebook has repeatedly restricted event data access. Engineering estimate: 7–10 days including approval.</w:t>
      </w:r>
    </w:p>
    <w:bookmarkEnd w:id="87"/>
    <w:bookmarkStart w:id="88" w:name="X80bac80ec426a6ce7e45869cbc09c4d3334da3e"/>
    <w:p>
      <w:pPr>
        <w:pStyle w:val="Heading4"/>
      </w:pPr>
      <w:r>
        <w:t xml:space="preserve">5.3.3 Recreation Centre and Community Centre Program Feeds</w:t>
      </w:r>
    </w:p>
    <w:p>
      <w:pPr>
        <w:pStyle w:val="FirstParagraph"/>
      </w:pPr>
      <w:r>
        <w:t xml:space="preserve">The City operates 130+ recreation centres delivering 2,000+ annual programs — drop-in sessions, sports leagues, and community events — that are structurally invisible to commercial aggregators.</w:t>
      </w:r>
      <w:fldSimple w:instr="NOTEREF _Ref_Footnote_6 \h \f">
        <w:r>
          <w:rPr>
            <w:vertAlign w:val="superscript"/>
          </w:rPr>
          <w:t>6</w:t>
        </w:r>
      </w:fldSimple>
      <w:r>
        <w:t xml:space="preserve">These are distributed across district-specific pages and the CKAN dataset. The approach extends the CKAN connector from Section 5.2.3 to parse recreation categories (sports, fitness, arts, preschool, youth, older adult), prioritizing drop-in and single-session events over multi-week registered programs. Engineering estimate: 4–5 days, contingent on the CKAN connector being operational.</w:t>
      </w:r>
    </w:p>
    <w:bookmarkEnd w:id="88"/>
    <w:bookmarkStart w:id="89" w:name="pop-up-market-and-artisan-fair-detector"/>
    <w:p>
      <w:pPr>
        <w:pStyle w:val="Heading4"/>
      </w:pPr>
      <w:r>
        <w:t xml:space="preserve">5.3.4 Pop-up Market and Artisan Fair Detector</w:t>
      </w:r>
    </w:p>
    <w:p>
      <w:pPr>
        <w:pStyle w:val="FirstParagraph"/>
      </w:pPr>
      <w:r>
        <w:t xml:space="preserve">Pop-up markets and artisan fairs represent 150–250 annual events promoted through Instagram, local blogs, and BIA newsletters with no standardized format.</w:t>
      </w:r>
      <w:fldSimple w:instr="NOTEREF _Ref_Footnote_6 \h \f">
        <w:r>
          <w:rPr>
            <w:vertAlign w:val="superscript"/>
          </w:rPr>
          <w:t>6</w:t>
        </w:r>
      </w:fldSimple>
      <w:r>
        <w:t xml:space="preserve">A monitoring pipeline tracking 15–20 known organizers and venues (Evergreen, Distillery District, Stackt Market) should detect announcements through keyword matching and natural language extraction, queuing events for manual review before publication. Engineering estimate: 6–8 days.</w:t>
      </w:r>
    </w:p>
    <w:bookmarkEnd w:id="89"/>
    <w:bookmarkEnd w:id="90"/>
    <w:bookmarkStart w:id="95" w:name="quality-and-infrastructure-improvements"/>
    <w:p>
      <w:pPr>
        <w:pStyle w:val="Heading3"/>
      </w:pPr>
      <w:r>
        <w:t xml:space="preserve">5.4 Quality and Infrastructure Improvements</w:t>
      </w:r>
    </w:p>
    <w:p>
      <w:pPr>
        <w:pStyle w:val="FirstParagraph"/>
      </w:pPr>
      <w:r>
        <w:t xml:space="preserve">Four improvements address the quality deficits from Chapter 2 and strengthen the technical foundation.</w:t>
      </w:r>
    </w:p>
    <w:bookmarkStart w:id="91" w:name="implement-event-description-enrichment"/>
    <w:p>
      <w:pPr>
        <w:pStyle w:val="Heading4"/>
      </w:pPr>
      <w:r>
        <w:t xml:space="preserve">5.4.1 Implement Event Description Enrichment</w:t>
      </w:r>
    </w:p>
    <w:p>
      <w:pPr>
        <w:pStyle w:val="FirstParagraph"/>
      </w:pPr>
      <w:r>
        <w:t xml:space="preserve">53.8% of events in the SQL database lack descriptions; the JSON dataset shows a similar gap.</w:t>
      </w:r>
      <w:fldSimple w:instr="NOTEREF _Ref_Footnote_3 \h \f">
        <w:r>
          <w:rPr>
            <w:vertAlign w:val="superscript"/>
          </w:rPr>
          <w:t>3</w:t>
        </w:r>
      </w:fldSimple>
      <w:r>
        <w:t xml:space="preserve">This undermines user experience and SEO — Google weights content richness heavily, and description-less pages offer minimal indexable text.</w:t>
      </w:r>
      <w:fldSimple w:instr="NOTEREF _Ref_Footnote_4 \h \f">
        <w:r>
          <w:rPr>
            <w:vertAlign w:val="superscript"/>
          </w:rPr>
          <w:t>4</w:t>
        </w:r>
      </w:fldSimple>
      <w:r>
        <w:t xml:space="preserve">The two-pass enrichment pipeline first attempts a secondary scrape of event detail pages using source-specific CSS selectors. For events where this fails, an LLM API (GPT-4o-mini or Claude Haiku) generates 2–3 sentences from title, venue, date, category, and host at approximately $0.002 per event — roughly $8–12 for the full backlog. The pipeline runs as a post-processing step in the daily GitHub Actions workflow, tagging AI-generated descriptions with</w:t>
      </w:r>
      <w:r>
        <w:t xml:space="preserve"> </w:t>
      </w:r>
      <w:r>
        <w:rPr>
          <w:rStyle w:val="VerbatimChar"/>
        </w:rPr>
        <w:t xml:space="preserve">enriched: true</w:t>
      </w:r>
      <w:r>
        <w:t xml:space="preserve"> </w:t>
      </w:r>
      <w:r>
        <w:t xml:space="preserve">for future replacement. Expected outcome: description completeness rises from 46.2% to 95%+. Engineering estimate: 4–5 days.</w:t>
      </w:r>
    </w:p>
    <w:bookmarkEnd w:id="91"/>
    <w:bookmarkStart w:id="92" w:name="build-a-duplicate-detection-pipeline"/>
    <w:p>
      <w:pPr>
        <w:pStyle w:val="Heading4"/>
      </w:pPr>
      <w:r>
        <w:t xml:space="preserve">5.4.2 Build a Duplicate Detection Pipeline</w:t>
      </w:r>
    </w:p>
    <w:p>
      <w:pPr>
        <w:pStyle w:val="FirstParagraph"/>
      </w:pPr>
      <w:r>
        <w:t xml:space="preserve">Current deduplication uses a normalized title+date key that misses variant titles across platforms.</w:t>
      </w:r>
      <w:fldSimple w:instr="NOTEREF _Ref_Footnote_2 \h \f">
        <w:r>
          <w:rPr>
            <w:vertAlign w:val="superscript"/>
          </w:rPr>
          <w:t>2</w:t>
        </w:r>
      </w:fldSimple>
      <w:r>
        <w:t xml:space="preserve">The recommended three-layer pipeline applies: (1) URL clustering for automatic merging of shared canonical URLs; (2) fuzzy title+date matching (Jaro-Winkler or TF-IDF cosine similarity, threshold 0.85); (3) venue normalization grouping events at the same venue within 24 hours with similar titles. The SQL database’s duplicate-finder logic should be extracted and ported to Python, operating on the JSON dataset before deployment.</w:t>
      </w:r>
      <w:fldSimple w:instr="NOTEREF _Ref_Footnote_2 \h \f">
        <w:r>
          <w:rPr>
            <w:vertAlign w:val="superscript"/>
          </w:rPr>
          <w:t>2</w:t>
        </w:r>
      </w:fldSimple>
      <w:r>
        <w:t xml:space="preserve">Expected outcome: elimination of 23 known URL duplicate groups (72 extra rows) plus detection of 150–300 fuzzy duplicates — a 5–8% dataset compaction.</w:t>
      </w:r>
      <w:fldSimple w:instr="NOTEREF _Ref_Footnote_3 \h \f">
        <w:r>
          <w:rPr>
            <w:vertAlign w:val="superscript"/>
          </w:rPr>
          <w:t>3</w:t>
        </w:r>
      </w:fldSimple>
      <w:r>
        <w:t xml:space="preserve">Engineering estimate: 5–7 days.</w:t>
      </w:r>
    </w:p>
    <w:bookmarkEnd w:id="92"/>
    <w:bookmarkStart w:id="93" w:name="add-freshness-scoring-with-auto-expiry"/>
    <w:p>
      <w:pPr>
        <w:pStyle w:val="Heading4"/>
      </w:pPr>
      <w:r>
        <w:t xml:space="preserve">5.4.3 Add Freshness Scoring with Auto-Expiry</w:t>
      </w:r>
    </w:p>
    <w:p>
      <w:pPr>
        <w:pStyle w:val="FirstParagraph"/>
      </w:pPr>
      <w:r>
        <w:t xml:space="preserve">The daily pipeline has no per-source health monitoring or stale-event pruning.</w:t>
      </w:r>
      <w:fldSimple w:instr="NOTEREF _Ref_Footnote_2 \h \f">
        <w:r>
          <w:rPr>
            <w:vertAlign w:val="superscript"/>
          </w:rPr>
          <w:t>2</w:t>
        </w:r>
      </w:fldSimple>
      <w:r>
        <w:t xml:space="preserve">Every event carries a</w:t>
      </w:r>
      <w:r>
        <w:t xml:space="preserve"> </w:t>
      </w:r>
      <w:r>
        <w:rPr>
          <w:rStyle w:val="VerbatimChar"/>
        </w:rPr>
        <w:t xml:space="preserve">last_updated</w:t>
      </w:r>
      <w:r>
        <w:t xml:space="preserve"> </w:t>
      </w:r>
      <w:r>
        <w:t xml:space="preserve">timestamp reflecting scraper run time, not source modification date, so cancelled events persist until manual detection.</w:t>
      </w:r>
      <w:fldSimple w:instr="NOTEREF _Ref_Footnote_2 \h \f">
        <w:r>
          <w:rPr>
            <w:vertAlign w:val="superscript"/>
          </w:rPr>
          <w:t>2</w:t>
        </w:r>
      </w:fldSimple>
      <w:r>
        <w:t xml:space="preserve">The freshness scoring system assigns each source a reliability weight (0.0–1.0) based on historical accuracy, then computes a composite score from source weight, days since last successful scrape, event proximity (within 7 days receives priority), and engagement signals. Events below threshold are flagged for review; events 30+ days past their date are auto-archived. The homepage currently hides 3,035</w:t>
      </w:r>
      <w:r>
        <w:t xml:space="preserve"> </w:t>
      </w:r>
      <w:r>
        <w:t xml:space="preserve">“</w:t>
      </w:r>
      <w:r>
        <w:t xml:space="preserve">ongoing</w:t>
      </w:r>
      <w:r>
        <w:t xml:space="preserve">”</w:t>
      </w:r>
      <w:r>
        <w:t xml:space="preserve"> </w:t>
      </w:r>
      <w:r>
        <w:t xml:space="preserve">events — over two-thirds of the database — indicating massive stale inventory.</w:t>
      </w:r>
      <w:fldSimple w:instr="NOTEREF _Ref_Footnote_4 \h \f">
        <w:r>
          <w:rPr>
            <w:vertAlign w:val="superscript"/>
          </w:rPr>
          <w:t>4</w:t>
        </w:r>
      </w:fldSimple>
      <w:r>
        <w:t xml:space="preserve">Expected outcome: active dataset reflects only current events, with 60–70% reduction in stale records. Engineering estimate: 4–5 days.</w:t>
      </w:r>
    </w:p>
    <w:bookmarkEnd w:id="93"/>
    <w:bookmarkStart w:id="94" w:name="X53692958bed987ffafb95553ddab7eacc7889ec"/>
    <w:p>
      <w:pPr>
        <w:pStyle w:val="Heading4"/>
      </w:pPr>
      <w:r>
        <w:t xml:space="preserve">5.4.4 Migrate from Flat JSON to a Lightweight Database with API Layer</w:t>
      </w:r>
    </w:p>
    <w:p>
      <w:pPr>
        <w:pStyle w:val="FirstParagraph"/>
      </w:pPr>
      <w:r>
        <w:t xml:space="preserve">The static-file architecture — Git-as-a-Database with FTP deployment — now constrains growth. The 5.16 MB JSON payload traverses the wire on every page load, all filtering runs client-side, and complex spatial queries are impossible.</w:t>
      </w:r>
      <w:fldSimple w:instr="NOTEREF _Ref_Footnote_2 \h \f">
        <w:r>
          <w:rPr>
            <w:vertAlign w:val="superscript"/>
          </w:rPr>
          <w:t>2</w:t>
        </w:r>
      </w:fldSimple>
      <w:r>
        <w:t xml:space="preserve">SQLite is the preferred 0–6 month target: no separate server, native Python integration, full-text search, and geospatial queries via R*Tree. A FastAPI layer should expose search, filter, and aggregation endpoints, with the frontend refactored to query APIs rather than loading the full payload. PostgreSQL with PostGIS should replace SQLite at 50,000+ records or elevated concurrent load. Migration proceeds in three phases: build SQLite + API alongside JSON, refactor frontend to use endpoints, decommission JSON once stable. Expected outcome: 60–80% payload reduction, server-side complex queries, and foundation for recommendations. Engineering estimate: 10–14 days for SQLite + API; 5–7 days for frontend refactoring.</w:t>
      </w:r>
    </w:p>
    <w:bookmarkEnd w:id="94"/>
    <w:bookmarkEnd w:id="95"/>
    <w:bookmarkStart w:id="99" w:name="priority-matrix-and-sequencing-guidance"/>
    <w:p>
      <w:pPr>
        <w:pStyle w:val="Heading3"/>
      </w:pPr>
      <w:r>
        <w:t xml:space="preserve">5.5 Priority Matrix and Sequencing Guidance</w:t>
      </w:r>
    </w:p>
    <w:p>
      <w:pPr>
        <w:pStyle w:val="FirstParagraph"/>
      </w:pPr>
      <w:r>
        <w:t xml:space="preserve">Table 5.1 consolidates all integration recommendations. Table 5.2 presents quality and infrastructure improvements.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Integration</w:t>
            </w:r>
          </w:p>
        </w:tc>
        <w:tc>
          <w:tcPr/>
          <w:p>
            <w:pPr>
              <w:pStyle w:val="Compact"/>
              <w:jc w:val="left"/>
            </w:pPr>
            <w:r>
              <w:t xml:space="preserve">Timeline</w:t>
            </w:r>
          </w:p>
        </w:tc>
        <w:tc>
          <w:tcPr/>
          <w:p>
            <w:pPr>
              <w:pStyle w:val="Compact"/>
              <w:jc w:val="left"/>
            </w:pPr>
            <w:r>
              <w:t xml:space="preserve">Effort</w:t>
            </w:r>
          </w:p>
        </w:tc>
        <w:tc>
          <w:tcPr/>
          <w:p>
            <w:pPr>
              <w:pStyle w:val="Compact"/>
              <w:jc w:val="left"/>
            </w:pPr>
            <w:r>
              <w:t xml:space="preserve">Impact</w:t>
            </w:r>
          </w:p>
        </w:tc>
        <w:tc>
          <w:tcPr/>
          <w:p>
            <w:pPr>
              <w:pStyle w:val="Compact"/>
              <w:jc w:val="left"/>
            </w:pPr>
            <w:r>
              <w:t xml:space="preserve">Events Added</w:t>
            </w:r>
          </w:p>
        </w:tc>
        <w:tc>
          <w:tcPr/>
          <w:p>
            <w:pPr>
              <w:pStyle w:val="Compact"/>
              <w:jc w:val="left"/>
            </w:pPr>
            <w:r>
              <w:t xml:space="preserve">Technical Approach</w:t>
            </w:r>
          </w:p>
        </w:tc>
      </w:tr>
      <w:tr>
        <w:tc>
          <w:tcPr/>
          <w:p>
            <w:pPr>
              <w:pStyle w:val="Compact"/>
              <w:jc w:val="left"/>
            </w:pPr>
            <w:r>
              <w:t xml:space="preserve">TPL Open Data Feed</w:t>
            </w:r>
          </w:p>
        </w:tc>
        <w:tc>
          <w:tcPr/>
          <w:p>
            <w:pPr>
              <w:pStyle w:val="Compact"/>
              <w:jc w:val="left"/>
            </w:pPr>
            <w:r>
              <w:t xml:space="preserve">0–30 days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7,000–10,000</w:t>
            </w:r>
          </w:p>
        </w:tc>
        <w:tc>
          <w:tcPr/>
          <w:p>
            <w:pPr>
              <w:pStyle w:val="Compact"/>
              <w:jc w:val="left"/>
            </w:pPr>
            <w:r>
              <w:t xml:space="preserve">CKAN datastore API connector; daily fetch; category mapping</w:t>
            </w:r>
          </w:p>
        </w:tc>
      </w:tr>
      <w:tr>
        <w:tc>
          <w:tcPr/>
          <w:p>
            <w:pPr>
              <w:pStyle w:val="Compact"/>
              <w:jc w:val="left"/>
            </w:pPr>
            <w:r>
              <w:t xml:space="preserve">Singles Scrapers (3 sites)</w:t>
            </w:r>
          </w:p>
        </w:tc>
        <w:tc>
          <w:tcPr/>
          <w:p>
            <w:pPr>
              <w:pStyle w:val="Compact"/>
              <w:jc w:val="left"/>
            </w:pPr>
            <w:r>
              <w:t xml:space="preserve">0–30 days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32 + ~100/year</w:t>
            </w:r>
          </w:p>
        </w:tc>
        <w:tc>
          <w:tcPr/>
          <w:p>
            <w:pPr>
              <w:pStyle w:val="Compact"/>
              <w:jc w:val="left"/>
            </w:pPr>
            <w:r>
              <w:t xml:space="preserve">Bespoke HTML scrapers per operator; normalize to JSON schema</w:t>
            </w:r>
          </w:p>
        </w:tc>
      </w:tr>
      <w:tr>
        <w:tc>
          <w:tcPr/>
          <w:p>
            <w:pPr>
              <w:pStyle w:val="Compact"/>
              <w:jc w:val="left"/>
            </w:pPr>
            <w:r>
              <w:t xml:space="preserve">SQL Database Resolution</w:t>
            </w:r>
          </w:p>
        </w:tc>
        <w:tc>
          <w:tcPr/>
          <w:p>
            <w:pPr>
              <w:pStyle w:val="Compact"/>
              <w:jc w:val="left"/>
            </w:pPr>
            <w:r>
              <w:t xml:space="preserve">0–30 days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Retire MySQL; extract dedup logic to Python module</w:t>
            </w:r>
          </w:p>
        </w:tc>
      </w:tr>
      <w:tr>
        <w:tc>
          <w:tcPr/>
          <w:p>
            <w:pPr>
              <w:pStyle w:val="Compact"/>
              <w:jc w:val="left"/>
            </w:pPr>
            <w:r>
              <w:t xml:space="preserve">Eventbrite API Connector</w:t>
            </w:r>
          </w:p>
        </w:tc>
        <w:tc>
          <w:tcPr/>
          <w:p>
            <w:pPr>
              <w:pStyle w:val="Compact"/>
              <w:jc w:val="left"/>
            </w:pPr>
            <w:r>
              <w:t xml:space="preserve">30–90 days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2,000–3,500</w:t>
            </w:r>
          </w:p>
        </w:tc>
        <w:tc>
          <w:tcPr/>
          <w:p>
            <w:pPr>
              <w:pStyle w:val="Compact"/>
              <w:jc w:val="left"/>
            </w:pPr>
            <w:r>
              <w:t xml:space="preserve">REST API with lat/long radius; pagination; OAuth</w:t>
            </w:r>
          </w:p>
        </w:tc>
      </w:tr>
      <w:tr>
        <w:tc>
          <w:tcPr/>
          <w:p>
            <w:pPr>
              <w:pStyle w:val="Compact"/>
              <w:jc w:val="left"/>
            </w:pPr>
            <w:r>
              <w:t xml:space="preserve">Meetup API Integration</w:t>
            </w:r>
          </w:p>
        </w:tc>
        <w:tc>
          <w:tcPr/>
          <w:p>
            <w:pPr>
              <w:pStyle w:val="Compact"/>
              <w:jc w:val="left"/>
            </w:pPr>
            <w:r>
              <w:t xml:space="preserve">30–90 days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1,000–1,500</w:t>
            </w:r>
          </w:p>
        </w:tc>
        <w:tc>
          <w:tcPr/>
          <w:p>
            <w:pPr>
              <w:pStyle w:val="Compact"/>
              <w:jc w:val="left"/>
            </w:pPr>
            <w:r>
              <w:t xml:space="preserve">OAuth2 groups/events; series deduplication</w:t>
            </w:r>
          </w:p>
        </w:tc>
      </w:tr>
      <w:tr>
        <w:tc>
          <w:tcPr/>
          <w:p>
            <w:pPr>
              <w:pStyle w:val="Compact"/>
              <w:jc w:val="left"/>
            </w:pPr>
            <w:r>
              <w:t xml:space="preserve">Luma Platform Scraper</w:t>
            </w:r>
          </w:p>
        </w:tc>
        <w:tc>
          <w:tcPr/>
          <w:p>
            <w:pPr>
              <w:pStyle w:val="Compact"/>
              <w:jc w:val="left"/>
            </w:pPr>
            <w:r>
              <w:t xml:space="preserve">30–90 days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500–1,000</w:t>
            </w:r>
          </w:p>
        </w:tc>
        <w:tc>
          <w:tcPr/>
          <w:p>
            <w:pPr>
              <w:pStyle w:val="Compact"/>
              <w:jc w:val="left"/>
            </w:pPr>
            <w:r>
              <w:t xml:space="preserve">JSON-LD structured data scraping; daily execution</w:t>
            </w:r>
          </w:p>
        </w:tc>
      </w:tr>
      <w:tr>
        <w:tc>
          <w:tcPr/>
          <w:p>
            <w:pPr>
              <w:pStyle w:val="Compact"/>
              <w:jc w:val="left"/>
            </w:pPr>
            <w:r>
              <w:t xml:space="preserve">City of Toronto CKAN API</w:t>
            </w:r>
          </w:p>
        </w:tc>
        <w:tc>
          <w:tcPr/>
          <w:p>
            <w:pPr>
              <w:pStyle w:val="Compact"/>
              <w:jc w:val="left"/>
            </w:pPr>
            <w:r>
              <w:t xml:space="preserve">30–90 days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250–300</w:t>
            </w:r>
          </w:p>
        </w:tc>
        <w:tc>
          <w:tcPr/>
          <w:p>
            <w:pPr>
              <w:pStyle w:val="Compact"/>
              <w:jc w:val="left"/>
            </w:pPr>
            <w:r>
              <w:t xml:space="preserve">CKAN API + CivicTechTO JSON-LD proxy</w:t>
            </w:r>
          </w:p>
        </w:tc>
      </w:tr>
      <w:tr>
        <w:tc>
          <w:tcPr/>
          <w:p>
            <w:pPr>
              <w:pStyle w:val="Compact"/>
              <w:jc w:val="left"/>
            </w:pPr>
            <w:r>
              <w:t xml:space="preserve">Facebook Events API</w:t>
            </w:r>
          </w:p>
        </w:tc>
        <w:tc>
          <w:tcPr/>
          <w:p>
            <w:pPr>
              <w:pStyle w:val="Compact"/>
              <w:jc w:val="left"/>
            </w:pPr>
            <w:r>
              <w:t xml:space="preserve">90–180 days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500–1,200</w:t>
            </w:r>
          </w:p>
        </w:tc>
        <w:tc>
          <w:tcPr/>
          <w:p>
            <w:pPr>
              <w:pStyle w:val="Compact"/>
              <w:jc w:val="left"/>
            </w:pPr>
            <w:r>
              <w:t xml:space="preserve">Graph API v18.0+; Business Verification; aggressive dedup</w:t>
            </w:r>
          </w:p>
        </w:tc>
      </w:tr>
      <w:tr>
        <w:tc>
          <w:tcPr/>
          <w:p>
            <w:pPr>
              <w:pStyle w:val="Compact"/>
              <w:jc w:val="left"/>
            </w:pPr>
            <w:r>
              <w:t xml:space="preserve">Recreation Centre Feeds</w:t>
            </w:r>
          </w:p>
        </w:tc>
        <w:tc>
          <w:tcPr/>
          <w:p>
            <w:pPr>
              <w:pStyle w:val="Compact"/>
              <w:jc w:val="left"/>
            </w:pPr>
            <w:r>
              <w:t xml:space="preserve">90–180 days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1,500–2,000</w:t>
            </w:r>
          </w:p>
        </w:tc>
        <w:tc>
          <w:tcPr/>
          <w:p>
            <w:pPr>
              <w:pStyle w:val="Compact"/>
              <w:jc w:val="left"/>
            </w:pPr>
            <w:r>
              <w:t xml:space="preserve">Extend CKAN connector; recreation category parsing</w:t>
            </w:r>
          </w:p>
        </w:tc>
      </w:tr>
      <w:tr>
        <w:tc>
          <w:tcPr/>
          <w:p>
            <w:pPr>
              <w:pStyle w:val="Compact"/>
              <w:jc w:val="left"/>
            </w:pPr>
            <w:r>
              <w:t xml:space="preserve">University Calendar Scrapers</w:t>
            </w:r>
          </w:p>
        </w:tc>
        <w:tc>
          <w:tcPr/>
          <w:p>
            <w:pPr>
              <w:pStyle w:val="Compact"/>
              <w:jc w:val="left"/>
            </w:pPr>
            <w:r>
              <w:t xml:space="preserve">90–180 days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200–400</w:t>
            </w:r>
          </w:p>
        </w:tc>
        <w:tc>
          <w:tcPr/>
          <w:p>
            <w:pPr>
              <w:pStyle w:val="Compact"/>
              <w:jc w:val="left"/>
            </w:pPr>
            <w:r>
              <w:t xml:space="preserve">HTML scraping of U of T EVE portal; selective capture</w:t>
            </w:r>
          </w:p>
        </w:tc>
      </w:tr>
      <w:tr>
        <w:tc>
          <w:tcPr/>
          <w:p>
            <w:pPr>
              <w:pStyle w:val="Compact"/>
              <w:jc w:val="left"/>
            </w:pPr>
            <w:r>
              <w:t xml:space="preserve">Pop-up Market Detector</w:t>
            </w:r>
          </w:p>
        </w:tc>
        <w:tc>
          <w:tcPr/>
          <w:p>
            <w:pPr>
              <w:pStyle w:val="Compact"/>
              <w:jc w:val="left"/>
            </w:pPr>
            <w:r>
              <w:t xml:space="preserve">90–180 days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100–200</w:t>
            </w:r>
          </w:p>
        </w:tc>
        <w:tc>
          <w:tcPr/>
          <w:p>
            <w:pPr>
              <w:pStyle w:val="Compact"/>
              <w:jc w:val="left"/>
            </w:pPr>
            <w:r>
              <w:t xml:space="preserve">RSS/social monitoring; keyword extraction; manual review</w:t>
            </w:r>
          </w:p>
        </w:tc>
      </w:tr>
    </w:tbl>
    <w:p>
      <w:pPr>
        <w:pStyle w:val="BodyText"/>
      </w:pPr>
      <w:r>
        <w:rPr>
          <w:iCs/>
          <w:i/>
        </w:rPr>
        <w:t xml:space="preserve">Table 5.1 — Integration Priority Matrix. Effort rated Low (≤3 days), Medium (4–7 days), or High (8+ days). Impact reflects inventory expansion, SEO value, and audience reach combined.</w:t>
      </w:r>
    </w:p>
    <w:p>
      <w:pPr>
        <w:pStyle w:val="BodyText"/>
      </w:pPr>
      <w:r>
        <w:t xml:space="preserve">The matrix reveals a clear sequencing strategy grounded in the effort-impact quadrant framework. The quick-win quadrant — high impact, low effort — contains singles scrapers and SQL resolution (immediate), plus Luma and City CKAN (short-term). These four should be completed first because they require minimal engineering days while delivering immediate inventory expansion and architectural clarity. TPL Open Data, despite its medium effort rating, delivers the single largest coverage increase of any recommendation and must be prioritized immediately alongside the quick wins. The major-project quadrant — high impact, high effort — contains Eventbrite API, Meetup API, Facebook Events, and recreation centre feeds. These require 5–10 engineering days each but collectively add an estimated 5,000–8,200 events annually. They should be scheduled sequentially in the 30–90 and 90–180 day windows, with Eventbrite and Meetup taking precedence as the highest-yield APIs. The avoid quadrant — low impact, high effort — holds university scrapers and the pop-up detector, which should be deferred until higher-priority integrations are stable and demand analytics justify the investment.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Issue</w:t>
            </w:r>
          </w:p>
        </w:tc>
        <w:tc>
          <w:tcPr/>
          <w:p>
            <w:pPr>
              <w:pStyle w:val="Compact"/>
              <w:jc w:val="left"/>
            </w:pPr>
            <w:r>
              <w:t xml:space="preserve">Fix</w:t>
            </w:r>
          </w:p>
        </w:tc>
        <w:tc>
          <w:tcPr/>
          <w:p>
            <w:pPr>
              <w:pStyle w:val="Compact"/>
              <w:jc w:val="left"/>
            </w:pPr>
            <w:r>
              <w:t xml:space="preserve">Effort</w:t>
            </w:r>
          </w:p>
        </w:tc>
        <w:tc>
          <w:tcPr/>
          <w:p>
            <w:pPr>
              <w:pStyle w:val="Compact"/>
              <w:jc w:val="left"/>
            </w:pPr>
            <w:r>
              <w:t xml:space="preserve">Expected Improvement</w:t>
            </w:r>
          </w:p>
        </w:tc>
      </w:tr>
      <w:tr>
        <w:tc>
          <w:tcPr/>
          <w:p>
            <w:pPr>
              <w:pStyle w:val="Compact"/>
              <w:jc w:val="left"/>
            </w:pPr>
            <w:r>
              <w:t xml:space="preserve">53.8% of events lack descriptions</w:t>
            </w:r>
          </w:p>
        </w:tc>
        <w:tc>
          <w:tcPr/>
          <w:p>
            <w:pPr>
              <w:pStyle w:val="Compact"/>
              <w:jc w:val="left"/>
            </w:pPr>
            <w:r>
              <w:t xml:space="preserve">Two-pass enrichment: secondary detail-page scrape + AI generation</w:t>
            </w:r>
          </w:p>
        </w:tc>
        <w:tc>
          <w:tcPr/>
          <w:p>
            <w:pPr>
              <w:pStyle w:val="Compact"/>
              <w:jc w:val="left"/>
            </w:pPr>
            <w:r>
              <w:t xml:space="preserve">Medium (4–5 days)</w:t>
            </w:r>
          </w:p>
        </w:tc>
        <w:tc>
          <w:tcPr/>
          <w:p>
            <w:pPr>
              <w:pStyle w:val="Compact"/>
              <w:jc w:val="left"/>
            </w:pPr>
            <w:r>
              <w:t xml:space="preserve">Description completeness: 46% → 95%+; ~2,500 more events indexable</w:t>
            </w:r>
          </w:p>
        </w:tc>
      </w:tr>
      <w:tr>
        <w:tc>
          <w:tcPr/>
          <w:p>
            <w:pPr>
              <w:pStyle w:val="Compact"/>
              <w:jc w:val="left"/>
            </w:pPr>
            <w:r>
              <w:t xml:space="preserve">Duplicate events across sources</w:t>
            </w:r>
          </w:p>
        </w:tc>
        <w:tc>
          <w:tcPr/>
          <w:p>
            <w:pPr>
              <w:pStyle w:val="Compact"/>
              <w:jc w:val="left"/>
            </w:pPr>
            <w:r>
              <w:t xml:space="preserve">Three-layer detection: URL clustering, fuzzy title+date matching, venue normalization</w:t>
            </w:r>
          </w:p>
        </w:tc>
        <w:tc>
          <w:tcPr/>
          <w:p>
            <w:pPr>
              <w:pStyle w:val="Compact"/>
              <w:jc w:val="left"/>
            </w:pPr>
            <w:r>
              <w:t xml:space="preserve">Medium (5–7 days)</w:t>
            </w:r>
          </w:p>
        </w:tc>
        <w:tc>
          <w:tcPr/>
          <w:p>
            <w:pPr>
              <w:pStyle w:val="Compact"/>
              <w:jc w:val="left"/>
            </w:pPr>
            <w:r>
              <w:t xml:space="preserve">Eliminate 23 URL duplicate groups; detect 150–300 fuzzy duplicates; 5–8% compaction</w:t>
            </w:r>
          </w:p>
        </w:tc>
      </w:tr>
      <w:tr>
        <w:tc>
          <w:tcPr/>
          <w:p>
            <w:pPr>
              <w:pStyle w:val="Compact"/>
              <w:jc w:val="left"/>
            </w:pPr>
            <w:r>
              <w:t xml:space="preserve">No freshness tracking or stale pruning</w:t>
            </w:r>
          </w:p>
        </w:tc>
        <w:tc>
          <w:tcPr/>
          <w:p>
            <w:pPr>
              <w:pStyle w:val="Compact"/>
              <w:jc w:val="left"/>
            </w:pPr>
            <w:r>
              <w:t xml:space="preserve">Freshness scoring: source weight × days since scrape × temporal proximity; auto-expiry at 30 days</w:t>
            </w:r>
          </w:p>
        </w:tc>
        <w:tc>
          <w:tcPr/>
          <w:p>
            <w:pPr>
              <w:pStyle w:val="Compact"/>
              <w:jc w:val="left"/>
            </w:pPr>
            <w:r>
              <w:t xml:space="preserve">Low-Medium (4–5 days)</w:t>
            </w:r>
          </w:p>
        </w:tc>
        <w:tc>
          <w:tcPr/>
          <w:p>
            <w:pPr>
              <w:pStyle w:val="Compact"/>
              <w:jc w:val="left"/>
            </w:pPr>
            <w:r>
              <w:t xml:space="preserve">Active dataset shows only current events; 60–70% stale record reduction</w:t>
            </w:r>
          </w:p>
        </w:tc>
      </w:tr>
      <w:tr>
        <w:tc>
          <w:tcPr/>
          <w:p>
            <w:pPr>
              <w:pStyle w:val="Compact"/>
              <w:jc w:val="left"/>
            </w:pPr>
            <w:r>
              <w:t xml:space="preserve">Flat JSON delivering 5.16 MB per load</w:t>
            </w:r>
          </w:p>
        </w:tc>
        <w:tc>
          <w:tcPr/>
          <w:p>
            <w:pPr>
              <w:pStyle w:val="Compact"/>
              <w:jc w:val="left"/>
            </w:pPr>
            <w:r>
              <w:t xml:space="preserve">SQLite + FastAPI query layer; server-side filtering; phased JSON decommission</w:t>
            </w:r>
          </w:p>
        </w:tc>
        <w:tc>
          <w:tcPr/>
          <w:p>
            <w:pPr>
              <w:pStyle w:val="Compact"/>
              <w:jc w:val="left"/>
            </w:pPr>
            <w:r>
              <w:t xml:space="preserve">High (10–14 days)</w:t>
            </w:r>
          </w:p>
        </w:tc>
        <w:tc>
          <w:tcPr/>
          <w:p>
            <w:pPr>
              <w:pStyle w:val="Compact"/>
              <w:jc w:val="left"/>
            </w:pPr>
            <w:r>
              <w:t xml:space="preserve">60–80% payload reduction; complex query support; recommendation foundation</w:t>
            </w:r>
          </w:p>
        </w:tc>
      </w:tr>
      <w:tr>
        <w:tc>
          <w:tcPr/>
          <w:p>
            <w:pPr>
              <w:pStyle w:val="Compact"/>
              <w:jc w:val="left"/>
            </w:pPr>
            <w:r>
              <w:t xml:space="preserve">Price/free flag inconsistency (706 events)</w:t>
            </w:r>
          </w:p>
        </w:tc>
        <w:tc>
          <w:tcPr/>
          <w:p>
            <w:pPr>
              <w:pStyle w:val="Compact"/>
              <w:jc w:val="left"/>
            </w:pPr>
            <w:r>
              <w:t xml:space="preserve">Cross-field validation: auto-correct</w:t>
            </w:r>
            <w:r>
              <w:t xml:space="preserve"> </w:t>
            </w:r>
            <w:r>
              <w:rPr>
                <w:rStyle w:val="VerbatimChar"/>
              </w:rPr>
              <w:t xml:space="preserve">is_free</w:t>
            </w:r>
            <w:r>
              <w:t xml:space="preserve"> </w:t>
            </w:r>
            <w:r>
              <w:t xml:space="preserve">when</w:t>
            </w:r>
            <w:r>
              <w:t xml:space="preserve"> </w:t>
            </w:r>
            <w:r>
              <w:rPr>
                <w:rStyle w:val="VerbatimChar"/>
              </w:rPr>
              <w:t xml:space="preserve">price_amount = 0</w:t>
            </w:r>
          </w:p>
        </w:tc>
        <w:tc>
          <w:tcPr/>
          <w:p>
            <w:pPr>
              <w:pStyle w:val="Compact"/>
              <w:jc w:val="left"/>
            </w:pPr>
            <w:r>
              <w:t xml:space="preserve">Low (1–2 days)</w:t>
            </w:r>
          </w:p>
        </w:tc>
        <w:tc>
          <w:tcPr/>
          <w:p>
            <w:pPr>
              <w:pStyle w:val="Compact"/>
              <w:jc w:val="left"/>
            </w:pPr>
            <w:r>
              <w:t xml:space="preserve">100% price/free consistency</w:t>
            </w:r>
          </w:p>
        </w:tc>
      </w:tr>
      <w:tr>
        <w:tc>
          <w:tcPr/>
          <w:p>
            <w:pPr>
              <w:pStyle w:val="Compact"/>
              <w:jc w:val="left"/>
            </w:pPr>
            <w:r>
              <w:t xml:space="preserve">SQL database disconnected</w:t>
            </w:r>
          </w:p>
        </w:tc>
        <w:tc>
          <w:tcPr/>
          <w:p>
            <w:pPr>
              <w:pStyle w:val="Compact"/>
              <w:jc w:val="left"/>
            </w:pPr>
            <w:r>
              <w:t xml:space="preserve">Retire MySQL silo; port deduplication logic to Python</w:t>
            </w:r>
          </w:p>
        </w:tc>
        <w:tc>
          <w:tcPr/>
          <w:p>
            <w:pPr>
              <w:pStyle w:val="Compact"/>
              <w:jc w:val="left"/>
            </w:pPr>
            <w:r>
              <w:t xml:space="preserve">Low (2–3 days)</w:t>
            </w:r>
          </w:p>
        </w:tc>
        <w:tc>
          <w:tcPr/>
          <w:p>
            <w:pPr>
              <w:pStyle w:val="Compact"/>
              <w:jc w:val="left"/>
            </w:pPr>
            <w:r>
              <w:t xml:space="preserve">Architectural clarity; dedup logic in live pipeline</w:t>
            </w:r>
          </w:p>
        </w:tc>
      </w:tr>
    </w:tbl>
    <w:p>
      <w:pPr>
        <w:pStyle w:val="BodyText"/>
      </w:pPr>
      <w:r>
        <w:rPr>
          <w:iCs/>
          <w:i/>
        </w:rPr>
        <w:t xml:space="preserve">Table 5.2 — Quality and Infrastructure Improvements Roadmap. Issues derived from Chapter 2 (Database Quality) and Chapter 1 (Architecture) findings.</w:t>
      </w:r>
    </w:p>
    <w:p>
      <w:pPr>
        <w:pStyle w:val="BodyText"/>
      </w:pPr>
      <w:r>
        <w:t xml:space="preserve">The quality improvements follow a different sequencing logic than inventory integrations. The price/free flag fix and SQL resolution are one-day interventions that should happen immediately — they correct known defects with zero risk and prepare the pipeline for higher volume. Duplicate detection and description enrichment are medium-effort, high-yield improvements best scheduled after the first integration wave, since newly added sources will inevitably introduce duplicate listings and description gaps that the pipeline must catch before they reach users. The SQLite migration is the most structurally significant change and should be scheduled only after the integration wave stabilizes, avoiding data-layer refactoring while source volume is expanding most rapidly. This staggered approach ensures quality keeps pace with growth rather than degrading under it.</w:t>
      </w:r>
    </w:p>
    <w:p>
      <w:pPr>
        <w:pStyle w:val="CaptionedFigure"/>
      </w:pPr>
      <w:r>
        <w:drawing>
          <wp:inline>
            <wp:extent cx="5334000" cy="4197737"/>
            <wp:effectExtent b="0" l="0" r="0" t="0"/>
            <wp:docPr descr="Integration &amp; Quality Improvement Priority Matrix" title="" id="97" name="Picture"/>
            <a:graphic>
              <a:graphicData uri="http://schemas.openxmlformats.org/drawingml/2006/picture">
                <pic:pic>
                  <pic:nvPicPr>
                    <pic:cNvPr descr="/mnt/agents/output/events_audit_chart_ch5.png" id="98" name="Picture"/>
                    <pic:cNvPicPr>
                      <a:picLocks noChangeArrowheads="1" noChangeAspect="1"/>
                    </pic:cNvPicPr>
                  </pic:nvPicPr>
                  <pic:blipFill>
                    <a:blip r:embed="rId96"/>
                    <a:stretch>
                      <a:fillRect/>
                    </a:stretch>
                  </pic:blipFill>
                  <pic:spPr bwMode="auto">
                    <a:xfrm>
                      <a:off x="0" y="0"/>
                      <a:ext cx="5334000" cy="4197737"/>
                    </a:xfrm>
                    <a:prstGeom prst="rect">
                      <a:avLst/>
                    </a:prstGeom>
                    <a:noFill/>
                    <a:ln w="9525">
                      <a:noFill/>
                      <a:headEnd/>
                      <a:tailEnd/>
                    </a:ln>
                  </pic:spPr>
                </pic:pic>
              </a:graphicData>
            </a:graphic>
          </wp:inline>
        </w:drawing>
      </w:r>
    </w:p>
    <w:p>
      <w:pPr>
        <w:pStyle w:val="ImageCaption"/>
      </w:pPr>
      <w:r>
        <w:t xml:space="preserve">Integration &amp; Quality Improvement Priority Matrix</w:t>
      </w:r>
    </w:p>
    <w:p>
      <w:pPr>
        <w:pStyle w:val="BodyText"/>
      </w:pPr>
      <w:r>
        <w:rPr>
          <w:iCs/>
          <w:i/>
        </w:rPr>
        <w:t xml:space="preserve">Figure 5.1 — Priority Matrix: Effort vs. Impact for all 15 recommendations. Bubble size reflects estimated events added. Immediate actions cluster in the quick-win quadrant. Medium-term expansions include two high-effort, low-impact items deferred to later prioritization. Quality improvements occupy the medium-effort, medium-to-high-impact zone.</w:t>
      </w:r>
    </w:p>
    <w:p>
      <w:pPr>
        <w:pStyle w:val="BodyText"/>
      </w:pPr>
      <w:r>
        <w:t xml:space="preserve">The priority matrix confirms the recommended sequencing: begin with the five items in the upper-left quadrant (TPL, singles scrapers, SQL resolution, Luma, City CKAN), proceed to upper-right major projects (Eventbrite, Meetup, Facebook, rec centres, AI enrichment, duplicate detection), and defer lower-right items (universities, pop-up detector) until demand is validated. Executing this sequence would expand FTE’s inventory from 4,422 to an estimated 15,000–20,000 events within 180 days, raising coverage from 35.3% to 65–75% of the Toronto ecosystem while resolving the quality deficits undermining user experience and search visibility.</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https://github.com/eltonaguiar/findtorontoevents_antigravity.ca/blob/main/docs/SCORING.md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Github. https://github.com/eltonaguiar/findtorontoevents_antigravity.ca/pulls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GitHub - eltonaguiar/findtorontoevents_antigravity.ca · GitHub. https://github.com/eltonaguiar/findtorontoevents_antigravity.ca/</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https://github.com/eltonaguiar/findtorontoevents_antigravity.ca/blob/main/docs/CRYPTO_PLAYBOOK_V3_2026_04_18.md</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Find Toronto Events | Dating, Activities &amp; Things to Do This Weekend. https://findtorontoevents.ca/index.html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 eltonaguiar/findtorontoevents_antigravity.ca · GitHub. https://github.com/eltonaguiar/findtorontoevents_antigravity.ca</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findtorontoevents_antigravity.ca/TORONTOEVENTS_ANTIGRAVITY at main · eltonaguiar/findtorontoevents_antigravity.ca · GitHub. https://github.com/eltonaguiar/findtorontoevents_antigravity.ca/tree/main/TORONTOEVENTS_ANTIGRAVITY</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findtorontoevents_antigravity.ca/TORONTOEVENTS_ANTIGRAVITY/shared at main · eltonaguiar/findtorontoevents_antigravity.ca · GitHub. https://github.com/eltonaguiar/findtorontoevents_antigravity.ca/tree/main/TORONTOEVENTS_ANTIGRAVITY/shared</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findtorontoevents_antigravity.ca/data at main · eltonaguiar/findtorontoevents_antigravity.ca · GitHub. https://github.com/eltonaguiar/findtorontoevents_antigravity.ca/tree/main/data</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findtorontoevents_antigravity.ca/.github/workflows at main · eltonaguiar/findtorontoevents_antigravity.ca · GitHub. https://github.com/eltonaguiar/findtorontoevents_antigravity.ca/tree/main/.github/workflows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findtorontoevents_antigravity.ca/TORONTOEVENTS_ANTIGRAVITY/_next at main · eltonaguiar/findtorontoevents_antigravity.ca · GitHub. https://github.com/eltonaguiar/findtorontoevents_antigravity.ca/tree/main/TORONTOEVENTS_ANTIGRAVITY/_next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https://raw.githubusercontent.com/eltonaguiar/findtorontoevents_antigravity.ca/main/TORONTOEVENTS_ANTIGRAVITY/index.html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findtorontoevents_antigravity.ca/next at main · eltonaguiar/findtorontoevents_antigravity.ca · GitHub. https://github.com/eltonaguiar/findtorontoevents_antigravity.ca/tree/main/next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findtorontoevents_antigravity.ca/.github/actions at main · eltonaguiar/findtorontoevents_antigravity.ca · GitHub. https://github.com/eltonaguiar/findtorontoevents_antigravity.ca/tree/main/.github/actions</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findtorontoevents_antigravity.ca/fix_event_data.py at main · eltonaguiar/findtorontoevents_antigravity.ca · GitHub. https://github.com/eltonaguiar/findtorontoevents_antigravity.ca/blob/main/fix_event_data.py</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findtorontoevents_antigravity.ca/add_missing_events.py at main · eltonaguiar/findtorontoevents_antigravity.ca · GitHub. https://github.com/eltonaguiar/findtorontoevents_antigravity.ca/blob/main/add_missing_events.py</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https://raw.githubusercontent.com/eltonaguiar/findtorontoevents_antigravity.ca/main/.github/workflows/scrape-events.yml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https://raw.githubusercontent.com/eltonaguiar/findtorontoevents_antigravity.ca/main/.github/workflows/deploy-fte-events-json.yml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https://raw.githubusercontent.com/eltonaguiar/findtorontoevents_antigravity.ca/main/tools/scrape_and_sync_events.py</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findtorontoevents_antigravity.ca/analyze_event_data.py at main · eltonaguiar/findtorontoevents_antigravity.ca · GitHub. https://github.com/eltonaguiar/findtorontoevents_antigravity.ca/blob/main/analyze_event_data.py</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findtorontoevents_antigravity.ca/tools/scrapers at main · eltonaguiar/findtorontoevents_antigravity.ca · GitHub. https://github.com/eltonaguiar/findtorontoevents_antigravity.ca/tree/main/tools/scrapers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findtorontoevents_antigravity.ca/.github/workflows/scrape-events.yml at main · eltonaguiar/findtorontoevents_antigravity.ca · GitHub. https://github.com/eltonaguiar/findtorontoevents_antigravity.ca/blob/main/.github/workflows/scrape-events.yml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City of Toronto. https://www.toronto.ca/</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Eventbrite - Discover the Best Local Events &amp; Things to Do. https://www.eventbrite.ca/#search</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City of Toronto. https://www.toronto.ca/explore-enjoy/festivals-events/festivals-events-calendar/?event_id=fac88ede-8b0f-4958-8b15-79be500a588c&amp;event_name=Toronto%20Zoo%20Spring%20Marketplace&amp;calendar_date=2026-04-03T09:30:00-04:00</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Harbourfront Centre. https://harbourfrontcentre.com/</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Harbourfront Centre. https://harbourfrontcentre.com/event/danceweekend26/</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Race Roster. https://raceroster.com/events/2026/113492/oasis-zoorun-toronto-2026</w:t>
      </w:r>
      <w:bookmarkEnd w:id="1002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8" Target="media/rId38.png"/><Relationship Type="http://schemas.openxmlformats.org/officeDocument/2006/relationships/image" Id="rId41" Target="media/rId41.png"/><Relationship Type="http://schemas.openxmlformats.org/officeDocument/2006/relationships/image" Id="rId62" Target="media/rId62.png"/><Relationship Type="http://schemas.openxmlformats.org/officeDocument/2006/relationships/image" Id="rId96" Target="media/rId96.png"/><Relationship Type="http://schemas.openxmlformats.org/officeDocument/2006/relationships/image" Id="rId46" Target="media/rId46.png"/><Relationship Type="http://schemas.openxmlformats.org/officeDocument/2006/relationships/image" Id="rId50" Target="media/rId50.png"/><Relationship Type="http://schemas.openxmlformats.org/officeDocument/2006/relationships/image" Id="rId54" Target="media/rId54.png"/><Relationship Type="http://schemas.openxmlformats.org/officeDocument/2006/relationships/image" Id="rId58" Target="media/rId58.png"/><Relationship Id="rId97"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2026-04-26T02:45:09Z</dcterms:created>
  <dcterms:modified xsi:type="dcterms:W3CDTF">2026-04-26T02:45:09Z</dcterms:modified>
</cp:coreProperties>
</file>

<file path=docProps/custom.xml><?xml version="1.0" encoding="utf-8"?>
<Properties xmlns="http://schemas.openxmlformats.org/officeDocument/2006/custom-properties" xmlns:vt="http://schemas.openxmlformats.org/officeDocument/2006/docPropsVTypes"/>
</file>