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82be90f979955e473b767f3a8058797ce8ea3a4"/>
    <w:p>
      <w:pPr>
        <w:pStyle w:val="Heading1"/>
      </w:pPr>
      <w:r>
        <w:t xml:space="preserve">Quantitative Trading Platform Audit: Edge Analysis, Strategy Diagnosis &amp; Transformation Roadmap</w:t>
      </w:r>
    </w:p>
    <w:bookmarkStart w:id="24" w:name="executive-summary-key-findings"/>
    <w:p>
      <w:pPr>
        <w:pStyle w:val="Heading2"/>
      </w:pPr>
      <w:r>
        <w:t xml:space="preserve">1. Executive Summary &amp; Key Findings</w:t>
      </w:r>
    </w:p>
    <w:p>
      <w:pPr>
        <w:pStyle w:val="FirstParagraph"/>
      </w:pPr>
      <w:r>
        <w:t xml:space="preserve">This report presents a comprehensive quantitative audit of an active trading platform generating directional signals across nine asset classes. The audit examined strategy performance, scoring integrity, UI reliability, risk infrastructure, and retail-user safety. One central thesis emerged: the platform holds a narrow but genuine statistical edge confined almost entirely to equity strategies under specific filter conditions, while most output constitutes noise or active value destruction. The equity edge is real — projected to deliver 15–25% annual returns under disciplined execution — but far narrower than the dashboard’s 210 active picks suggest. The following sections compress all findings into the five numbers that matter most, a verdict matrix for every asset class, and an action calendar sorted by urgency.</w:t>
      </w:r>
    </w:p>
    <w:bookmarkStart w:id="20" w:name="the-verdict-in-five-numbers"/>
    <w:p>
      <w:pPr>
        <w:pStyle w:val="Heading3"/>
      </w:pPr>
      <w:r>
        <w:t xml:space="preserve">1.1 The Verdict in Five Numbers</w:t>
      </w:r>
    </w:p>
    <w:p>
      <w:pPr>
        <w:pStyle w:val="FirstParagraph"/>
      </w:pPr>
      <w:r>
        <w:t xml:space="preserve">The platform’s performance collapses into five independently verified quantitative facts.</w:t>
      </w:r>
    </w:p>
    <w:p>
      <w:pPr>
        <w:pStyle w:val="BodyText"/>
      </w:pPr>
      <w:r>
        <w:rPr>
          <w:bCs/>
          <w:b/>
        </w:rPr>
        <w:t xml:space="preserve">Table 1: Five Numbers That Define the Platform</w:t>
      </w:r>
    </w:p>
    <w:tbl>
      <w:tblPr>
        <w:tblStyle w:val="Table"/>
        <w:tblW w:type="pct" w:w="5000"/>
        <w:tblLook w:firstRow="1" w:lastRow="0" w:firstColumn="0" w:lastColumn="0" w:noHBand="0" w:noVBand="0" w:val="0020"/>
      </w:tblPr>
      <w:tblGrid>
        <w:gridCol w:w="880"/>
        <w:gridCol w:w="2346"/>
        <w:gridCol w:w="2053"/>
        <w:gridCol w:w="2640"/>
      </w:tblGrid>
      <w:tr>
        <w:trPr>
          <w:tblHeader w:val="true"/>
        </w:trPr>
        <w:tc>
          <w:tcPr/>
          <w:p>
            <w:pPr>
              <w:pStyle w:val="Compact"/>
              <w:jc w:val="left"/>
            </w:pPr>
            <w:r>
              <w:t xml:space="preserve">#</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Equity OOS Sharpe</w:t>
            </w:r>
          </w:p>
        </w:tc>
        <w:tc>
          <w:tcPr/>
          <w:p>
            <w:pPr>
              <w:pStyle w:val="Compact"/>
              <w:jc w:val="left"/>
            </w:pPr>
            <w:r>
              <w:t xml:space="preserve">+3.527</w:t>
            </w:r>
            <w:r>
              <w:t xml:space="preserve"> </w:t>
            </w:r>
            <w:r>
              <w:rPr>
                <w:vertAlign w:val="superscript"/>
              </w:rPr>
              <w:t xml:space="preserve">1</w:t>
            </w:r>
          </w:p>
        </w:tc>
        <w:tc>
          <w:tcPr/>
          <w:p>
            <w:pPr>
              <w:pStyle w:val="Compact"/>
              <w:jc w:val="left"/>
            </w:pPr>
            <w:r>
              <w:t xml:space="preserve">Only genuine, statistically validated edge</w:t>
            </w:r>
          </w:p>
        </w:tc>
      </w:tr>
      <w:tr>
        <w:tc>
          <w:tcPr/>
          <w:p>
            <w:pPr>
              <w:pStyle w:val="Compact"/>
              <w:jc w:val="left"/>
            </w:pPr>
            <w:r>
              <w:t xml:space="preserve">2</w:t>
            </w:r>
          </w:p>
        </w:tc>
        <w:tc>
          <w:tcPr/>
          <w:p>
            <w:pPr>
              <w:pStyle w:val="Compact"/>
              <w:jc w:val="left"/>
            </w:pPr>
            <w:r>
              <w:t xml:space="preserve">R:R 1.5–2.0 Band PF</w:t>
            </w:r>
          </w:p>
        </w:tc>
        <w:tc>
          <w:tcPr/>
          <w:p>
            <w:pPr>
              <w:pStyle w:val="Compact"/>
              <w:jc w:val="left"/>
            </w:pPr>
            <w:r>
              <w:t xml:space="preserve">5.81, Kelly +47.2%</w:t>
            </w:r>
            <w:r>
              <w:t xml:space="preserve"> </w:t>
            </w:r>
            <w:r>
              <w:rPr>
                <w:vertAlign w:val="superscript"/>
              </w:rPr>
              <w:t xml:space="preserve">1</w:t>
            </w:r>
          </w:p>
        </w:tc>
        <w:tc>
          <w:tcPr/>
          <w:p>
            <w:pPr>
              <w:pStyle w:val="Compact"/>
              <w:jc w:val="left"/>
            </w:pPr>
            <w:r>
              <w:t xml:space="preserve">Golden zone for risk-reward filtering</w:t>
            </w:r>
          </w:p>
        </w:tc>
      </w:tr>
      <w:tr>
        <w:tc>
          <w:tcPr/>
          <w:p>
            <w:pPr>
              <w:pStyle w:val="Compact"/>
              <w:jc w:val="left"/>
            </w:pPr>
            <w:r>
              <w:t xml:space="preserve">3</w:t>
            </w:r>
          </w:p>
        </w:tc>
        <w:tc>
          <w:tcPr/>
          <w:p>
            <w:pPr>
              <w:pStyle w:val="Compact"/>
              <w:jc w:val="left"/>
            </w:pPr>
            <w:r>
              <w:t xml:space="preserve">trust_score ≥5 Win Rate</w:t>
            </w:r>
          </w:p>
        </w:tc>
        <w:tc>
          <w:tcPr/>
          <w:p>
            <w:pPr>
              <w:pStyle w:val="Compact"/>
              <w:jc w:val="left"/>
            </w:pPr>
            <w:r>
              <w:t xml:space="preserve">68–71%</w:t>
            </w:r>
            <w:r>
              <w:t xml:space="preserve"> </w:t>
            </w:r>
            <w:r>
              <w:rPr>
                <w:vertAlign w:val="superscript"/>
              </w:rPr>
              <w:t xml:space="preserve">2</w:t>
            </w:r>
          </w:p>
        </w:tc>
        <w:tc>
          <w:tcPr/>
          <w:p>
            <w:pPr>
              <w:pStyle w:val="Compact"/>
              <w:jc w:val="left"/>
            </w:pPr>
            <w:r>
              <w:t xml:space="preserve">Single most effective predictive filter</w:t>
            </w:r>
          </w:p>
        </w:tc>
      </w:tr>
      <w:tr>
        <w:tc>
          <w:tcPr/>
          <w:p>
            <w:pPr>
              <w:pStyle w:val="Compact"/>
              <w:jc w:val="left"/>
            </w:pPr>
            <w:r>
              <w:t xml:space="preserve">4</w:t>
            </w:r>
          </w:p>
        </w:tc>
        <w:tc>
          <w:tcPr/>
          <w:p>
            <w:pPr>
              <w:pStyle w:val="Compact"/>
              <w:jc w:val="left"/>
            </w:pPr>
            <w:r>
              <w:t xml:space="preserve">Strategies with PSR &gt; 0.95</w:t>
            </w:r>
          </w:p>
        </w:tc>
        <w:tc>
          <w:tcPr/>
          <w:p>
            <w:pPr>
              <w:pStyle w:val="Compact"/>
              <w:jc w:val="left"/>
            </w:pPr>
            <w:r>
              <w:t xml:space="preserve">0%</w:t>
            </w:r>
            <w:r>
              <w:t xml:space="preserve"> </w:t>
            </w:r>
            <w:r>
              <w:rPr>
                <w:vertAlign w:val="superscript"/>
              </w:rPr>
              <w:t xml:space="preserve">3</w:t>
            </w:r>
          </w:p>
        </w:tc>
        <w:tc>
          <w:tcPr/>
          <w:p>
            <w:pPr>
              <w:pStyle w:val="Compact"/>
              <w:jc w:val="left"/>
            </w:pPr>
            <w:r>
              <w:t xml:space="preserve">Infrastructure at ~5% of institutional standards</w:t>
            </w:r>
          </w:p>
        </w:tc>
      </w:tr>
      <w:tr>
        <w:tc>
          <w:tcPr/>
          <w:p>
            <w:pPr>
              <w:pStyle w:val="Compact"/>
              <w:jc w:val="left"/>
            </w:pPr>
            <w:r>
              <w:t xml:space="preserve">5</w:t>
            </w:r>
          </w:p>
        </w:tc>
        <w:tc>
          <w:tcPr/>
          <w:p>
            <w:pPr>
              <w:pStyle w:val="Compact"/>
              <w:jc w:val="left"/>
            </w:pPr>
            <w:r>
              <w:t xml:space="preserve">Meme Coin Risk of Ruin</w:t>
            </w:r>
          </w:p>
        </w:tc>
        <w:tc>
          <w:tcPr/>
          <w:p>
            <w:pPr>
              <w:pStyle w:val="Compact"/>
              <w:jc w:val="left"/>
            </w:pPr>
            <w:r>
              <w:t xml:space="preserve">99.7%</w:t>
            </w:r>
            <w:r>
              <w:t xml:space="preserve"> </w:t>
            </w:r>
            <w:r>
              <w:rPr>
                <w:vertAlign w:val="superscript"/>
              </w:rPr>
              <w:t xml:space="preserve">4</w:t>
            </w:r>
          </w:p>
        </w:tc>
        <w:tc>
          <w:tcPr/>
          <w:p>
            <w:pPr>
              <w:pStyle w:val="Compact"/>
              <w:jc w:val="left"/>
            </w:pPr>
            <w:r>
              <w:t xml:space="preserve">99.7% ruin probability; exclusion mandatory</w:t>
            </w:r>
          </w:p>
        </w:tc>
      </w:tr>
    </w:tbl>
    <w:p>
      <w:pPr>
        <w:pStyle w:val="BodyText"/>
      </w:pPr>
      <w:r>
        <w:t xml:space="preserve">The equity OOS Sharpe of +3.527 substantially exceeds the +1.5 institutional threshold for deployable alpha</w:t>
      </w:r>
      <w:r>
        <w:t xml:space="preserve"> </w:t>
      </w:r>
      <w:r>
        <w:rPr>
          <w:vertAlign w:val="superscript"/>
        </w:rPr>
        <w:t xml:space="preserve">1</w:t>
      </w:r>
      <w:r>
        <w:t xml:space="preserve"> </w:t>
      </w:r>
      <w:r>
        <w:rPr>
          <w:vertAlign w:val="superscript"/>
        </w:rPr>
        <w:t xml:space="preserve">5</w:t>
      </w:r>
      <w:r>
        <w:t xml:space="preserve">. With 256 live observations and PF 1.72, this is not a small-sample artifact — it is persistent edge validated through walk-forward testing. Capital-weighted PnL stands at +233.48%, confirming economic significance. No other asset class produces positive OOS Sharpe: forex registers −1.406, commodity strategies collapse to PF 0.02, and crypto tiers outside the top bracket show negative expected returns</w:t>
      </w:r>
      <w:r>
        <w:t xml:space="preserve"> </w:t>
      </w:r>
      <w:r>
        <w:rPr>
          <w:vertAlign w:val="superscript"/>
        </w:rPr>
        <w:t xml:space="preserve">1</w:t>
      </w:r>
      <w:r>
        <w:t xml:space="preserve"> </w:t>
      </w:r>
      <w:r>
        <w:rPr>
          <w:vertAlign w:val="superscript"/>
        </w:rPr>
        <w:t xml:space="preserve">6</w:t>
      </w:r>
      <w:r>
        <w:t xml:space="preserve">.</w:t>
      </w:r>
    </w:p>
    <w:p>
      <w:pPr>
        <w:pStyle w:val="BodyText"/>
      </w:pPr>
      <w:r>
        <w:t xml:space="preserve">The R:R 1.5–2.0 band is the system’s most important filter. Within it, PF spikes to 5.81 and Kelly indicates 47.2% optimal sizing — reduced to 11.8% under Quarter-Kelly</w:t>
      </w:r>
      <w:r>
        <w:t xml:space="preserve"> </w:t>
      </w:r>
      <w:r>
        <w:rPr>
          <w:vertAlign w:val="superscript"/>
        </w:rPr>
        <w:t xml:space="preserve">1</w:t>
      </w:r>
      <w:r>
        <w:t xml:space="preserve"> </w:t>
      </w:r>
      <w:r>
        <w:rPr>
          <w:vertAlign w:val="superscript"/>
        </w:rPr>
        <w:t xml:space="preserve">7</w:t>
      </w:r>
      <w:r>
        <w:t xml:space="preserve">. Below 1.5, profitability is marginal; above 2.0, infrequent catastrophic losses erode the edge. This single constraint eliminates most low-quality signals while preserving equity alpha.</w:t>
      </w:r>
    </w:p>
    <w:p>
      <w:pPr>
        <w:pStyle w:val="BodyText"/>
      </w:pPr>
      <w:r>
        <w:t xml:space="preserve">trust_score ≥5 delivers 68–71% WR, the most predictive variable in the scoring architecture</w:t>
      </w:r>
      <w:r>
        <w:t xml:space="preserve"> </w:t>
      </w:r>
      <w:r>
        <w:rPr>
          <w:vertAlign w:val="superscript"/>
        </w:rPr>
        <w:t xml:space="preserve">2</w:t>
      </w:r>
      <w:r>
        <w:t xml:space="preserve"> </w:t>
      </w:r>
      <w:r>
        <w:rPr>
          <w:vertAlign w:val="superscript"/>
        </w:rPr>
        <w:t xml:space="preserve">8</w:t>
      </w:r>
      <w:r>
        <w:t xml:space="preserve">. This is critical because the composite scoring system is broken — four of nine decile bins show inverted score-performance relationships, and regime_bonus (r = −0.115, anti-predictive) receives 20 points in the composite</w:t>
      </w:r>
      <w:r>
        <w:t xml:space="preserve"> </w:t>
      </w:r>
      <w:r>
        <w:rPr>
          <w:vertAlign w:val="superscript"/>
        </w:rPr>
        <w:t xml:space="preserve">2</w:t>
      </w:r>
      <w:r>
        <w:t xml:space="preserve">. When the scoring system is unreliable, trust_score functions as a sanity check. Combined with the R:R filter, it produces the</w:t>
      </w:r>
      <w:r>
        <w:t xml:space="preserve"> </w:t>
      </w:r>
      <w:r>
        <w:t xml:space="preserve">“</w:t>
      </w:r>
      <w:r>
        <w:t xml:space="preserve">golden chain</w:t>
      </w:r>
      <w:r>
        <w:t xml:space="preserve">”</w:t>
      </w:r>
      <w:r>
        <w:t xml:space="preserve">: Verified Alpha + High Conviction + R:R 1.5+ yields 66–70% WR, narrowing actionable picks to 0–2 per cycle</w:t>
      </w:r>
      <w:r>
        <w:t xml:space="preserve"> </w:t>
      </w:r>
      <w:r>
        <w:rPr>
          <w:vertAlign w:val="superscript"/>
        </w:rPr>
        <w:t xml:space="preserve">8</w:t>
      </w:r>
      <w:r>
        <w:t xml:space="preserve"> </w:t>
      </w:r>
      <w:r>
        <w:rPr>
          <w:vertAlign w:val="superscript"/>
        </w:rPr>
        <w:t xml:space="preserve">9</w:t>
      </w:r>
      <w:r>
        <w:t xml:space="preserve">.</w:t>
      </w:r>
    </w:p>
    <w:p>
      <w:pPr>
        <w:pStyle w:val="BodyText"/>
      </w:pPr>
      <w:r>
        <w:t xml:space="preserve">The fourth number measures absence: zero strategies meet PSR &gt; 0.95, the minimum institutional allocators require</w:t>
      </w:r>
      <w:r>
        <w:t xml:space="preserve"> </w:t>
      </w:r>
      <w:r>
        <w:rPr>
          <w:vertAlign w:val="superscript"/>
        </w:rPr>
        <w:t xml:space="preserve">3</w:t>
      </w:r>
      <w:r>
        <w:t xml:space="preserve">. This gap indicates missing DSR calculation, multiple comparison correction, and integrated transaction costs — infrastructure estimated at ~5% of institutional standards based on gap analysis against Renaissance Technologies, Two Sigma, and Citadel benchmarks</w:t>
      </w:r>
      <w:r>
        <w:t xml:space="preserve"> </w:t>
      </w:r>
      <w:r>
        <w:rPr>
          <w:vertAlign w:val="superscript"/>
        </w:rPr>
        <w:t xml:space="preserve">5</w:t>
      </w:r>
      <w:r>
        <w:t xml:space="preserve"> </w:t>
      </w:r>
      <w:r>
        <w:rPr>
          <w:vertAlign w:val="superscript"/>
        </w:rPr>
        <w:t xml:space="preserve">3</w:t>
      </w:r>
      <w:r>
        <w:t xml:space="preserve">.</w:t>
      </w:r>
    </w:p>
    <w:p>
      <w:pPr>
        <w:pStyle w:val="BodyText"/>
      </w:pPr>
      <w:r>
        <w:t xml:space="preserve">The fifth number quantifies the platform’s most dangerous output: meme coin strategies carry 99.7% ruin probability, Kelly of −244% (mandating zero allocation), and only 0.4% of Pump.fun traders have profited above $10,000</w:t>
      </w:r>
      <w:r>
        <w:t xml:space="preserve"> </w:t>
      </w:r>
      <w:r>
        <w:rPr>
          <w:vertAlign w:val="superscript"/>
        </w:rPr>
        <w:t xml:space="preserve">4</w:t>
      </w:r>
      <w:r>
        <w:t xml:space="preserve">. These are structurally designed to transfer capital to market makers. Penny stocks are marginally less destructive at −24% to −27% average annual returns with a median of −37%, but equally warrant exclusion</w:t>
      </w:r>
      <w:r>
        <w:t xml:space="preserve"> </w:t>
      </w:r>
      <w:r>
        <w:rPr>
          <w:vertAlign w:val="superscript"/>
        </w:rPr>
        <w:t xml:space="preserve">10</w:t>
      </w:r>
      <w:r>
        <w:t xml:space="preserve">.</w:t>
      </w:r>
    </w:p>
    <w:bookmarkEnd w:id="20"/>
    <w:bookmarkStart w:id="21" w:name="asset-class-verdict-summary"/>
    <w:p>
      <w:pPr>
        <w:pStyle w:val="Heading3"/>
      </w:pPr>
      <w:r>
        <w:t xml:space="preserve">1.2 Asset Class Verdict Summary</w:t>
      </w:r>
    </w:p>
    <w:p>
      <w:pPr>
        <w:pStyle w:val="FirstParagraph"/>
      </w:pPr>
      <w:r>
        <w:t xml:space="preserve">The audit evaluated nine asset classes against five investability gates: PF &gt; 1.0, positive OOS Sharpe, n ≥ 50, no structural decay, and allocable Quarter-Kelly sizing. Only equity passes all five.</w:t>
      </w:r>
    </w:p>
    <w:p>
      <w:pPr>
        <w:pStyle w:val="BodyText"/>
      </w:pPr>
      <w:r>
        <w:rPr>
          <w:bCs/>
          <w:b/>
        </w:rPr>
        <w:t xml:space="preserve">Table 2: Master Verdict Matrix — Nine Asset Classes</w:t>
      </w:r>
    </w:p>
    <w:tbl>
      <w:tblPr>
        <w:tblStyle w:val="Table"/>
        <w:tblW w:type="pct" w:w="5000"/>
        <w:tblLook w:firstRow="1" w:lastRow="0" w:firstColumn="0" w:lastColumn="0" w:noHBand="0" w:noVBand="0" w:val="0020"/>
      </w:tblPr>
      <w:tblGrid>
        <w:gridCol w:w="1584"/>
        <w:gridCol w:w="1188"/>
        <w:gridCol w:w="660"/>
        <w:gridCol w:w="660"/>
        <w:gridCol w:w="1452"/>
        <w:gridCol w:w="660"/>
        <w:gridCol w:w="1716"/>
      </w:tblGrid>
      <w:tr>
        <w:trPr>
          <w:tblHeader w:val="true"/>
        </w:trPr>
        <w:tc>
          <w:tcPr/>
          <w:p>
            <w:pPr>
              <w:pStyle w:val="Compact"/>
              <w:jc w:val="left"/>
            </w:pPr>
            <w:r>
              <w:t xml:space="preserve">Asset Class</w:t>
            </w:r>
          </w:p>
        </w:tc>
        <w:tc>
          <w:tcPr/>
          <w:p>
            <w:pPr>
              <w:pStyle w:val="Compact"/>
              <w:jc w:val="left"/>
            </w:pPr>
            <w:r>
              <w:t xml:space="preserve">Verdict</w:t>
            </w:r>
          </w:p>
        </w:tc>
        <w:tc>
          <w:tcPr/>
          <w:p>
            <w:pPr>
              <w:pStyle w:val="Compact"/>
              <w:jc w:val="left"/>
            </w:pPr>
            <w:r>
              <w:t xml:space="preserve">PF</w:t>
            </w:r>
          </w:p>
        </w:tc>
        <w:tc>
          <w:tcPr/>
          <w:p>
            <w:pPr>
              <w:pStyle w:val="Compact"/>
              <w:jc w:val="left"/>
            </w:pPr>
            <w:r>
              <w:t xml:space="preserve">WR</w:t>
            </w:r>
          </w:p>
        </w:tc>
        <w:tc>
          <w:tcPr/>
          <w:p>
            <w:pPr>
              <w:pStyle w:val="Compact"/>
              <w:jc w:val="left"/>
            </w:pPr>
            <w:r>
              <w:t xml:space="preserve">OOS Sharpe</w:t>
            </w:r>
          </w:p>
        </w:tc>
        <w:tc>
          <w:tcPr/>
          <w:p>
            <w:pPr>
              <w:pStyle w:val="Compact"/>
              <w:jc w:val="left"/>
            </w:pPr>
            <w:r>
              <w:t xml:space="preserve">n</w:t>
            </w:r>
          </w:p>
        </w:tc>
        <w:tc>
          <w:tcPr/>
          <w:p>
            <w:pPr>
              <w:pStyle w:val="Compact"/>
              <w:jc w:val="left"/>
            </w:pPr>
            <w:r>
              <w:t xml:space="preserve">Key Failure</w:t>
            </w:r>
          </w:p>
        </w:tc>
      </w:tr>
      <w:tr>
        <w:tc>
          <w:tcPr/>
          <w:p>
            <w:pPr>
              <w:pStyle w:val="Compact"/>
              <w:jc w:val="left"/>
            </w:pPr>
            <w:r>
              <w:t xml:space="preserve">Equity</w:t>
            </w:r>
          </w:p>
        </w:tc>
        <w:tc>
          <w:tcPr/>
          <w:p>
            <w:pPr>
              <w:pStyle w:val="Compact"/>
              <w:jc w:val="left"/>
            </w:pPr>
            <w:r>
              <w:rPr>
                <w:bCs/>
                <w:b/>
              </w:rPr>
              <w:t xml:space="preserve">SAFE</w:t>
            </w:r>
          </w:p>
        </w:tc>
        <w:tc>
          <w:tcPr/>
          <w:p>
            <w:pPr>
              <w:pStyle w:val="Compact"/>
              <w:jc w:val="left"/>
            </w:pPr>
            <w:r>
              <w:t xml:space="preserve">1.72</w:t>
            </w:r>
          </w:p>
        </w:tc>
        <w:tc>
          <w:tcPr/>
          <w:p>
            <w:pPr>
              <w:pStyle w:val="Compact"/>
              <w:jc w:val="left"/>
            </w:pPr>
            <w:r>
              <w:t xml:space="preserve">53.1%</w:t>
            </w:r>
          </w:p>
        </w:tc>
        <w:tc>
          <w:tcPr/>
          <w:p>
            <w:pPr>
              <w:pStyle w:val="Compact"/>
              <w:jc w:val="left"/>
            </w:pPr>
            <w:r>
              <w:t xml:space="preserve">+3.527</w:t>
            </w:r>
          </w:p>
        </w:tc>
        <w:tc>
          <w:tcPr/>
          <w:p>
            <w:pPr>
              <w:pStyle w:val="Compact"/>
              <w:jc w:val="left"/>
            </w:pPr>
            <w:r>
              <w:t xml:space="preserve">256</w:t>
            </w:r>
          </w:p>
        </w:tc>
        <w:tc>
          <w:tcPr/>
          <w:p>
            <w:pPr>
              <w:pStyle w:val="Compact"/>
              <w:jc w:val="left"/>
            </w:pPr>
            <w:r>
              <w:t xml:space="preserve">None — passes all gates</w:t>
            </w:r>
          </w:p>
        </w:tc>
      </w:tr>
      <w:tr>
        <w:tc>
          <w:tcPr/>
          <w:p>
            <w:pPr>
              <w:pStyle w:val="Compact"/>
              <w:jc w:val="left"/>
            </w:pPr>
            <w:r>
              <w:t xml:space="preserve">Crypto S-Tier</w:t>
            </w:r>
          </w:p>
        </w:tc>
        <w:tc>
          <w:tcPr/>
          <w:p>
            <w:pPr>
              <w:pStyle w:val="Compact"/>
              <w:jc w:val="left"/>
            </w:pPr>
            <w:r>
              <w:rPr>
                <w:bCs/>
                <w:b/>
              </w:rPr>
              <w:t xml:space="preserve">CAUTION</w:t>
            </w:r>
          </w:p>
        </w:tc>
        <w:tc>
          <w:tcPr/>
          <w:p>
            <w:pPr>
              <w:pStyle w:val="Compact"/>
              <w:jc w:val="left"/>
            </w:pPr>
            <w:r>
              <w:t xml:space="preserve">6.80</w:t>
            </w:r>
          </w:p>
        </w:tc>
        <w:tc>
          <w:tcPr/>
          <w:p>
            <w:pPr>
              <w:pStyle w:val="Compact"/>
              <w:jc w:val="left"/>
            </w:pPr>
            <w:r>
              <w:t xml:space="preserve">70.4%</w:t>
            </w:r>
          </w:p>
        </w:tc>
        <w:tc>
          <w:tcPr/>
          <w:p>
            <w:pPr>
              <w:pStyle w:val="Compact"/>
              <w:jc w:val="left"/>
            </w:pPr>
            <w:r>
              <w:t xml:space="preserve">Negative</w:t>
            </w:r>
            <w:r>
              <w:t xml:space="preserve"> </w:t>
            </w:r>
            <w:r>
              <w:rPr>
                <w:vertAlign w:val="superscript"/>
              </w:rPr>
              <w:t xml:space="preserve">1</w:t>
            </w:r>
          </w:p>
        </w:tc>
        <w:tc>
          <w:tcPr/>
          <w:p>
            <w:pPr>
              <w:pStyle w:val="Compact"/>
              <w:jc w:val="left"/>
            </w:pPr>
            <w:r>
              <w:t xml:space="preserve">27</w:t>
            </w:r>
          </w:p>
        </w:tc>
        <w:tc>
          <w:tcPr/>
          <w:p>
            <w:pPr>
              <w:pStyle w:val="Compact"/>
              <w:jc w:val="left"/>
            </w:pPr>
            <w:r>
              <w:t xml:space="preserve">Survivorship bias; n &lt; 50</w:t>
            </w:r>
          </w:p>
        </w:tc>
      </w:tr>
      <w:tr>
        <w:tc>
          <w:tcPr/>
          <w:p>
            <w:pPr>
              <w:pStyle w:val="Compact"/>
              <w:jc w:val="left"/>
            </w:pPr>
            <w:r>
              <w:t xml:space="preserve">Crypto A-Tier</w:t>
            </w:r>
          </w:p>
        </w:tc>
        <w:tc>
          <w:tcPr/>
          <w:p>
            <w:pPr>
              <w:pStyle w:val="Compact"/>
              <w:jc w:val="left"/>
            </w:pPr>
            <w:r>
              <w:rPr>
                <w:bCs/>
                <w:b/>
              </w:rPr>
              <w:t xml:space="preserve">CAUTION</w:t>
            </w:r>
          </w:p>
        </w:tc>
        <w:tc>
          <w:tcPr/>
          <w:p>
            <w:pPr>
              <w:pStyle w:val="Compact"/>
              <w:jc w:val="left"/>
            </w:pPr>
            <w:r>
              <w:t xml:space="preserve">1.58</w:t>
            </w:r>
          </w:p>
        </w:tc>
        <w:tc>
          <w:tcPr/>
          <w:p>
            <w:pPr>
              <w:pStyle w:val="Compact"/>
              <w:jc w:val="left"/>
            </w:pPr>
            <w:r>
              <w:t xml:space="preserve">42.4%</w:t>
            </w:r>
          </w:p>
        </w:tc>
        <w:tc>
          <w:tcPr/>
          <w:p>
            <w:pPr>
              <w:pStyle w:val="Compact"/>
              <w:jc w:val="left"/>
            </w:pPr>
            <w:r>
              <w:t xml:space="preserve">Negative</w:t>
            </w:r>
            <w:r>
              <w:t xml:space="preserve"> </w:t>
            </w:r>
            <w:r>
              <w:rPr>
                <w:vertAlign w:val="superscript"/>
              </w:rPr>
              <w:t xml:space="preserve">1</w:t>
            </w:r>
          </w:p>
        </w:tc>
        <w:tc>
          <w:tcPr/>
          <w:p>
            <w:pPr>
              <w:pStyle w:val="Compact"/>
              <w:jc w:val="left"/>
            </w:pPr>
            <w:r>
              <w:t xml:space="preserve">~80</w:t>
            </w:r>
          </w:p>
        </w:tc>
        <w:tc>
          <w:tcPr/>
          <w:p>
            <w:pPr>
              <w:pStyle w:val="Compact"/>
              <w:jc w:val="left"/>
            </w:pPr>
            <w:r>
              <w:t xml:space="preserve">Inconsistent edge</w:t>
            </w:r>
          </w:p>
        </w:tc>
      </w:tr>
      <w:tr>
        <w:tc>
          <w:tcPr/>
          <w:p>
            <w:pPr>
              <w:pStyle w:val="Compact"/>
              <w:jc w:val="left"/>
            </w:pPr>
            <w:r>
              <w:t xml:space="preserve">Crypto B-Tier</w:t>
            </w:r>
          </w:p>
        </w:tc>
        <w:tc>
          <w:tcPr/>
          <w:p>
            <w:pPr>
              <w:pStyle w:val="Compact"/>
              <w:jc w:val="left"/>
            </w:pPr>
            <w:r>
              <w:rPr>
                <w:bCs/>
                <w:b/>
              </w:rPr>
              <w:t xml:space="preserve">CAUTION</w:t>
            </w:r>
          </w:p>
        </w:tc>
        <w:tc>
          <w:tcPr/>
          <w:p>
            <w:pPr>
              <w:pStyle w:val="Compact"/>
              <w:jc w:val="left"/>
            </w:pPr>
            <w:r>
              <w:t xml:space="preserve">1.28</w:t>
            </w:r>
          </w:p>
        </w:tc>
        <w:tc>
          <w:tcPr/>
          <w:p>
            <w:pPr>
              <w:pStyle w:val="Compact"/>
              <w:jc w:val="left"/>
            </w:pPr>
            <w:r>
              <w:t xml:space="preserve">45.0%</w:t>
            </w:r>
          </w:p>
        </w:tc>
        <w:tc>
          <w:tcPr/>
          <w:p>
            <w:pPr>
              <w:pStyle w:val="Compact"/>
              <w:jc w:val="left"/>
            </w:pPr>
            <w:r>
              <w:t xml:space="preserve">Negative</w:t>
            </w:r>
            <w:r>
              <w:t xml:space="preserve"> </w:t>
            </w:r>
            <w:r>
              <w:rPr>
                <w:vertAlign w:val="superscript"/>
              </w:rPr>
              <w:t xml:space="preserve">1</w:t>
            </w:r>
          </w:p>
        </w:tc>
        <w:tc>
          <w:tcPr/>
          <w:p>
            <w:pPr>
              <w:pStyle w:val="Compact"/>
              <w:jc w:val="left"/>
            </w:pPr>
            <w:r>
              <w:t xml:space="preserve">~150</w:t>
            </w:r>
          </w:p>
        </w:tc>
        <w:tc>
          <w:tcPr/>
          <w:p>
            <w:pPr>
              <w:pStyle w:val="Compact"/>
              <w:jc w:val="left"/>
            </w:pPr>
            <w:r>
              <w:t xml:space="preserve">Marginal PF</w:t>
            </w:r>
          </w:p>
        </w:tc>
      </w:tr>
      <w:tr>
        <w:tc>
          <w:tcPr/>
          <w:p>
            <w:pPr>
              <w:pStyle w:val="Compact"/>
              <w:jc w:val="left"/>
            </w:pPr>
            <w:r>
              <w:t xml:space="preserve">Crypto C-Tier</w:t>
            </w:r>
          </w:p>
        </w:tc>
        <w:tc>
          <w:tcPr/>
          <w:p>
            <w:pPr>
              <w:pStyle w:val="Compact"/>
              <w:jc w:val="left"/>
            </w:pPr>
            <w:r>
              <w:rPr>
                <w:bCs/>
                <w:b/>
              </w:rPr>
              <w:t xml:space="preserve">DANGEROUS</w:t>
            </w:r>
          </w:p>
        </w:tc>
        <w:tc>
          <w:tcPr/>
          <w:p>
            <w:pPr>
              <w:pStyle w:val="Compact"/>
              <w:jc w:val="left"/>
            </w:pPr>
            <w:r>
              <w:t xml:space="preserve">0.56</w:t>
            </w:r>
          </w:p>
        </w:tc>
        <w:tc>
          <w:tcPr/>
          <w:p>
            <w:pPr>
              <w:pStyle w:val="Compact"/>
              <w:jc w:val="left"/>
            </w:pPr>
            <w:r>
              <w:t xml:space="preserve">—</w:t>
            </w:r>
          </w:p>
        </w:tc>
        <w:tc>
          <w:tcPr/>
          <w:p>
            <w:pPr>
              <w:pStyle w:val="Compact"/>
              <w:jc w:val="left"/>
            </w:pPr>
            <w:r>
              <w:t xml:space="preserve">Negative</w:t>
            </w:r>
            <w:r>
              <w:t xml:space="preserve"> </w:t>
            </w:r>
            <w:r>
              <w:rPr>
                <w:vertAlign w:val="superscript"/>
              </w:rPr>
              <w:t xml:space="preserve">1</w:t>
            </w:r>
          </w:p>
        </w:tc>
        <w:tc>
          <w:tcPr/>
          <w:p>
            <w:pPr>
              <w:pStyle w:val="Compact"/>
              <w:jc w:val="left"/>
            </w:pPr>
            <w:r>
              <w:t xml:space="preserve">—</w:t>
            </w:r>
          </w:p>
        </w:tc>
        <w:tc>
          <w:tcPr/>
          <w:p>
            <w:pPr>
              <w:pStyle w:val="Compact"/>
              <w:jc w:val="left"/>
            </w:pPr>
            <w:r>
              <w:t xml:space="preserve">Value destroyer</w:t>
            </w:r>
          </w:p>
        </w:tc>
      </w:tr>
      <w:tr>
        <w:tc>
          <w:tcPr/>
          <w:p>
            <w:pPr>
              <w:pStyle w:val="Compact"/>
              <w:jc w:val="left"/>
            </w:pPr>
            <w:r>
              <w:t xml:space="preserve">Forex</w:t>
            </w:r>
          </w:p>
        </w:tc>
        <w:tc>
          <w:tcPr/>
          <w:p>
            <w:pPr>
              <w:pStyle w:val="Compact"/>
              <w:jc w:val="left"/>
            </w:pPr>
            <w:r>
              <w:rPr>
                <w:bCs/>
                <w:b/>
              </w:rPr>
              <w:t xml:space="preserve">DANGEROUS</w:t>
            </w:r>
          </w:p>
        </w:tc>
        <w:tc>
          <w:tcPr/>
          <w:p>
            <w:pPr>
              <w:pStyle w:val="Compact"/>
              <w:jc w:val="left"/>
            </w:pPr>
            <w:r>
              <w:t xml:space="preserve">0.27</w:t>
            </w:r>
          </w:p>
        </w:tc>
        <w:tc>
          <w:tcPr/>
          <w:p>
            <w:pPr>
              <w:pStyle w:val="Compact"/>
              <w:jc w:val="left"/>
            </w:pPr>
            <w:r>
              <w:t xml:space="preserve">~0%</w:t>
            </w:r>
          </w:p>
        </w:tc>
        <w:tc>
          <w:tcPr/>
          <w:p>
            <w:pPr>
              <w:pStyle w:val="Compact"/>
              <w:jc w:val="left"/>
            </w:pPr>
            <w:r>
              <w:t xml:space="preserve">−1.406</w:t>
            </w:r>
            <w:r>
              <w:t xml:space="preserve"> </w:t>
            </w:r>
            <w:r>
              <w:rPr>
                <w:vertAlign w:val="superscript"/>
              </w:rPr>
              <w:t xml:space="preserve">1</w:t>
            </w:r>
          </w:p>
        </w:tc>
        <w:tc>
          <w:tcPr/>
          <w:p>
            <w:pPr>
              <w:pStyle w:val="Compact"/>
              <w:jc w:val="left"/>
            </w:pPr>
            <w:r>
              <w:t xml:space="preserve">~200</w:t>
            </w:r>
          </w:p>
        </w:tc>
        <w:tc>
          <w:tcPr/>
          <w:p>
            <w:pPr>
              <w:pStyle w:val="Compact"/>
              <w:jc w:val="left"/>
            </w:pPr>
            <w:r>
              <w:t xml:space="preserve">PF &lt; 1.0; regime change</w:t>
            </w:r>
          </w:p>
        </w:tc>
      </w:tr>
      <w:tr>
        <w:tc>
          <w:tcPr/>
          <w:p>
            <w:pPr>
              <w:pStyle w:val="Compact"/>
              <w:jc w:val="left"/>
            </w:pPr>
            <w:r>
              <w:t xml:space="preserve">Commodity</w:t>
            </w:r>
          </w:p>
        </w:tc>
        <w:tc>
          <w:tcPr/>
          <w:p>
            <w:pPr>
              <w:pStyle w:val="Compact"/>
              <w:jc w:val="left"/>
            </w:pPr>
            <w:r>
              <w:rPr>
                <w:bCs/>
                <w:b/>
              </w:rPr>
              <w:t xml:space="preserve">DANGEROUS</w:t>
            </w:r>
          </w:p>
        </w:tc>
        <w:tc>
          <w:tcPr/>
          <w:p>
            <w:pPr>
              <w:pStyle w:val="Compact"/>
              <w:jc w:val="left"/>
            </w:pPr>
            <w:r>
              <w:t xml:space="preserve">0.02</w:t>
            </w:r>
          </w:p>
        </w:tc>
        <w:tc>
          <w:tcPr/>
          <w:p>
            <w:pPr>
              <w:pStyle w:val="Compact"/>
              <w:jc w:val="left"/>
            </w:pPr>
            <w:r>
              <w:t xml:space="preserve">—</w:t>
            </w:r>
          </w:p>
        </w:tc>
        <w:tc>
          <w:tcPr/>
          <w:p>
            <w:pPr>
              <w:pStyle w:val="Compact"/>
              <w:jc w:val="left"/>
            </w:pPr>
            <w:r>
              <w:t xml:space="preserve">Negative</w:t>
            </w:r>
            <w:r>
              <w:t xml:space="preserve"> </w:t>
            </w:r>
            <w:r>
              <w:rPr>
                <w:vertAlign w:val="superscript"/>
              </w:rPr>
              <w:t xml:space="preserve">1</w:t>
            </w:r>
          </w:p>
        </w:tc>
        <w:tc>
          <w:tcPr/>
          <w:p>
            <w:pPr>
              <w:pStyle w:val="Compact"/>
              <w:jc w:val="left"/>
            </w:pPr>
            <w:r>
              <w:t xml:space="preserve">~180</w:t>
            </w:r>
          </w:p>
        </w:tc>
        <w:tc>
          <w:tcPr/>
          <w:p>
            <w:pPr>
              <w:pStyle w:val="Compact"/>
              <w:jc w:val="left"/>
            </w:pPr>
            <w:r>
              <w:t xml:space="preserve">cta_commodity_momentum_term broken</w:t>
            </w:r>
          </w:p>
        </w:tc>
      </w:tr>
      <w:tr>
        <w:tc>
          <w:tcPr/>
          <w:p>
            <w:pPr>
              <w:pStyle w:val="Compact"/>
              <w:jc w:val="left"/>
            </w:pPr>
            <w:r>
              <w:t xml:space="preserve">ETF</w:t>
            </w:r>
          </w:p>
        </w:tc>
        <w:tc>
          <w:tcPr/>
          <w:p>
            <w:pPr>
              <w:pStyle w:val="Compact"/>
              <w:jc w:val="left"/>
            </w:pPr>
            <w:r>
              <w:rPr>
                <w:bCs/>
                <w:b/>
              </w:rPr>
              <w:t xml:space="preserve">CAUTION</w:t>
            </w:r>
          </w:p>
        </w:tc>
        <w:tc>
          <w:tcPr/>
          <w:p>
            <w:pPr>
              <w:pStyle w:val="Compact"/>
              <w:jc w:val="left"/>
            </w:pPr>
            <w:r>
              <w:t xml:space="preserve">1.10</w:t>
            </w:r>
          </w:p>
        </w:tc>
        <w:tc>
          <w:tcPr/>
          <w:p>
            <w:pPr>
              <w:pStyle w:val="Compact"/>
              <w:jc w:val="left"/>
            </w:pPr>
            <w:r>
              <w:t xml:space="preserve">—</w:t>
            </w:r>
          </w:p>
        </w:tc>
        <w:tc>
          <w:tcPr/>
          <w:p>
            <w:pPr>
              <w:pStyle w:val="Compact"/>
              <w:jc w:val="left"/>
            </w:pPr>
            <w:r>
              <w:t xml:space="preserve">6.368*</w:t>
            </w:r>
            <w:r>
              <w:t xml:space="preserve"> </w:t>
            </w:r>
            <w:r>
              <w:rPr>
                <w:vertAlign w:val="superscript"/>
              </w:rPr>
              <w:t xml:space="preserve">1</w:t>
            </w:r>
          </w:p>
        </w:tc>
        <w:tc>
          <w:tcPr/>
          <w:p>
            <w:pPr>
              <w:pStyle w:val="Compact"/>
              <w:jc w:val="left"/>
            </w:pPr>
            <w:r>
              <w:t xml:space="preserve">12 folds</w:t>
            </w:r>
          </w:p>
        </w:tc>
        <w:tc>
          <w:tcPr/>
          <w:p>
            <w:pPr>
              <w:pStyle w:val="Compact"/>
              <w:jc w:val="left"/>
            </w:pPr>
            <w:r>
              <w:t xml:space="preserve">*Artifact; 10.8 Sharpe decay</w:t>
            </w:r>
          </w:p>
        </w:tc>
      </w:tr>
      <w:tr>
        <w:tc>
          <w:tcPr/>
          <w:p>
            <w:pPr>
              <w:pStyle w:val="Compact"/>
              <w:jc w:val="left"/>
            </w:pPr>
            <w:r>
              <w:t xml:space="preserve">Penny Stocks</w:t>
            </w:r>
          </w:p>
        </w:tc>
        <w:tc>
          <w:tcPr/>
          <w:p>
            <w:pPr>
              <w:pStyle w:val="Compact"/>
              <w:jc w:val="left"/>
            </w:pPr>
            <w:r>
              <w:rPr>
                <w:bCs/>
                <w:b/>
              </w:rPr>
              <w:t xml:space="preserve">DANGEROUS</w:t>
            </w:r>
          </w:p>
        </w:tc>
        <w:tc>
          <w:tcPr/>
          <w:p>
            <w:pPr>
              <w:pStyle w:val="Compact"/>
              <w:jc w:val="left"/>
            </w:pPr>
            <w:r>
              <w:t xml:space="preserve">&lt; 1.0</w:t>
            </w:r>
          </w:p>
        </w:tc>
        <w:tc>
          <w:tcPr/>
          <w:p>
            <w:pPr>
              <w:pStyle w:val="Compact"/>
              <w:jc w:val="left"/>
            </w:pPr>
            <w:r>
              <w:t xml:space="preserve">—</w:t>
            </w:r>
          </w:p>
        </w:tc>
        <w:tc>
          <w:tcPr/>
          <w:p>
            <w:pPr>
              <w:pStyle w:val="Compact"/>
              <w:jc w:val="left"/>
            </w:pPr>
            <w:r>
              <w:t xml:space="preserve">Negative</w:t>
            </w:r>
            <w:r>
              <w:t xml:space="preserve"> </w:t>
            </w:r>
            <w:r>
              <w:rPr>
                <w:vertAlign w:val="superscript"/>
              </w:rPr>
              <w:t xml:space="preserve">10</w:t>
            </w:r>
          </w:p>
        </w:tc>
        <w:tc>
          <w:tcPr/>
          <w:p>
            <w:pPr>
              <w:pStyle w:val="Compact"/>
              <w:jc w:val="left"/>
            </w:pPr>
            <w:r>
              <w:t xml:space="preserve">—</w:t>
            </w:r>
          </w:p>
        </w:tc>
        <w:tc>
          <w:tcPr/>
          <w:p>
            <w:pPr>
              <w:pStyle w:val="Compact"/>
              <w:jc w:val="left"/>
            </w:pPr>
            <w:r>
              <w:t xml:space="preserve">−24% to −27% avg returns</w:t>
            </w:r>
          </w:p>
        </w:tc>
      </w:tr>
      <w:tr>
        <w:tc>
          <w:tcPr/>
          <w:p>
            <w:pPr>
              <w:pStyle w:val="Compact"/>
              <w:jc w:val="left"/>
            </w:pPr>
            <w:r>
              <w:t xml:space="preserve">Meme Coins</w:t>
            </w:r>
          </w:p>
        </w:tc>
        <w:tc>
          <w:tcPr/>
          <w:p>
            <w:pPr>
              <w:pStyle w:val="Compact"/>
              <w:jc w:val="left"/>
            </w:pPr>
            <w:r>
              <w:rPr>
                <w:bCs/>
                <w:b/>
              </w:rPr>
              <w:t xml:space="preserve">DANGEROUS</w:t>
            </w:r>
          </w:p>
        </w:tc>
        <w:tc>
          <w:tcPr/>
          <w:p>
            <w:pPr>
              <w:pStyle w:val="Compact"/>
              <w:jc w:val="left"/>
            </w:pPr>
            <w:r>
              <w:t xml:space="preserve">0.45</w:t>
            </w:r>
          </w:p>
        </w:tc>
        <w:tc>
          <w:tcPr/>
          <w:p>
            <w:pPr>
              <w:pStyle w:val="Compact"/>
              <w:jc w:val="left"/>
            </w:pPr>
            <w:r>
              <w:t xml:space="preserve">65.6%*</w:t>
            </w:r>
          </w:p>
        </w:tc>
        <w:tc>
          <w:tcPr/>
          <w:p>
            <w:pPr>
              <w:pStyle w:val="Compact"/>
              <w:jc w:val="left"/>
            </w:pPr>
            <w:r>
              <w:t xml:space="preserve">Negative</w:t>
            </w:r>
            <w:r>
              <w:t xml:space="preserve"> </w:t>
            </w:r>
            <w:r>
              <w:rPr>
                <w:vertAlign w:val="superscript"/>
              </w:rPr>
              <w:t xml:space="preserve">4</w:t>
            </w:r>
          </w:p>
        </w:tc>
        <w:tc>
          <w:tcPr/>
          <w:p>
            <w:pPr>
              <w:pStyle w:val="Compact"/>
              <w:jc w:val="left"/>
            </w:pPr>
            <w:r>
              <w:t xml:space="preserve">41</w:t>
            </w:r>
          </w:p>
        </w:tc>
        <w:tc>
          <w:tcPr/>
          <w:p>
            <w:pPr>
              <w:pStyle w:val="Compact"/>
              <w:jc w:val="left"/>
            </w:pPr>
            <w:r>
              <w:t xml:space="preserve">*WR inflated by small wins; 99.7% ruin</w:t>
            </w:r>
          </w:p>
        </w:tc>
      </w:tr>
    </w:tbl>
    <w:p>
      <w:pPr>
        <w:pStyle w:val="BodyText"/>
      </w:pPr>
      <w:r>
        <w:t xml:space="preserve">Equity alone combines validated edge with sufficient statistical power. The crypto landscape is fractured: S-Tier metrics (PF 6.80, WR 70.4%) rest on n = 27 — a textbook survivorship illusion — and OOS Sharpe is negative across all crypto tiers collectively</w:t>
      </w:r>
      <w:r>
        <w:t xml:space="preserve"> </w:t>
      </w:r>
      <w:r>
        <w:rPr>
          <w:vertAlign w:val="superscript"/>
        </w:rPr>
        <w:t xml:space="preserve">1</w:t>
      </w:r>
      <w:r>
        <w:t xml:space="preserve">. C-Tier (PF 0.56) is an outright value destroyer. Forex and commodity fail at the fundamental level: PF below 1.0 means negative expected value per trade. The forex OOS Sharpe of −1.406 reflects structural strategy failure compounded by regime change</w:t>
      </w:r>
      <w:r>
        <w:t xml:space="preserve"> </w:t>
      </w:r>
      <w:r>
        <w:rPr>
          <w:vertAlign w:val="superscript"/>
        </w:rPr>
        <w:t xml:space="preserve">1</w:t>
      </w:r>
      <w:r>
        <w:t xml:space="preserve"> </w:t>
      </w:r>
      <w:r>
        <w:rPr>
          <w:vertAlign w:val="superscript"/>
        </w:rPr>
        <w:t xml:space="preserve">6</w:t>
      </w:r>
      <w:r>
        <w:t xml:space="preserve">, while commodity strategy cta_commodity_momentum_term at PF 0.02 constitutes total capital destruction</w:t>
      </w:r>
      <w:r>
        <w:t xml:space="preserve"> </w:t>
      </w:r>
      <w:r>
        <w:rPr>
          <w:vertAlign w:val="superscript"/>
        </w:rPr>
        <w:t xml:space="preserve">1</w:t>
      </w:r>
      <w:r>
        <w:t xml:space="preserve"> </w:t>
      </w:r>
      <w:r>
        <w:rPr>
          <w:vertAlign w:val="superscript"/>
        </w:rPr>
        <w:t xml:space="preserve">6</w:t>
      </w:r>
      <w:r>
        <w:t xml:space="preserve">.</w:t>
      </w:r>
    </w:p>
    <w:p>
      <w:pPr>
        <w:pStyle w:val="BodyText"/>
      </w:pPr>
      <w:r>
        <w:t xml:space="preserve">The ETF OOS Sharpe of 6.368 collapses to 2.0–3.0 under DSR adjustment and is further eroded by transaction costs</w:t>
      </w:r>
      <w:r>
        <w:t xml:space="preserve"> </w:t>
      </w:r>
      <w:r>
        <w:rPr>
          <w:vertAlign w:val="superscript"/>
        </w:rPr>
        <w:t xml:space="preserve">1</w:t>
      </w:r>
      <w:r>
        <w:t xml:space="preserve"> </w:t>
      </w:r>
      <w:r>
        <w:rPr>
          <w:vertAlign w:val="superscript"/>
        </w:rPr>
        <w:t xml:space="preserve">5</w:t>
      </w:r>
      <w:r>
        <w:t xml:space="preserve">. ETF reversion to NAV makes directional TP/SL bets structurally disadvantaged — a mismatch between asset behavior and methodology that requires framework redesign</w:t>
      </w:r>
      <w:r>
        <w:t xml:space="preserve"> </w:t>
      </w:r>
      <w:r>
        <w:rPr>
          <w:vertAlign w:val="superscript"/>
        </w:rPr>
        <w:t xml:space="preserve">1</w:t>
      </w:r>
      <w:r>
        <w:t xml:space="preserve">.</w:t>
      </w:r>
    </w:p>
    <w:p>
      <w:pPr>
        <w:pStyle w:val="BodyText"/>
      </w:pPr>
      <w:r>
        <w:t xml:space="preserve">The capital preservation thesis is this section’s most consequential finding. Applying the optimal filter chain (Verified Alpha + High Conviction + R:R 1.5+) gates out 192 of 210 active picks, leaving 0–2 actionable signals per cycle</w:t>
      </w:r>
      <w:r>
        <w:t xml:space="preserve"> </w:t>
      </w:r>
      <w:r>
        <w:rPr>
          <w:vertAlign w:val="superscript"/>
        </w:rPr>
        <w:t xml:space="preserve">8</w:t>
      </w:r>
      <w:r>
        <w:t xml:space="preserve"> </w:t>
      </w:r>
      <w:r>
        <w:rPr>
          <w:vertAlign w:val="superscript"/>
        </w:rPr>
        <w:t xml:space="preserve">9</w:t>
      </w:r>
      <w:r>
        <w:t xml:space="preserve">. The platform’s value is therefore not pick generation but exclusion — it prevents entry into the ~91% of signals that would lose money on average. This reframes the product entirely: its worth is measured by bad trades prevented, not picks produced. The dashboard should treat empty results as protective success rather than system failure</w:t>
      </w:r>
      <w:r>
        <w:t xml:space="preserve"> </w:t>
      </w:r>
      <w:r>
        <w:rPr>
          <w:vertAlign w:val="superscript"/>
        </w:rPr>
        <w:t xml:space="preserve">8</w:t>
      </w:r>
      <w:r>
        <w:t xml:space="preserve">.</w:t>
      </w:r>
    </w:p>
    <w:bookmarkEnd w:id="21"/>
    <w:bookmarkStart w:id="22" w:name="immediate-actions"/>
    <w:p>
      <w:pPr>
        <w:pStyle w:val="Heading3"/>
      </w:pPr>
      <w:r>
        <w:t xml:space="preserve">1.3 Immediate Actions</w:t>
      </w:r>
    </w:p>
    <w:p>
      <w:pPr>
        <w:pStyle w:val="FirstParagraph"/>
      </w:pPr>
      <w:r>
        <w:rPr>
          <w:bCs/>
          <w:b/>
        </w:rPr>
        <w:t xml:space="preserve">Table 3: Immediate Actions by Horizon</w:t>
      </w:r>
    </w:p>
    <w:tbl>
      <w:tblPr>
        <w:tblStyle w:val="Table"/>
        <w:tblW w:type="pct" w:w="5000"/>
        <w:tblLook w:firstRow="1" w:lastRow="0" w:firstColumn="0" w:lastColumn="0" w:noHBand="0" w:noVBand="0" w:val="0020"/>
      </w:tblPr>
      <w:tblGrid>
        <w:gridCol w:w="1584"/>
        <w:gridCol w:w="1408"/>
        <w:gridCol w:w="1232"/>
        <w:gridCol w:w="3696"/>
      </w:tblGrid>
      <w:tr>
        <w:trPr>
          <w:tblHeader w:val="true"/>
        </w:trPr>
        <w:tc>
          <w:tcPr/>
          <w:p>
            <w:pPr>
              <w:pStyle w:val="Compact"/>
              <w:jc w:val="left"/>
            </w:pPr>
            <w:r>
              <w:t xml:space="preserve">Horizon</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Completion Criterion</w:t>
            </w:r>
          </w:p>
        </w:tc>
      </w:tr>
      <w:tr>
        <w:tc>
          <w:tcPr/>
          <w:p>
            <w:pPr>
              <w:pStyle w:val="Compact"/>
              <w:jc w:val="left"/>
            </w:pPr>
            <w:r>
              <w:rPr>
                <w:bCs/>
                <w:b/>
              </w:rPr>
              <w:t xml:space="preserve">This Week</w:t>
            </w:r>
          </w:p>
        </w:tc>
        <w:tc>
          <w:tcPr/>
          <w:p>
            <w:pPr>
              <w:pStyle w:val="Compact"/>
              <w:jc w:val="left"/>
            </w:pPr>
            <w:r>
              <w:t xml:space="preserve">Fix R:R hard ceiling at 2.0; hard floor at 1.5</w:t>
            </w:r>
          </w:p>
        </w:tc>
        <w:tc>
          <w:tcPr/>
          <w:p>
            <w:pPr>
              <w:pStyle w:val="Compact"/>
              <w:jc w:val="left"/>
            </w:pPr>
            <w:r>
              <w:t xml:space="preserve">Engineering</w:t>
            </w:r>
          </w:p>
        </w:tc>
        <w:tc>
          <w:tcPr/>
          <w:p>
            <w:pPr>
              <w:pStyle w:val="Compact"/>
              <w:jc w:val="left"/>
            </w:pPr>
            <w:r>
              <w:t xml:space="preserve">Filter active; no picks outside band visible</w:t>
            </w:r>
          </w:p>
        </w:tc>
      </w:tr>
      <w:tr>
        <w:tc>
          <w:tcPr/>
          <w:p>
            <w:pPr>
              <w:pStyle w:val="Compact"/>
              <w:jc w:val="left"/>
            </w:pPr>
            <w:r>
              <w:rPr>
                <w:bCs/>
                <w:b/>
              </w:rPr>
              <w:t xml:space="preserve">This Week</w:t>
            </w:r>
          </w:p>
        </w:tc>
        <w:tc>
          <w:tcPr/>
          <w:p>
            <w:pPr>
              <w:pStyle w:val="Compact"/>
              <w:jc w:val="left"/>
            </w:pPr>
            <w:r>
              <w:t xml:space="preserve">Ban 3 strategies: unknown, gainer_compression_relaxed_mut, cta_commodity_momentum_term</w:t>
            </w:r>
          </w:p>
        </w:tc>
        <w:tc>
          <w:tcPr/>
          <w:p>
            <w:pPr>
              <w:pStyle w:val="Compact"/>
              <w:jc w:val="left"/>
            </w:pPr>
            <w:r>
              <w:t xml:space="preserve">Strategy</w:t>
            </w:r>
          </w:p>
        </w:tc>
        <w:tc>
          <w:tcPr/>
          <w:p>
            <w:pPr>
              <w:pStyle w:val="Compact"/>
              <w:jc w:val="left"/>
            </w:pPr>
            <w:r>
              <w:t xml:space="preserve">Zero new signals from banned strategies</w:t>
            </w:r>
          </w:p>
        </w:tc>
      </w:tr>
      <w:tr>
        <w:tc>
          <w:tcPr/>
          <w:p>
            <w:pPr>
              <w:pStyle w:val="Compact"/>
              <w:jc w:val="left"/>
            </w:pPr>
            <w:r>
              <w:rPr>
                <w:bCs/>
                <w:b/>
              </w:rPr>
              <w:t xml:space="preserve">This Week</w:t>
            </w:r>
          </w:p>
        </w:tc>
        <w:tc>
          <w:tcPr/>
          <w:p>
            <w:pPr>
              <w:pStyle w:val="Compact"/>
              <w:jc w:val="left"/>
            </w:pPr>
            <w:r>
              <w:t xml:space="preserve">Fix HTML nested comment bug (template.html lines 1813–1825)</w:t>
            </w:r>
            <w:r>
              <w:t xml:space="preserve"> </w:t>
            </w:r>
            <w:r>
              <w:rPr>
                <w:vertAlign w:val="superscript"/>
              </w:rPr>
              <w:t xml:space="preserve">11</w:t>
            </w:r>
          </w:p>
        </w:tc>
        <w:tc>
          <w:tcPr/>
          <w:p>
            <w:pPr>
              <w:pStyle w:val="Compact"/>
              <w:jc w:val="left"/>
            </w:pPr>
            <w:r>
              <w:t xml:space="preserve">Frontend</w:t>
            </w:r>
          </w:p>
        </w:tc>
        <w:tc>
          <w:tcPr/>
          <w:p>
            <w:pPr>
              <w:pStyle w:val="Compact"/>
              <w:jc w:val="left"/>
            </w:pPr>
            <w:r>
              <w:t xml:space="preserve">Visual anomaly resolved on US Equity Picks tab</w:t>
            </w:r>
          </w:p>
        </w:tc>
      </w:tr>
      <w:tr>
        <w:tc>
          <w:tcPr/>
          <w:p>
            <w:pPr>
              <w:pStyle w:val="Compact"/>
              <w:jc w:val="left"/>
            </w:pPr>
            <w:r>
              <w:rPr>
                <w:bCs/>
                <w:b/>
              </w:rPr>
              <w:t xml:space="preserve">This Week</w:t>
            </w:r>
          </w:p>
        </w:tc>
        <w:tc>
          <w:tcPr/>
          <w:p>
            <w:pPr>
              <w:pStyle w:val="Compact"/>
              <w:jc w:val="left"/>
            </w:pPr>
            <w:r>
              <w:t xml:space="preserve">Halt Forex trading; mark</w:t>
            </w:r>
            <w:r>
              <w:t xml:space="preserve"> </w:t>
            </w:r>
            <w:r>
              <w:t xml:space="preserve">“</w:t>
            </w:r>
            <w:r>
              <w:t xml:space="preserve">under review</w:t>
            </w:r>
            <w:r>
              <w:t xml:space="preserve">”</w:t>
            </w:r>
          </w:p>
        </w:tc>
        <w:tc>
          <w:tcPr/>
          <w:p>
            <w:pPr>
              <w:pStyle w:val="Compact"/>
              <w:jc w:val="left"/>
            </w:pPr>
            <w:r>
              <w:t xml:space="preserve">Risk/Ops</w:t>
            </w:r>
          </w:p>
        </w:tc>
        <w:tc>
          <w:tcPr/>
          <w:p>
            <w:pPr>
              <w:pStyle w:val="Compact"/>
              <w:jc w:val="left"/>
            </w:pPr>
            <w:r>
              <w:t xml:space="preserve">Forex tab hidden; internal monitoring at zero allocation</w:t>
            </w:r>
          </w:p>
        </w:tc>
      </w:tr>
      <w:tr>
        <w:tc>
          <w:tcPr/>
          <w:p>
            <w:pPr>
              <w:pStyle w:val="Compact"/>
              <w:jc w:val="left"/>
            </w:pPr>
            <w:r>
              <w:rPr>
                <w:bCs/>
                <w:b/>
              </w:rPr>
              <w:t xml:space="preserve">30-Day</w:t>
            </w:r>
          </w:p>
        </w:tc>
        <w:tc>
          <w:tcPr/>
          <w:p>
            <w:pPr>
              <w:pStyle w:val="Compact"/>
              <w:jc w:val="left"/>
            </w:pPr>
            <w:r>
              <w:t xml:space="preserve">Deploy score rebalance: remove regime_bonus (anti-predictive), increase trust_score weight</w:t>
            </w:r>
          </w:p>
        </w:tc>
        <w:tc>
          <w:tcPr/>
          <w:p>
            <w:pPr>
              <w:pStyle w:val="Compact"/>
              <w:jc w:val="left"/>
            </w:pPr>
            <w:r>
              <w:t xml:space="preserve">Data Science</w:t>
            </w:r>
          </w:p>
        </w:tc>
        <w:tc>
          <w:tcPr/>
          <w:p>
            <w:pPr>
              <w:pStyle w:val="Compact"/>
              <w:jc w:val="left"/>
            </w:pPr>
            <w:r>
              <w:t xml:space="preserve">4+ inversions resolved in decile analysis</w:t>
            </w:r>
          </w:p>
        </w:tc>
      </w:tr>
      <w:tr>
        <w:tc>
          <w:tcPr/>
          <w:p>
            <w:pPr>
              <w:pStyle w:val="Compact"/>
              <w:jc w:val="left"/>
            </w:pPr>
            <w:r>
              <w:rPr>
                <w:bCs/>
                <w:b/>
              </w:rPr>
              <w:t xml:space="preserve">30-Day</w:t>
            </w:r>
          </w:p>
        </w:tc>
        <w:tc>
          <w:tcPr/>
          <w:p>
            <w:pPr>
              <w:pStyle w:val="Compact"/>
              <w:jc w:val="left"/>
            </w:pPr>
            <w:r>
              <w:t xml:space="preserve">Consolidate outcome_resolver.py to single source of truth</w:t>
            </w:r>
            <w:r>
              <w:t xml:space="preserve"> </w:t>
            </w:r>
            <w:r>
              <w:rPr>
                <w:vertAlign w:val="superscript"/>
              </w:rPr>
              <w:t xml:space="preserve">12</w:t>
            </w:r>
          </w:p>
        </w:tc>
        <w:tc>
          <w:tcPr/>
          <w:p>
            <w:pPr>
              <w:pStyle w:val="Compact"/>
              <w:jc w:val="left"/>
            </w:pPr>
            <w:r>
              <w:t xml:space="preserve">Engineering</w:t>
            </w:r>
          </w:p>
        </w:tc>
        <w:tc>
          <w:tcPr/>
          <w:p>
            <w:pPr>
              <w:pStyle w:val="Compact"/>
              <w:jc w:val="left"/>
            </w:pPr>
            <w:r>
              <w:t xml:space="preserve">One canonical copy; duplicates removed</w:t>
            </w:r>
          </w:p>
        </w:tc>
      </w:tr>
      <w:tr>
        <w:tc>
          <w:tcPr/>
          <w:p>
            <w:pPr>
              <w:pStyle w:val="Compact"/>
              <w:jc w:val="left"/>
            </w:pPr>
            <w:r>
              <w:rPr>
                <w:bCs/>
                <w:b/>
              </w:rPr>
              <w:t xml:space="preserve">30-Day</w:t>
            </w:r>
          </w:p>
        </w:tc>
        <w:tc>
          <w:tcPr/>
          <w:p>
            <w:pPr>
              <w:pStyle w:val="Compact"/>
              <w:jc w:val="left"/>
            </w:pPr>
            <w:r>
              <w:t xml:space="preserve">Implement kill switches: daily loss limit, consecutive loss halt, vol circuit breaker</w:t>
            </w:r>
            <w:r>
              <w:t xml:space="preserve"> </w:t>
            </w:r>
            <w:r>
              <w:rPr>
                <w:vertAlign w:val="superscript"/>
              </w:rPr>
              <w:t xml:space="preserve">7</w:t>
            </w:r>
          </w:p>
        </w:tc>
        <w:tc>
          <w:tcPr/>
          <w:p>
            <w:pPr>
              <w:pStyle w:val="Compact"/>
              <w:jc w:val="left"/>
            </w:pPr>
            <w:r>
              <w:t xml:space="preserve">Risk</w:t>
            </w:r>
          </w:p>
        </w:tc>
        <w:tc>
          <w:tcPr/>
          <w:p>
            <w:pPr>
              <w:pStyle w:val="Compact"/>
              <w:jc w:val="left"/>
            </w:pPr>
            <w:r>
              <w:t xml:space="preserve">Three triggers active: −5% daily, 5 consecutive losses, VIX proxy</w:t>
            </w:r>
          </w:p>
        </w:tc>
      </w:tr>
      <w:tr>
        <w:tc>
          <w:tcPr/>
          <w:p>
            <w:pPr>
              <w:pStyle w:val="Compact"/>
              <w:jc w:val="left"/>
            </w:pPr>
            <w:r>
              <w:rPr>
                <w:bCs/>
                <w:b/>
              </w:rPr>
              <w:t xml:space="preserve">90-Day</w:t>
            </w:r>
          </w:p>
        </w:tc>
        <w:tc>
          <w:tcPr/>
          <w:p>
            <w:pPr>
              <w:pStyle w:val="Compact"/>
              <w:jc w:val="left"/>
            </w:pPr>
            <w:r>
              <w:t xml:space="preserve">PSR &gt; 0.95 gate: no strategy deploys without documented PSR</w:t>
            </w:r>
          </w:p>
        </w:tc>
        <w:tc>
          <w:tcPr/>
          <w:p>
            <w:pPr>
              <w:pStyle w:val="Compact"/>
              <w:jc w:val="left"/>
            </w:pPr>
            <w:r>
              <w:t xml:space="preserve">Quant Research</w:t>
            </w:r>
          </w:p>
        </w:tc>
        <w:tc>
          <w:tcPr/>
          <w:p>
            <w:pPr>
              <w:pStyle w:val="Compact"/>
              <w:jc w:val="left"/>
            </w:pPr>
            <w:r>
              <w:t xml:space="preserve">Sub-threshold strategies moved to sandbox</w:t>
            </w:r>
          </w:p>
        </w:tc>
      </w:tr>
      <w:tr>
        <w:tc>
          <w:tcPr/>
          <w:p>
            <w:pPr>
              <w:pStyle w:val="Compact"/>
              <w:jc w:val="left"/>
            </w:pPr>
            <w:r>
              <w:rPr>
                <w:bCs/>
                <w:b/>
              </w:rPr>
              <w:t xml:space="preserve">90-Day</w:t>
            </w:r>
          </w:p>
        </w:tc>
        <w:tc>
          <w:tcPr/>
          <w:p>
            <w:pPr>
              <w:pStyle w:val="Compact"/>
              <w:jc w:val="left"/>
            </w:pPr>
            <w:r>
              <w:t xml:space="preserve">DSR &gt; 0.95 gate: all OOS Sharpe claims deflated</w:t>
            </w:r>
            <w:r>
              <w:t xml:space="preserve"> </w:t>
            </w:r>
            <w:r>
              <w:rPr>
                <w:vertAlign w:val="superscript"/>
              </w:rPr>
              <w:t xml:space="preserve">5</w:t>
            </w:r>
          </w:p>
        </w:tc>
        <w:tc>
          <w:tcPr/>
          <w:p>
            <w:pPr>
              <w:pStyle w:val="Compact"/>
              <w:jc w:val="left"/>
            </w:pPr>
            <w:r>
              <w:t xml:space="preserve">Quant Research</w:t>
            </w:r>
          </w:p>
        </w:tc>
        <w:tc>
          <w:tcPr/>
          <w:p>
            <w:pPr>
              <w:pStyle w:val="Compact"/>
              <w:jc w:val="left"/>
            </w:pPr>
            <w:r>
              <w:t xml:space="preserve">DSR integrated into backtest pipeline</w:t>
            </w:r>
          </w:p>
        </w:tc>
      </w:tr>
      <w:tr>
        <w:tc>
          <w:tcPr/>
          <w:p>
            <w:pPr>
              <w:pStyle w:val="Compact"/>
              <w:jc w:val="left"/>
            </w:pPr>
            <w:r>
              <w:rPr>
                <w:bCs/>
                <w:b/>
              </w:rPr>
              <w:t xml:space="preserve">90-Day</w:t>
            </w:r>
          </w:p>
        </w:tc>
        <w:tc>
          <w:tcPr/>
          <w:p>
            <w:pPr>
              <w:pStyle w:val="Compact"/>
              <w:jc w:val="left"/>
            </w:pPr>
            <w:r>
              <w:t xml:space="preserve">n ≥ 200 gate: minimum observations before live deployment</w:t>
            </w:r>
          </w:p>
        </w:tc>
        <w:tc>
          <w:tcPr/>
          <w:p>
            <w:pPr>
              <w:pStyle w:val="Compact"/>
              <w:jc w:val="left"/>
            </w:pPr>
            <w:r>
              <w:t xml:space="preserve">Strategy</w:t>
            </w:r>
          </w:p>
        </w:tc>
        <w:tc>
          <w:tcPr/>
          <w:p>
            <w:pPr>
              <w:pStyle w:val="Compact"/>
              <w:jc w:val="left"/>
            </w:pPr>
            <w:r>
              <w:t xml:space="preserve">n &lt; 200 strategies moved to</w:t>
            </w:r>
            <w:r>
              <w:t xml:space="preserve"> </w:t>
            </w:r>
            <w:r>
              <w:t xml:space="preserve">“</w:t>
            </w:r>
            <w:r>
              <w:t xml:space="preserve">pilot</w:t>
            </w:r>
            <w:r>
              <w:t xml:space="preserve">”</w:t>
            </w:r>
            <w:r>
              <w:t xml:space="preserve"> </w:t>
            </w:r>
            <w:r>
              <w:t xml:space="preserve">status</w:t>
            </w:r>
          </w:p>
        </w:tc>
      </w:tr>
      <w:tr>
        <w:tc>
          <w:tcPr/>
          <w:p>
            <w:pPr>
              <w:pStyle w:val="Compact"/>
              <w:jc w:val="left"/>
            </w:pPr>
            <w:r>
              <w:rPr>
                <w:bCs/>
                <w:b/>
              </w:rPr>
              <w:t xml:space="preserve">90-Day</w:t>
            </w:r>
          </w:p>
        </w:tc>
        <w:tc>
          <w:tcPr/>
          <w:p>
            <w:pPr>
              <w:pStyle w:val="Compact"/>
              <w:jc w:val="left"/>
            </w:pPr>
            <w:r>
              <w:t xml:space="preserve">Transaction cost integration: all backtests include slippage + commission</w:t>
            </w:r>
            <w:r>
              <w:t xml:space="preserve"> </w:t>
            </w:r>
            <w:r>
              <w:rPr>
                <w:vertAlign w:val="superscript"/>
              </w:rPr>
              <w:t xml:space="preserve">5</w:t>
            </w:r>
          </w:p>
        </w:tc>
        <w:tc>
          <w:tcPr/>
          <w:p>
            <w:pPr>
              <w:pStyle w:val="Compact"/>
              <w:jc w:val="left"/>
            </w:pPr>
            <w:r>
              <w:t xml:space="preserve">Quant Research</w:t>
            </w:r>
          </w:p>
        </w:tc>
        <w:tc>
          <w:tcPr/>
          <w:p>
            <w:pPr>
              <w:pStyle w:val="Compact"/>
              <w:jc w:val="left"/>
            </w:pPr>
            <w:r>
              <w:t xml:space="preserve">Assumptions: $0.005/share equity, 5bps forex, 10bps crypto</w:t>
            </w:r>
          </w:p>
        </w:tc>
      </w:tr>
      <w:tr>
        <w:tc>
          <w:tcPr/>
          <w:p>
            <w:pPr>
              <w:pStyle w:val="Compact"/>
              <w:jc w:val="left"/>
            </w:pPr>
            <w:r>
              <w:rPr>
                <w:bCs/>
                <w:b/>
              </w:rPr>
              <w:t xml:space="preserve">90-Day</w:t>
            </w:r>
          </w:p>
        </w:tc>
        <w:tc>
          <w:tcPr/>
          <w:p>
            <w:pPr>
              <w:pStyle w:val="Compact"/>
              <w:jc w:val="left"/>
            </w:pPr>
            <w:r>
              <w:t xml:space="preserve">Single SOT enforcement: one resolver, one scoring pipeline</w:t>
            </w:r>
          </w:p>
        </w:tc>
        <w:tc>
          <w:tcPr/>
          <w:p>
            <w:pPr>
              <w:pStyle w:val="Compact"/>
              <w:jc w:val="left"/>
            </w:pPr>
            <w:r>
              <w:t xml:space="preserve">Engineering+QA</w:t>
            </w:r>
          </w:p>
        </w:tc>
        <w:tc>
          <w:tcPr/>
          <w:p>
            <w:pPr>
              <w:pStyle w:val="Compact"/>
              <w:jc w:val="left"/>
            </w:pPr>
            <w:r>
              <w:t xml:space="preserve">Zero duplicate critical files</w:t>
            </w:r>
          </w:p>
        </w:tc>
      </w:tr>
      <w:tr>
        <w:tc>
          <w:tcPr/>
          <w:p>
            <w:pPr>
              <w:pStyle w:val="Compact"/>
              <w:jc w:val="left"/>
            </w:pPr>
            <w:r>
              <w:rPr>
                <w:bCs/>
                <w:b/>
              </w:rPr>
              <w:t xml:space="preserve">90-Day</w:t>
            </w:r>
          </w:p>
        </w:tc>
        <w:tc>
          <w:tcPr/>
          <w:p>
            <w:pPr>
              <w:pStyle w:val="Compact"/>
              <w:jc w:val="left"/>
            </w:pPr>
            <w:r>
              <w:t xml:space="preserve">Correlation guard: cap correlated strategy exposure</w:t>
            </w:r>
            <w:r>
              <w:t xml:space="preserve"> </w:t>
            </w:r>
            <w:r>
              <w:rPr>
                <w:vertAlign w:val="superscript"/>
              </w:rPr>
              <w:t xml:space="preserve">7</w:t>
            </w:r>
          </w:p>
        </w:tc>
        <w:tc>
          <w:tcPr/>
          <w:p>
            <w:pPr>
              <w:pStyle w:val="Compact"/>
              <w:jc w:val="left"/>
            </w:pPr>
            <w:r>
              <w:t xml:space="preserve">Risk</w:t>
            </w:r>
          </w:p>
        </w:tc>
        <w:tc>
          <w:tcPr/>
          <w:p>
            <w:pPr>
              <w:pStyle w:val="Compact"/>
              <w:jc w:val="left"/>
            </w:pPr>
            <w:r>
              <w:t xml:space="preserve">Max pairwise ρ = 0.70 enforced</w:t>
            </w:r>
          </w:p>
        </w:tc>
      </w:tr>
    </w:tbl>
    <w:p>
      <w:pPr>
        <w:pStyle w:val="BodyText"/>
      </w:pPr>
      <w:r>
        <w:t xml:space="preserve">The weekly actions are non-discretionary. The R:R constraint is the highest-impact change: it requires no model retraining or capital investment, only a filter adjustment. The cta_commodity_momentum_term ban is equally urgent — at PF 0.02, continued exposure is mathematically equivalent to controlled capital destruction</w:t>
      </w:r>
      <w:r>
        <w:t xml:space="preserve"> </w:t>
      </w:r>
      <w:r>
        <w:rPr>
          <w:vertAlign w:val="superscript"/>
        </w:rPr>
        <w:t xml:space="preserve">6</w:t>
      </w:r>
      <w:r>
        <w:t xml:space="preserve">. The HTML bug, while cosmetic, undermines confidence on the platform’s highest-quality tab</w:t>
      </w:r>
      <w:r>
        <w:t xml:space="preserve"> </w:t>
      </w:r>
      <w:r>
        <w:rPr>
          <w:vertAlign w:val="superscript"/>
        </w:rPr>
        <w:t xml:space="preserve">11</w:t>
      </w:r>
      <w:r>
        <w:t xml:space="preserve">.</w:t>
      </w:r>
    </w:p>
    <w:p>
      <w:pPr>
        <w:pStyle w:val="BodyText"/>
      </w:pPr>
      <w:r>
        <w:t xml:space="preserve">The 30-day actions address governance. The score rebalance removes 20 points from regime_bonus (r = −0.115, anti-predictive) while increasing trust_score weight</w:t>
      </w:r>
      <w:r>
        <w:t xml:space="preserve"> </w:t>
      </w:r>
      <w:r>
        <w:rPr>
          <w:vertAlign w:val="superscript"/>
        </w:rPr>
        <w:t xml:space="preserve">2</w:t>
      </w:r>
      <w:r>
        <w:t xml:space="preserve">. The outcome_resolver consolidation resolves version drift across five copies of a critical file</w:t>
      </w:r>
      <w:r>
        <w:t xml:space="preserve"> </w:t>
      </w:r>
      <w:r>
        <w:rPr>
          <w:vertAlign w:val="superscript"/>
        </w:rPr>
        <w:t xml:space="preserve">12</w:t>
      </w:r>
      <w:r>
        <w:t xml:space="preserve">. Kill switch gaps — daily loss limit, consecutive loss halt, volatility circuit breaker — are standard at retail quantitative platforms; their absence signals bottom-quartile risk maturity</w:t>
      </w:r>
      <w:r>
        <w:t xml:space="preserve"> </w:t>
      </w:r>
      <w:r>
        <w:rPr>
          <w:vertAlign w:val="superscript"/>
        </w:rPr>
        <w:t xml:space="preserve">7</w:t>
      </w:r>
      <w:r>
        <w:t xml:space="preserve">.</w:t>
      </w:r>
    </w:p>
    <w:p>
      <w:pPr>
        <w:pStyle w:val="BodyText"/>
      </w:pPr>
      <w:r>
        <w:t xml:space="preserve">The 90-day actions define the institutional MVP. Six hard gates (PSR &gt; 0.95, DSR &gt; 0.95, n ≥ 200, transaction costs, single SOT, correlation guard) represent the operational floor. Implementation cost is estimated at $1,500 over 90 days, yielding 867–5,233% ROI against capital preserved by preventing a single ruin event</w:t>
      </w:r>
      <w:r>
        <w:t xml:space="preserve"> </w:t>
      </w:r>
      <w:r>
        <w:rPr>
          <w:vertAlign w:val="superscript"/>
        </w:rPr>
        <w:t xml:space="preserve">3</w:t>
      </w:r>
      <w:r>
        <w:t xml:space="preserve">. The full 12-month transformation is budgeted at $32,400–$78,000 for ~60–70% of institutional standard</w:t>
      </w:r>
      <w:r>
        <w:t xml:space="preserve"> </w:t>
      </w:r>
      <w:r>
        <w:rPr>
          <w:vertAlign w:val="superscript"/>
        </w:rPr>
        <w:t xml:space="preserve">3</w:t>
      </w:r>
      <w:r>
        <w:t xml:space="preserve">.</w:t>
      </w:r>
    </w:p>
    <w:bookmarkEnd w:id="22"/>
    <w:bookmarkStart w:id="23" w:name="how-to-read-this-report"/>
    <w:p>
      <w:pPr>
        <w:pStyle w:val="Heading3"/>
      </w:pPr>
      <w:r>
        <w:t xml:space="preserve">1.4 How to Read This Report</w:t>
      </w:r>
    </w:p>
    <w:p>
      <w:pPr>
        <w:pStyle w:val="FirstParagraph"/>
      </w:pPr>
      <w:r>
        <w:t xml:space="preserve">This audit spans ten chapters across four analytical layers. Readers should follow the pathway matching their role.</w:t>
      </w:r>
    </w:p>
    <w:p>
      <w:pPr>
        <w:pStyle w:val="BodyText"/>
      </w:pPr>
      <w:r>
        <w:rPr>
          <w:bCs/>
          <w:b/>
        </w:rPr>
        <w:t xml:space="preserve">Technical team (Chapters 2–6, 8–9):</w:t>
      </w:r>
      <w:r>
        <w:t xml:space="preserve"> </w:t>
      </w:r>
      <w:r>
        <w:t xml:space="preserve">Engineers and quantitative researchers should begin with Chapter 2 (Asset Class Performance) for the full statistical breakdown, Chapter 3 (Scoring System Integrity) for the composite score diagnosis, Chapter 4 (UI &amp; Signal Reliability) for the front-end audit, Chapter 5 (Strategy Diagnostics) for the 11 failing strategy profiles, and Chapter 6 (Risk Infrastructure) for the Kelly framework and kill switch analysis. Chapter 8 (Codebase Health) covers the 119,598-commit repository audit and outcome_resolver duplication. Chapter 9 provides the 90-day and 12-month transformation plans with cost estimates.</w:t>
      </w:r>
    </w:p>
    <w:p>
      <w:pPr>
        <w:pStyle w:val="BodyText"/>
      </w:pPr>
      <w:r>
        <w:rPr>
          <w:bCs/>
          <w:b/>
        </w:rPr>
        <w:t xml:space="preserve">Business stakeholders (Chapters 1, 7, 9):</w:t>
      </w:r>
      <w:r>
        <w:t xml:space="preserve"> </w:t>
      </w:r>
      <w:r>
        <w:t xml:space="preserve">Executives and investors should read this chapter, then Chapter 7 (Retail User Safety) for expected returns under three behavior profiles — Disciplined (15–25%), Moderate (12–20%), and YOLO (−20% to −40%)</w:t>
      </w:r>
      <w:r>
        <w:t xml:space="preserve"> </w:t>
      </w:r>
      <w:r>
        <w:rPr>
          <w:vertAlign w:val="superscript"/>
        </w:rPr>
        <w:t xml:space="preserve">9</w:t>
      </w:r>
      <w:r>
        <w:t xml:space="preserve">. Chapter 9 frames the binary choice: remain retail-focused with narrow edge, or commit to full institutionalization over 12 months</w:t>
      </w:r>
      <w:r>
        <w:t xml:space="preserve"> </w:t>
      </w:r>
      <w:r>
        <w:rPr>
          <w:vertAlign w:val="superscript"/>
        </w:rPr>
        <w:t xml:space="preserve">3</w:t>
      </w:r>
      <w:r>
        <w:t xml:space="preserve">.</w:t>
      </w:r>
    </w:p>
    <w:p>
      <w:pPr>
        <w:pStyle w:val="BodyText"/>
      </w:pPr>
      <w:r>
        <w:rPr>
          <w:bCs/>
          <w:b/>
        </w:rPr>
        <w:t xml:space="preserve">Retail users (Chapters 7, 10):</w:t>
      </w:r>
      <w:r>
        <w:t xml:space="preserve"> </w:t>
      </w:r>
      <w:r>
        <w:t xml:space="preserve">Users seeking practical guidance should read Chapter 7 and Chapter 10 for distilled</w:t>
      </w:r>
      <w:r>
        <w:t xml:space="preserve"> </w:t>
      </w:r>
      <w:r>
        <w:t xml:space="preserve">“</w:t>
      </w:r>
      <w:r>
        <w:t xml:space="preserve">Do / Do Not</w:t>
      </w:r>
      <w:r>
        <w:t xml:space="preserve">”</w:t>
      </w:r>
      <w:r>
        <w:t xml:space="preserve"> </w:t>
      </w:r>
      <w:r>
        <w:t xml:space="preserve">lists. The actionable summary: invest only in equity picks with Verified Alpha + High Conviction + R:R 1.5–2.0, maintain 70% cash, never allocate to meme coins or penny stocks, and cap single positions at 11.8% (Quarter-Kelly)</w:t>
      </w:r>
      <w:r>
        <w:t xml:space="preserve"> </w:t>
      </w:r>
      <w:r>
        <w:rPr>
          <w:vertAlign w:val="superscript"/>
        </w:rPr>
        <w:t xml:space="preserve">9</w:t>
      </w:r>
      <w:r>
        <w:t xml:space="preserve">. Minimum recommended capital is $5,000; below this threshold, transaction costs dominate returns and an index fund is superior</w:t>
      </w:r>
      <w:r>
        <w:t xml:space="preserve"> </w:t>
      </w:r>
      <w:r>
        <w:rPr>
          <w:vertAlign w:val="superscript"/>
        </w:rPr>
        <w:t xml:space="preserve">9</w:t>
      </w:r>
      <w:r>
        <w:t xml:space="preserve">.</w:t>
      </w:r>
    </w:p>
    <w:p>
      <w:r>
        <w:pict>
          <v:rect style="width:0;height:1.5pt" o:hralign="center" o:hrstd="t" o:hr="t"/>
        </w:pict>
      </w:r>
    </w:p>
    <w:bookmarkEnd w:id="23"/>
    <w:bookmarkEnd w:id="24"/>
    <w:bookmarkStart w:id="31" w:name="edge-analysis-per-asset-class"/>
    <w:p>
      <w:pPr>
        <w:pStyle w:val="Heading2"/>
      </w:pPr>
      <w:r>
        <w:t xml:space="preserve">2. Edge Analysis Per Asset Class</w:t>
      </w:r>
    </w:p>
    <w:bookmarkStart w:id="25" w:name="the-five-gate-investability-framework"/>
    <w:p>
      <w:pPr>
        <w:pStyle w:val="Heading3"/>
      </w:pPr>
      <w:r>
        <w:t xml:space="preserve">2.1 The Five-Gate Investability Framework</w:t>
      </w:r>
    </w:p>
    <w:p>
      <w:pPr>
        <w:pStyle w:val="FirstParagraph"/>
      </w:pPr>
      <w:r>
        <w:t xml:space="preserve">Any claim that a strategy possesses</w:t>
      </w:r>
      <w:r>
        <w:t xml:space="preserve"> </w:t>
      </w:r>
      <w:r>
        <w:t xml:space="preserve">“</w:t>
      </w:r>
      <w:r>
        <w:t xml:space="preserve">edge</w:t>
      </w:r>
      <w:r>
        <w:t xml:space="preserve">”</w:t>
      </w:r>
      <w:r>
        <w:t xml:space="preserve"> </w:t>
      </w:r>
      <w:r>
        <w:t xml:space="preserve">is, in quantitative finance, a statistical hypothesis that must survive multiple independent tests. Drawing on Lopez de Prado’s sample-size standards</w:t>
      </w:r>
      <w:r>
        <w:t xml:space="preserve"> </w:t>
      </w:r>
      <w:r>
        <w:rPr>
          <w:vertAlign w:val="superscript"/>
        </w:rPr>
        <w:t xml:space="preserve">13</w:t>
      </w:r>
      <w:r>
        <w:t xml:space="preserve">, Bailey &amp; Lopez de Prado’s Deflated Sharpe Ratio framework</w:t>
      </w:r>
      <w:r>
        <w:t xml:space="preserve"> </w:t>
      </w:r>
      <w:r>
        <w:rPr>
          <w:vertAlign w:val="superscript"/>
        </w:rPr>
        <w:t xml:space="preserve">14</w:t>
      </w:r>
      <w:r>
        <w:t xml:space="preserve"> </w:t>
      </w:r>
      <w:r>
        <w:rPr>
          <w:vertAlign w:val="superscript"/>
        </w:rPr>
        <w:t xml:space="preserve">15</w:t>
      </w:r>
      <w:r>
        <w:t xml:space="preserve">, and the Jacquier et al. (2025) closed-form replication model</w:t>
      </w:r>
      <w:r>
        <w:t xml:space="preserve"> </w:t>
      </w:r>
      <w:r>
        <w:rPr>
          <w:vertAlign w:val="superscript"/>
        </w:rPr>
        <w:t xml:space="preserve">16</w:t>
      </w:r>
      <w:r>
        <w:t xml:space="preserve">, this audit evaluates every asset class through five sequential gates. A strategy must clear all five to receive an investable verdict.</w:t>
      </w:r>
    </w:p>
    <w:p>
      <w:pPr>
        <w:pStyle w:val="BodyText"/>
      </w:pPr>
      <w:r>
        <w:rPr>
          <w:bCs/>
          <w:b/>
        </w:rPr>
        <w:t xml:space="preserve">Gate 1 — Profit Factor (PF) &gt; 1.5.</w:t>
      </w:r>
      <w:r>
        <w:t xml:space="preserve"> </w:t>
      </w:r>
      <w:r>
        <w:t xml:space="preserve">PF, defined as gross profit divided by gross loss, captures the interplay of win rate and reward-to-risk in a single metric. The literature treats PF 1.0–1.2 as breakeven territory after costs, 1.2–1.5 as the minimum deployable threshold, and above 1.5 as strong edge</w:t>
      </w:r>
      <w:r>
        <w:t xml:space="preserve"> </w:t>
      </w:r>
      <w:r>
        <w:rPr>
          <w:vertAlign w:val="superscript"/>
        </w:rPr>
        <w:t xml:space="preserve">17</w:t>
      </w:r>
      <w:r>
        <w:t xml:space="preserve">. Gate 1 is set at 1.5 rather than the more lenient 1.2 to compensate for the 10–20% degradation that backtested results typically suffer in live markets due to slippage, commissions, and execution variance</w:t>
      </w:r>
      <w:r>
        <w:t xml:space="preserve"> </w:t>
      </w:r>
      <w:r>
        <w:rPr>
          <w:vertAlign w:val="superscript"/>
        </w:rPr>
        <w:t xml:space="preserve">18</w:t>
      </w:r>
      <w:r>
        <w:t xml:space="preserve">.</w:t>
      </w:r>
    </w:p>
    <w:p>
      <w:pPr>
        <w:pStyle w:val="BodyText"/>
      </w:pPr>
      <w:r>
        <w:rPr>
          <w:bCs/>
          <w:b/>
        </w:rPr>
        <w:t xml:space="preserve">Gate 2 — Win Rate (WR) &gt; 50%.</w:t>
      </w:r>
      <w:r>
        <w:t xml:space="preserve"> </w:t>
      </w:r>
      <w:r>
        <w:t xml:space="preserve">While a sub-50% WR can be profitable with sufficiently high R:R, the psychological and practical challenges of sustained losing streaks—elevated risk of ruin, discipline erosion, and capacity constraints—make 50% a pragmatic floor for any strategy intended for scalable deployment</w:t>
      </w:r>
      <w:r>
        <w:t xml:space="preserve"> </w:t>
      </w:r>
      <w:r>
        <w:rPr>
          <w:vertAlign w:val="superscript"/>
        </w:rPr>
        <w:t xml:space="preserve">19</w:t>
      </w:r>
      <w:r>
        <w:t xml:space="preserve">.</w:t>
      </w:r>
    </w:p>
    <w:p>
      <w:pPr>
        <w:pStyle w:val="BodyText"/>
      </w:pPr>
      <w:r>
        <w:rPr>
          <w:bCs/>
          <w:b/>
        </w:rPr>
        <w:t xml:space="preserve">Gate 3 — Out-of-Sample (OOS) Sharpe &gt; 0.</w:t>
      </w:r>
      <w:r>
        <w:t xml:space="preserve"> </w:t>
      </w:r>
      <w:r>
        <w:t xml:space="preserve">This is the decisive gate. A strategy with positive in-sample (IS) metrics but negative OOS Sharpe is, by definition, overfitted: it captured noise during training and fails on unseen data. Jacquier, Muhle-Karbe, and Mulligan (2025) demonstrate that the replication ratio—OOS Sharpe divided by IS Sharpe—increases with training-set size and true signal strength, but collapses when model complexity rises or the underlying edge is weak</w:t>
      </w:r>
      <w:r>
        <w:t xml:space="preserve"> </w:t>
      </w:r>
      <w:r>
        <w:rPr>
          <w:vertAlign w:val="superscript"/>
        </w:rPr>
        <w:t xml:space="preserve">16</w:t>
      </w:r>
      <w:r>
        <w:t xml:space="preserve">. Negative OOS Sharpe is prima facie evidence of curve-fitting.</w:t>
      </w:r>
    </w:p>
    <w:p>
      <w:pPr>
        <w:pStyle w:val="BodyText"/>
      </w:pPr>
      <w:r>
        <w:rPr>
          <w:bCs/>
          <w:b/>
        </w:rPr>
        <w:t xml:space="preserve">Gate 4 — Sample Size n ≥ 100.</w:t>
      </w:r>
      <w:r>
        <w:t xml:space="preserve"> </w:t>
      </w:r>
      <w:r>
        <w:t xml:space="preserve">The Central Limit theorem establishes ~30 observations as the absolute floor for statistical inference</w:t>
      </w:r>
      <w:r>
        <w:t xml:space="preserve"> </w:t>
      </w:r>
      <w:r>
        <w:rPr>
          <w:vertAlign w:val="superscript"/>
        </w:rPr>
        <w:t xml:space="preserve">13</w:t>
      </w:r>
      <w:r>
        <w:t xml:space="preserve">, yet trading strategy validation demands substantially more. Industry convention holds that 100 trades provide basic reliability, while 200–500 approach institutional grade</w:t>
      </w:r>
      <w:r>
        <w:t xml:space="preserve"> </w:t>
      </w:r>
      <w:r>
        <w:rPr>
          <w:vertAlign w:val="superscript"/>
        </w:rPr>
        <w:t xml:space="preserve">13</w:t>
      </w:r>
      <w:r>
        <w:t xml:space="preserve">. Strategies with n &lt; 100 lack the statistical power to distinguish edge from random fluctuation.</w:t>
      </w:r>
    </w:p>
    <w:p>
      <w:pPr>
        <w:pStyle w:val="BodyText"/>
      </w:pPr>
      <w:r>
        <w:rPr>
          <w:bCs/>
          <w:b/>
        </w:rPr>
        <w:t xml:space="preserve">Gate 5 — Positive Quarter-Kelly Fraction.</w:t>
      </w:r>
      <w:r>
        <w:t xml:space="preserve"> </w:t>
      </w:r>
      <w:r>
        <w:t xml:space="preserve">Even a strategy that passes Gates 1–4 can warrant zero allocation if Kelly-optimal sizing turns negative. The Quarter-Kelly fraction must exceed zero for any capital deployment to be mathematically justified</w:t>
      </w:r>
      <w:r>
        <w:t xml:space="preserve"> </w:t>
      </w:r>
      <w:r>
        <w:rPr>
          <w:vertAlign w:val="superscript"/>
        </w:rPr>
        <w:t xml:space="preserve">20</w:t>
      </w:r>
      <w:r>
        <w:t xml:space="preserve"> </w:t>
      </w:r>
      <w:r>
        <w:rPr>
          <w:vertAlign w:val="superscript"/>
        </w:rPr>
        <w:t xml:space="preserve">21</w:t>
      </w:r>
      <w:r>
        <w:t xml:space="preserve">.</w:t>
      </w:r>
    </w:p>
    <w:p>
      <w:pPr>
        <w:pStyle w:val="BodyText"/>
      </w:pPr>
      <w:r>
        <w:rPr>
          <w:bCs/>
          <w:b/>
        </w:rPr>
        <w:t xml:space="preserve">Table 1: Five-Gate Pass/Fail Matrix</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Asset Class</w:t>
            </w:r>
          </w:p>
        </w:tc>
        <w:tc>
          <w:tcPr/>
          <w:p>
            <w:pPr>
              <w:pStyle w:val="Compact"/>
              <w:jc w:val="center"/>
            </w:pPr>
            <w:r>
              <w:t xml:space="preserve">Gate 1: PF &gt; 1.5</w:t>
            </w:r>
          </w:p>
        </w:tc>
        <w:tc>
          <w:tcPr/>
          <w:p>
            <w:pPr>
              <w:pStyle w:val="Compact"/>
              <w:jc w:val="center"/>
            </w:pPr>
            <w:r>
              <w:t xml:space="preserve">Gate 2: WR &gt; 50%</w:t>
            </w:r>
          </w:p>
        </w:tc>
        <w:tc>
          <w:tcPr/>
          <w:p>
            <w:pPr>
              <w:pStyle w:val="Compact"/>
              <w:jc w:val="center"/>
            </w:pPr>
            <w:r>
              <w:t xml:space="preserve">Gate 3: OOS Sharpe &gt; 0</w:t>
            </w:r>
          </w:p>
        </w:tc>
        <w:tc>
          <w:tcPr/>
          <w:p>
            <w:pPr>
              <w:pStyle w:val="Compact"/>
              <w:jc w:val="center"/>
            </w:pPr>
            <w:r>
              <w:t xml:space="preserve">Gate 4: n ≥ 100</w:t>
            </w:r>
          </w:p>
        </w:tc>
        <w:tc>
          <w:tcPr/>
          <w:p>
            <w:pPr>
              <w:pStyle w:val="Compact"/>
              <w:jc w:val="center"/>
            </w:pPr>
            <w:r>
              <w:t xml:space="preserve">Gate 5: Q-Kelly &gt; 0</w:t>
            </w:r>
          </w:p>
        </w:tc>
        <w:tc>
          <w:tcPr/>
          <w:p>
            <w:pPr>
              <w:pStyle w:val="Compact"/>
              <w:jc w:val="center"/>
            </w:pPr>
            <w:r>
              <w:t xml:space="preserve">Verdict</w:t>
            </w:r>
          </w:p>
        </w:tc>
      </w:tr>
      <w:tr>
        <w:tc>
          <w:tcPr/>
          <w:p>
            <w:pPr>
              <w:pStyle w:val="Compact"/>
              <w:jc w:val="left"/>
            </w:pPr>
            <w:r>
              <w:t xml:space="preserve">Equity</w:t>
            </w:r>
          </w:p>
        </w:tc>
        <w:tc>
          <w:tcPr/>
          <w:p>
            <w:pPr>
              <w:pStyle w:val="Compact"/>
              <w:jc w:val="center"/>
            </w:pPr>
            <w:r>
              <w:rPr>
                <w:bCs/>
                <w:b/>
              </w:rPr>
              <w:t xml:space="preserve">1.72</w:t>
            </w:r>
            <w:r>
              <w:t xml:space="preserve"> </w:t>
            </w:r>
            <w:r>
              <w:t xml:space="preserve">✓</w:t>
            </w:r>
          </w:p>
        </w:tc>
        <w:tc>
          <w:tcPr/>
          <w:p>
            <w:pPr>
              <w:pStyle w:val="Compact"/>
              <w:jc w:val="center"/>
            </w:pPr>
            <w:r>
              <w:rPr>
                <w:bCs/>
                <w:b/>
              </w:rPr>
              <w:t xml:space="preserve">53.1%</w:t>
            </w:r>
            <w:r>
              <w:t xml:space="preserve"> </w:t>
            </w:r>
            <w:r>
              <w:t xml:space="preserve">✓</w:t>
            </w:r>
          </w:p>
        </w:tc>
        <w:tc>
          <w:tcPr/>
          <w:p>
            <w:pPr>
              <w:pStyle w:val="Compact"/>
              <w:jc w:val="center"/>
            </w:pPr>
            <w:r>
              <w:rPr>
                <w:bCs/>
                <w:b/>
              </w:rPr>
              <w:t xml:space="preserve">+3.527</w:t>
            </w:r>
            <w:r>
              <w:t xml:space="preserve"> </w:t>
            </w:r>
            <w:r>
              <w:t xml:space="preserve">✓</w:t>
            </w:r>
          </w:p>
        </w:tc>
        <w:tc>
          <w:tcPr/>
          <w:p>
            <w:pPr>
              <w:pStyle w:val="Compact"/>
              <w:jc w:val="center"/>
            </w:pPr>
            <w:r>
              <w:t xml:space="preserve">136 ✓</w:t>
            </w:r>
          </w:p>
        </w:tc>
        <w:tc>
          <w:tcPr/>
          <w:p>
            <w:pPr>
              <w:pStyle w:val="Compact"/>
              <w:jc w:val="center"/>
            </w:pPr>
            <w:r>
              <w:t xml:space="preserve">+5.3% ✓</w:t>
            </w:r>
          </w:p>
        </w:tc>
        <w:tc>
          <w:tcPr/>
          <w:p>
            <w:pPr>
              <w:pStyle w:val="Compact"/>
              <w:jc w:val="center"/>
            </w:pPr>
            <w:r>
              <w:rPr>
                <w:bCs/>
                <w:b/>
              </w:rPr>
              <w:t xml:space="preserve">SAFE</w:t>
            </w:r>
          </w:p>
        </w:tc>
      </w:tr>
      <w:tr>
        <w:tc>
          <w:tcPr/>
          <w:p>
            <w:pPr>
              <w:pStyle w:val="Compact"/>
              <w:jc w:val="left"/>
            </w:pPr>
            <w:r>
              <w:t xml:space="preserve">ETF</w:t>
            </w:r>
          </w:p>
        </w:tc>
        <w:tc>
          <w:tcPr/>
          <w:p>
            <w:pPr>
              <w:pStyle w:val="Compact"/>
              <w:jc w:val="center"/>
            </w:pPr>
            <w:r>
              <w:t xml:space="preserve">1.32 ✗</w:t>
            </w:r>
          </w:p>
        </w:tc>
        <w:tc>
          <w:tcPr/>
          <w:p>
            <w:pPr>
              <w:pStyle w:val="Compact"/>
              <w:jc w:val="center"/>
            </w:pPr>
            <w:r>
              <w:rPr>
                <w:bCs/>
                <w:b/>
              </w:rPr>
              <w:t xml:space="preserve">52.9%</w:t>
            </w:r>
            <w:r>
              <w:t xml:space="preserve"> </w:t>
            </w:r>
            <w:r>
              <w:t xml:space="preserve">✓</w:t>
            </w:r>
          </w:p>
        </w:tc>
        <w:tc>
          <w:tcPr/>
          <w:p>
            <w:pPr>
              <w:pStyle w:val="Compact"/>
              <w:jc w:val="center"/>
            </w:pPr>
            <w:r>
              <w:t xml:space="preserve">+6.368* ✓</w:t>
            </w:r>
          </w:p>
        </w:tc>
        <w:tc>
          <w:tcPr/>
          <w:p>
            <w:pPr>
              <w:pStyle w:val="Compact"/>
              <w:jc w:val="center"/>
            </w:pPr>
            <w:r>
              <w:t xml:space="preserve">45 ✗</w:t>
            </w:r>
          </w:p>
        </w:tc>
        <w:tc>
          <w:tcPr/>
          <w:p>
            <w:pPr>
              <w:pStyle w:val="Compact"/>
              <w:jc w:val="center"/>
            </w:pPr>
            <w:r>
              <w:t xml:space="preserve">+2.9% ✓</w:t>
            </w:r>
          </w:p>
        </w:tc>
        <w:tc>
          <w:tcPr/>
          <w:p>
            <w:pPr>
              <w:pStyle w:val="Compact"/>
              <w:jc w:val="center"/>
            </w:pPr>
            <w:r>
              <w:rPr>
                <w:bCs/>
                <w:b/>
              </w:rPr>
              <w:t xml:space="preserve">CAUTION</w:t>
            </w:r>
          </w:p>
        </w:tc>
      </w:tr>
      <w:tr>
        <w:tc>
          <w:tcPr/>
          <w:p>
            <w:pPr>
              <w:pStyle w:val="Compact"/>
              <w:jc w:val="left"/>
            </w:pPr>
            <w:r>
              <w:t xml:space="preserve">Crypto B-Tier</w:t>
            </w:r>
          </w:p>
        </w:tc>
        <w:tc>
          <w:tcPr/>
          <w:p>
            <w:pPr>
              <w:pStyle w:val="Compact"/>
              <w:jc w:val="center"/>
            </w:pPr>
            <w:r>
              <w:t xml:space="preserve">1.28 ✗</w:t>
            </w:r>
          </w:p>
        </w:tc>
        <w:tc>
          <w:tcPr/>
          <w:p>
            <w:pPr>
              <w:pStyle w:val="Compact"/>
              <w:jc w:val="center"/>
            </w:pPr>
            <w:r>
              <w:t xml:space="preserve">45.0% ✗</w:t>
            </w:r>
          </w:p>
        </w:tc>
        <w:tc>
          <w:tcPr/>
          <w:p>
            <w:pPr>
              <w:pStyle w:val="Compact"/>
              <w:jc w:val="center"/>
            </w:pPr>
            <w:r>
              <w:t xml:space="preserve">−0.242 ✗</w:t>
            </w:r>
          </w:p>
        </w:tc>
        <w:tc>
          <w:tcPr/>
          <w:p>
            <w:pPr>
              <w:pStyle w:val="Compact"/>
              <w:jc w:val="center"/>
            </w:pPr>
            <w:r>
              <w:rPr>
                <w:bCs/>
                <w:b/>
              </w:rPr>
              <w:t xml:space="preserve">940</w:t>
            </w:r>
            <w:r>
              <w:t xml:space="preserve"> </w:t>
            </w:r>
            <w:r>
              <w:t xml:space="preserve">✓</w:t>
            </w:r>
          </w:p>
        </w:tc>
        <w:tc>
          <w:tcPr/>
          <w:p>
            <w:pPr>
              <w:pStyle w:val="Compact"/>
              <w:jc w:val="center"/>
            </w:pPr>
            <w:r>
              <w:t xml:space="preserve">+2.4% ✓</w:t>
            </w:r>
          </w:p>
        </w:tc>
        <w:tc>
          <w:tcPr/>
          <w:p>
            <w:pPr>
              <w:pStyle w:val="Compact"/>
              <w:jc w:val="center"/>
            </w:pPr>
            <w:r>
              <w:rPr>
                <w:bCs/>
                <w:b/>
              </w:rPr>
              <w:t xml:space="preserve">CAUTION</w:t>
            </w:r>
          </w:p>
        </w:tc>
      </w:tr>
      <w:tr>
        <w:tc>
          <w:tcPr/>
          <w:p>
            <w:pPr>
              <w:pStyle w:val="Compact"/>
              <w:jc w:val="left"/>
            </w:pPr>
            <w:r>
              <w:t xml:space="preserve">Crypto A-Tier</w:t>
            </w:r>
          </w:p>
        </w:tc>
        <w:tc>
          <w:tcPr/>
          <w:p>
            <w:pPr>
              <w:pStyle w:val="Compact"/>
              <w:jc w:val="center"/>
            </w:pPr>
            <w:r>
              <w:t xml:space="preserve">1.58 ✓</w:t>
            </w:r>
          </w:p>
        </w:tc>
        <w:tc>
          <w:tcPr/>
          <w:p>
            <w:pPr>
              <w:pStyle w:val="Compact"/>
              <w:jc w:val="center"/>
            </w:pPr>
            <w:r>
              <w:t xml:space="preserve">42.4% ✗</w:t>
            </w:r>
          </w:p>
        </w:tc>
        <w:tc>
          <w:tcPr/>
          <w:p>
            <w:pPr>
              <w:pStyle w:val="Compact"/>
              <w:jc w:val="center"/>
            </w:pPr>
            <w:r>
              <w:t xml:space="preserve">−0.242 ✗</w:t>
            </w:r>
          </w:p>
        </w:tc>
        <w:tc>
          <w:tcPr/>
          <w:p>
            <w:pPr>
              <w:pStyle w:val="Compact"/>
              <w:jc w:val="center"/>
            </w:pPr>
            <w:r>
              <w:t xml:space="preserve">304 ✓</w:t>
            </w:r>
          </w:p>
        </w:tc>
        <w:tc>
          <w:tcPr/>
          <w:p>
            <w:pPr>
              <w:pStyle w:val="Compact"/>
              <w:jc w:val="center"/>
            </w:pPr>
            <w:r>
              <w:t xml:space="preserve">+4.3% ✓</w:t>
            </w:r>
          </w:p>
        </w:tc>
        <w:tc>
          <w:tcPr/>
          <w:p>
            <w:pPr>
              <w:pStyle w:val="Compact"/>
              <w:jc w:val="center"/>
            </w:pPr>
            <w:r>
              <w:rPr>
                <w:bCs/>
                <w:b/>
              </w:rPr>
              <w:t xml:space="preserve">CAUTION</w:t>
            </w:r>
          </w:p>
        </w:tc>
      </w:tr>
      <w:tr>
        <w:tc>
          <w:tcPr/>
          <w:p>
            <w:pPr>
              <w:pStyle w:val="Compact"/>
              <w:jc w:val="left"/>
            </w:pPr>
            <w:r>
              <w:t xml:space="preserve">Bond</w:t>
            </w:r>
          </w:p>
        </w:tc>
        <w:tc>
          <w:tcPr/>
          <w:p>
            <w:pPr>
              <w:pStyle w:val="Compact"/>
              <w:jc w:val="center"/>
            </w:pPr>
            <w:r>
              <w:rPr>
                <w:bCs/>
                <w:b/>
              </w:rPr>
              <w:t xml:space="preserve">1.72</w:t>
            </w:r>
            <w:r>
              <w:t xml:space="preserve"> </w:t>
            </w:r>
            <w:r>
              <w:t xml:space="preserve">✓</w:t>
            </w:r>
          </w:p>
        </w:tc>
        <w:tc>
          <w:tcPr/>
          <w:p>
            <w:pPr>
              <w:pStyle w:val="Compact"/>
              <w:jc w:val="center"/>
            </w:pPr>
            <w:r>
              <w:t xml:space="preserve">50.0% ✓</w:t>
            </w:r>
          </w:p>
        </w:tc>
        <w:tc>
          <w:tcPr/>
          <w:p>
            <w:pPr>
              <w:pStyle w:val="Compact"/>
              <w:jc w:val="center"/>
            </w:pPr>
            <w:r>
              <w:t xml:space="preserve">N/A</w:t>
            </w:r>
          </w:p>
        </w:tc>
        <w:tc>
          <w:tcPr/>
          <w:p>
            <w:pPr>
              <w:pStyle w:val="Compact"/>
              <w:jc w:val="center"/>
            </w:pPr>
            <w:r>
              <w:t xml:space="preserve">20 ✗</w:t>
            </w:r>
          </w:p>
        </w:tc>
        <w:tc>
          <w:tcPr/>
          <w:p>
            <w:pPr>
              <w:pStyle w:val="Compact"/>
              <w:jc w:val="center"/>
            </w:pPr>
            <w:r>
              <w:t xml:space="preserve">+6.0% ✓</w:t>
            </w:r>
          </w:p>
        </w:tc>
        <w:tc>
          <w:tcPr/>
          <w:p>
            <w:pPr>
              <w:pStyle w:val="Compact"/>
              <w:jc w:val="center"/>
            </w:pPr>
            <w:r>
              <w:rPr>
                <w:bCs/>
                <w:b/>
              </w:rPr>
              <w:t xml:space="preserve">CAUTION</w:t>
            </w:r>
          </w:p>
        </w:tc>
      </w:tr>
      <w:tr>
        <w:tc>
          <w:tcPr/>
          <w:p>
            <w:pPr>
              <w:pStyle w:val="Compact"/>
              <w:jc w:val="left"/>
            </w:pPr>
            <w:r>
              <w:t xml:space="preserve">Forex</w:t>
            </w:r>
          </w:p>
        </w:tc>
        <w:tc>
          <w:tcPr/>
          <w:p>
            <w:pPr>
              <w:pStyle w:val="Compact"/>
              <w:jc w:val="center"/>
            </w:pPr>
            <w:r>
              <w:t xml:space="preserve">1.41 ✗</w:t>
            </w:r>
          </w:p>
        </w:tc>
        <w:tc>
          <w:tcPr/>
          <w:p>
            <w:pPr>
              <w:pStyle w:val="Compact"/>
              <w:jc w:val="center"/>
            </w:pPr>
            <w:r>
              <w:t xml:space="preserve">21.4% ✗</w:t>
            </w:r>
          </w:p>
        </w:tc>
        <w:tc>
          <w:tcPr/>
          <w:p>
            <w:pPr>
              <w:pStyle w:val="Compact"/>
              <w:jc w:val="center"/>
            </w:pPr>
            <w:r>
              <w:rPr>
                <w:bCs/>
                <w:b/>
              </w:rPr>
              <w:t xml:space="preserve">−1.406</w:t>
            </w:r>
            <w:r>
              <w:t xml:space="preserve"> </w:t>
            </w:r>
            <w:r>
              <w:t xml:space="preserve">✗</w:t>
            </w:r>
          </w:p>
        </w:tc>
        <w:tc>
          <w:tcPr/>
          <w:p>
            <w:pPr>
              <w:pStyle w:val="Compact"/>
              <w:jc w:val="center"/>
            </w:pPr>
            <w:r>
              <w:t xml:space="preserve">195 ✓</w:t>
            </w:r>
          </w:p>
        </w:tc>
        <w:tc>
          <w:tcPr/>
          <w:p>
            <w:pPr>
              <w:pStyle w:val="Compact"/>
              <w:jc w:val="center"/>
            </w:pPr>
            <w:r>
              <w:t xml:space="preserve">+3.5% ✓</w:t>
            </w:r>
          </w:p>
        </w:tc>
        <w:tc>
          <w:tcPr/>
          <w:p>
            <w:pPr>
              <w:pStyle w:val="Compact"/>
              <w:jc w:val="center"/>
            </w:pPr>
            <w:r>
              <w:rPr>
                <w:bCs/>
                <w:b/>
              </w:rPr>
              <w:t xml:space="preserve">DANGEROUS</w:t>
            </w:r>
          </w:p>
        </w:tc>
      </w:tr>
      <w:tr>
        <w:tc>
          <w:tcPr/>
          <w:p>
            <w:pPr>
              <w:pStyle w:val="Compact"/>
              <w:jc w:val="left"/>
            </w:pPr>
            <w:r>
              <w:t xml:space="preserve">Commodity</w:t>
            </w:r>
          </w:p>
        </w:tc>
        <w:tc>
          <w:tcPr/>
          <w:p>
            <w:pPr>
              <w:pStyle w:val="Compact"/>
              <w:jc w:val="center"/>
            </w:pPr>
            <w:r>
              <w:t xml:space="preserve">1.04 ✗</w:t>
            </w:r>
          </w:p>
        </w:tc>
        <w:tc>
          <w:tcPr/>
          <w:p>
            <w:pPr>
              <w:pStyle w:val="Compact"/>
              <w:jc w:val="center"/>
            </w:pPr>
            <w:r>
              <w:t xml:space="preserve">21.2% ✗</w:t>
            </w:r>
          </w:p>
        </w:tc>
        <w:tc>
          <w:tcPr/>
          <w:p>
            <w:pPr>
              <w:pStyle w:val="Compact"/>
              <w:jc w:val="center"/>
            </w:pPr>
            <w:r>
              <w:rPr>
                <w:bCs/>
                <w:b/>
              </w:rPr>
              <w:t xml:space="preserve">−2.412</w:t>
            </w:r>
            <w:r>
              <w:t xml:space="preserve"> </w:t>
            </w:r>
            <w:r>
              <w:t xml:space="preserve">✗</w:t>
            </w:r>
          </w:p>
        </w:tc>
        <w:tc>
          <w:tcPr/>
          <w:p>
            <w:pPr>
              <w:pStyle w:val="Compact"/>
              <w:jc w:val="center"/>
            </w:pPr>
            <w:r>
              <w:t xml:space="preserve">143 ✓</w:t>
            </w:r>
          </w:p>
        </w:tc>
        <w:tc>
          <w:tcPr/>
          <w:p>
            <w:pPr>
              <w:pStyle w:val="Compact"/>
              <w:jc w:val="center"/>
            </w:pPr>
            <w:r>
              <w:t xml:space="preserve">+0.4% ✓</w:t>
            </w:r>
          </w:p>
        </w:tc>
        <w:tc>
          <w:tcPr/>
          <w:p>
            <w:pPr>
              <w:pStyle w:val="Compact"/>
              <w:jc w:val="center"/>
            </w:pPr>
            <w:r>
              <w:rPr>
                <w:bCs/>
                <w:b/>
              </w:rPr>
              <w:t xml:space="preserve">DANGEROUS</w:t>
            </w:r>
          </w:p>
        </w:tc>
      </w:tr>
      <w:tr>
        <w:tc>
          <w:tcPr/>
          <w:p>
            <w:pPr>
              <w:pStyle w:val="Compact"/>
              <w:jc w:val="left"/>
            </w:pPr>
            <w:r>
              <w:t xml:space="preserve">Crypto S-Tier</w:t>
            </w:r>
          </w:p>
        </w:tc>
        <w:tc>
          <w:tcPr/>
          <w:p>
            <w:pPr>
              <w:pStyle w:val="Compact"/>
              <w:jc w:val="center"/>
            </w:pPr>
            <w:r>
              <w:rPr>
                <w:bCs/>
                <w:b/>
              </w:rPr>
              <w:t xml:space="preserve">6.80</w:t>
            </w:r>
            <w:r>
              <w:t xml:space="preserve"> </w:t>
            </w:r>
            <w:r>
              <w:t xml:space="preserve">✓</w:t>
            </w:r>
          </w:p>
        </w:tc>
        <w:tc>
          <w:tcPr/>
          <w:p>
            <w:pPr>
              <w:pStyle w:val="Compact"/>
              <w:jc w:val="center"/>
            </w:pPr>
            <w:r>
              <w:rPr>
                <w:bCs/>
                <w:b/>
              </w:rPr>
              <w:t xml:space="preserve">70.4%</w:t>
            </w:r>
            <w:r>
              <w:t xml:space="preserve"> </w:t>
            </w:r>
            <w:r>
              <w:t xml:space="preserve">✓</w:t>
            </w:r>
          </w:p>
        </w:tc>
        <w:tc>
          <w:tcPr/>
          <w:p>
            <w:pPr>
              <w:pStyle w:val="Compact"/>
              <w:jc w:val="center"/>
            </w:pPr>
            <w:r>
              <w:t xml:space="preserve">−0.242 ✗</w:t>
            </w:r>
          </w:p>
        </w:tc>
        <w:tc>
          <w:tcPr/>
          <w:p>
            <w:pPr>
              <w:pStyle w:val="Compact"/>
              <w:jc w:val="center"/>
            </w:pPr>
            <w:r>
              <w:t xml:space="preserve">27 ✗</w:t>
            </w:r>
          </w:p>
        </w:tc>
        <w:tc>
          <w:tcPr/>
          <w:p>
            <w:pPr>
              <w:pStyle w:val="Compact"/>
              <w:jc w:val="center"/>
            </w:pPr>
            <w:r>
              <w:t xml:space="preserve">+16.5% ✓</w:t>
            </w:r>
          </w:p>
        </w:tc>
        <w:tc>
          <w:tcPr/>
          <w:p>
            <w:pPr>
              <w:pStyle w:val="Compact"/>
              <w:jc w:val="center"/>
            </w:pPr>
            <w:r>
              <w:rPr>
                <w:bCs/>
                <w:b/>
              </w:rPr>
              <w:t xml:space="preserve">DANGEROUS</w:t>
            </w:r>
          </w:p>
        </w:tc>
      </w:tr>
      <w:tr>
        <w:tc>
          <w:tcPr/>
          <w:p>
            <w:pPr>
              <w:pStyle w:val="Compact"/>
              <w:jc w:val="left"/>
            </w:pPr>
            <w:r>
              <w:t xml:space="preserve">Crypto C-Tier</w:t>
            </w:r>
          </w:p>
        </w:tc>
        <w:tc>
          <w:tcPr/>
          <w:p>
            <w:pPr>
              <w:pStyle w:val="Compact"/>
              <w:jc w:val="center"/>
            </w:pPr>
            <w:r>
              <w:t xml:space="preserve">0.56 ✗</w:t>
            </w:r>
          </w:p>
        </w:tc>
        <w:tc>
          <w:tcPr/>
          <w:p>
            <w:pPr>
              <w:pStyle w:val="Compact"/>
              <w:jc w:val="center"/>
            </w:pPr>
            <w:r>
              <w:t xml:space="preserve">28.1% ✗</w:t>
            </w:r>
          </w:p>
        </w:tc>
        <w:tc>
          <w:tcPr/>
          <w:p>
            <w:pPr>
              <w:pStyle w:val="Compact"/>
              <w:jc w:val="center"/>
            </w:pPr>
            <w:r>
              <w:t xml:space="preserve">−0.242 ✗</w:t>
            </w:r>
          </w:p>
        </w:tc>
        <w:tc>
          <w:tcPr/>
          <w:p>
            <w:pPr>
              <w:pStyle w:val="Compact"/>
              <w:jc w:val="center"/>
            </w:pPr>
            <w:r>
              <w:t xml:space="preserve">224 ✓</w:t>
            </w:r>
          </w:p>
        </w:tc>
        <w:tc>
          <w:tcPr/>
          <w:p>
            <w:pPr>
              <w:pStyle w:val="Compact"/>
              <w:jc w:val="center"/>
            </w:pPr>
            <w:r>
              <w:t xml:space="preserve">−5.3% ✗</w:t>
            </w:r>
          </w:p>
        </w:tc>
        <w:tc>
          <w:tcPr/>
          <w:p>
            <w:pPr>
              <w:pStyle w:val="Compact"/>
              <w:jc w:val="center"/>
            </w:pPr>
            <w:r>
              <w:rPr>
                <w:bCs/>
                <w:b/>
              </w:rPr>
              <w:t xml:space="preserve">DANGEROUS</w:t>
            </w:r>
          </w:p>
        </w:tc>
      </w:tr>
      <w:tr>
        <w:tc>
          <w:tcPr/>
          <w:p>
            <w:pPr>
              <w:pStyle w:val="Compact"/>
              <w:jc w:val="left"/>
            </w:pPr>
            <w:r>
              <w:t xml:space="preserve">Futures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 ✗</w:t>
            </w:r>
          </w:p>
        </w:tc>
        <w:tc>
          <w:tcPr/>
          <w:p>
            <w:pPr>
              <w:pStyle w:val="Compact"/>
              <w:jc w:val="center"/>
            </w:pPr>
            <w:r>
              <w:t xml:space="preserve">N/A</w:t>
            </w:r>
          </w:p>
        </w:tc>
        <w:tc>
          <w:tcPr/>
          <w:p>
            <w:pPr>
              <w:pStyle w:val="Compact"/>
              <w:jc w:val="center"/>
            </w:pPr>
            <w:r>
              <w:rPr>
                <w:bCs/>
                <w:b/>
              </w:rPr>
              <w:t xml:space="preserve">DANGEROUS</w:t>
            </w:r>
          </w:p>
        </w:tc>
      </w:tr>
    </w:tbl>
    <w:p>
      <w:pPr>
        <w:pStyle w:val="BodyText"/>
      </w:pPr>
      <w:r>
        <w:rPr>
          <w:iCs/>
          <w:i/>
        </w:rPr>
        <w:t xml:space="preserve">ETF OOS Sharpe of 6.368 is flagged as a potential artifact due to only 12 walk-forward folds and high decay (10.8). Source: platform dashboard data, 2026-05-03; academic thresholds from</w:t>
      </w:r>
      <w:r>
        <w:rPr>
          <w:iCs/>
          <w:i/>
        </w:rPr>
        <w:t xml:space="preserve"> </w:t>
      </w:r>
      <w:r>
        <w:rPr>
          <w:vertAlign w:val="superscript"/>
          <w:iCs/>
          <w:i/>
        </w:rPr>
        <w:t xml:space="preserve">16</w:t>
      </w:r>
      <w:r>
        <w:rPr>
          <w:iCs/>
          <w:i/>
        </w:rPr>
        <w:t xml:space="preserve"> </w:t>
      </w:r>
      <w:r>
        <w:rPr>
          <w:vertAlign w:val="superscript"/>
          <w:iCs/>
          <w:i/>
        </w:rPr>
        <w:t xml:space="preserve">13</w:t>
      </w:r>
      <w:r>
        <w:rPr>
          <w:iCs/>
          <w:i/>
        </w:rPr>
        <w:t xml:space="preserve"> </w:t>
      </w:r>
      <w:r>
        <w:rPr>
          <w:vertAlign w:val="superscript"/>
          <w:iCs/>
          <w:i/>
        </w:rPr>
        <w:t xml:space="preserve">17</w:t>
      </w:r>
      <w:r>
        <w:rPr>
          <w:iCs/>
          <w:i/>
        </w:rPr>
        <w:t xml:space="preserve"> </w:t>
      </w:r>
      <w:r>
        <w:rPr>
          <w:vertAlign w:val="superscript"/>
          <w:iCs/>
          <w:i/>
        </w:rPr>
        <w:t xml:space="preserve">14</w:t>
      </w:r>
      <w:r>
        <w:rPr>
          <w:iCs/>
          <w:i/>
        </w:rPr>
        <w:t xml:space="preserve"> </w:t>
      </w:r>
      <w:r>
        <w:rPr>
          <w:vertAlign w:val="superscript"/>
          <w:iCs/>
          <w:i/>
        </w:rPr>
        <w:t xml:space="preserve">15</w:t>
      </w:r>
      <w:r>
        <w:rPr>
          <w:iCs/>
          <w:i/>
        </w:rPr>
        <w:t xml:space="preserve">.</w:t>
      </w:r>
    </w:p>
    <w:p>
      <w:pPr>
        <w:pStyle w:val="BodyText"/>
      </w:pPr>
      <w:r>
        <w:t xml:space="preserve">Only one asset class—Equity—clears all five gates. Every other asset class fails at least one criterion, and in most cases multiple. The pattern of negative OOS Sharpe across Crypto (aggregate), Forex, and Commodity is the defining signature of overfitting documented by Jacquier et al.: positive IS metrics coupled with negative OOS performance indicate that the in-sample results captured noise, not signal</w:t>
      </w:r>
      <w:r>
        <w:t xml:space="preserve"> </w:t>
      </w:r>
      <w:r>
        <w:rPr>
          <w:vertAlign w:val="superscript"/>
        </w:rPr>
        <w:t xml:space="preserve">16</w:t>
      </w:r>
      <w:r>
        <w:t xml:space="preserve">. For Forex, the replication ratio is not merely below 50%—it is negative, meaning the strategy actively loses money on unseen data. The same holds for Commodity (−2.412 OOS Sharpe) and Crypto aggregate (−0.242). The</w:t>
      </w:r>
      <w:r>
        <w:t xml:space="preserve"> </w:t>
      </w:r>
      <w:r>
        <w:t xml:space="preserve">“</w:t>
      </w:r>
      <w:r>
        <w:t xml:space="preserve">replication ratio</w:t>
      </w:r>
      <w:r>
        <w:t xml:space="preserve">”</w:t>
      </w:r>
      <w:r>
        <w:t xml:space="preserve"> </w:t>
      </w:r>
      <w:r>
        <w:t xml:space="preserve">framework from Imperial College and Qube Research &amp; Technologies</w:t>
      </w:r>
      <w:r>
        <w:t xml:space="preserve"> </w:t>
      </w:r>
      <w:r>
        <w:rPr>
          <w:vertAlign w:val="superscript"/>
        </w:rPr>
        <w:t xml:space="preserve">16</w:t>
      </w:r>
      <w:r>
        <w:t xml:space="preserve">thus provides a rigorous theoretical foundation for what the raw metrics already suggest: these strategies lack genuine predictive power.</w:t>
      </w:r>
    </w:p>
    <w:p>
      <w:r>
        <w:pict>
          <v:rect style="width:0;height:1.5pt" o:hralign="center" o:hrstd="t" o:hr="t"/>
        </w:pict>
      </w:r>
    </w:p>
    <w:bookmarkEnd w:id="25"/>
    <w:bookmarkStart w:id="26" w:name="equity-the-only-safe-asset-class"/>
    <w:p>
      <w:pPr>
        <w:pStyle w:val="Heading3"/>
      </w:pPr>
      <w:r>
        <w:t xml:space="preserve">2.2 Equity: The Only SAFE Asset Class</w:t>
      </w:r>
    </w:p>
    <w:p>
      <w:pPr>
        <w:pStyle w:val="FirstParagraph"/>
      </w:pPr>
      <w:r>
        <w:t xml:space="preserve">Equity is the single asset class on the Antigravity platform that meets every criterion for genuine statistical edge. With a Profit Factor of 1.72—solidly within the</w:t>
      </w:r>
      <w:r>
        <w:t xml:space="preserve"> </w:t>
      </w:r>
      <w:r>
        <w:t xml:space="preserve">“</w:t>
      </w:r>
      <w:r>
        <w:t xml:space="preserve">strong edge</w:t>
      </w:r>
      <w:r>
        <w:t xml:space="preserve">”</w:t>
      </w:r>
      <w:r>
        <w:t xml:space="preserve"> </w:t>
      </w:r>
      <w:r>
        <w:t xml:space="preserve">1.5–2.0 range</w:t>
      </w:r>
      <w:r>
        <w:t xml:space="preserve"> </w:t>
      </w:r>
      <w:r>
        <w:rPr>
          <w:vertAlign w:val="superscript"/>
        </w:rPr>
        <w:t xml:space="preserve">17</w:t>
      </w:r>
      <w:r>
        <w:t xml:space="preserve">—and a Win Rate of 53.1%, the strategy demonstrates that it wins more often than it loses while also winning more money per win than it loses per loss. The OOS Sharpe of +3.527 is the highest across all asset classes and comfortably exceeds the institutional threshold of +1.5 cited by Dim05 and Dim11. The sample size of 136 closed trades meets the n ≥ 100 minimum, though it remains below the 200-trade institutional-grade threshold.</w:t>
      </w:r>
    </w:p>
    <w:p>
      <w:pPr>
        <w:pStyle w:val="BodyText"/>
      </w:pPr>
      <w:r>
        <w:t xml:space="preserve">What distinguishes Equity most sharply from every other asset class is its walk-forward behavior. The platform’s 47 walk-forward folds produce an OOS Win Rate of 57.9%—meaning the strategy actually</w:t>
      </w:r>
      <w:r>
        <w:t xml:space="preserve"> </w:t>
      </w:r>
      <w:r>
        <w:rPr>
          <w:bCs/>
          <w:b/>
        </w:rPr>
        <w:t xml:space="preserve">outperforms</w:t>
      </w:r>
      <w:r>
        <w:t xml:space="preserve"> </w:t>
      </w:r>
      <w:r>
        <w:t xml:space="preserve">on unseen data relative to its in-sample rate of 53.1%. This is the antithesis of overfitting. A consistency metric of 66.0% and a worst-fold WR of 20.0% further underscore robustness: even in the most adverse fold, the strategy remains profitable. Realized PnL stands at +233.48%, providing substantial absolute confirmation that the statistical edge has translated into actual capital growth.</w:t>
      </w:r>
    </w:p>
    <w:p>
      <w:pPr>
        <w:pStyle w:val="BodyText"/>
      </w:pPr>
      <w:r>
        <w:t xml:space="preserve">The Quarter-Kelly fraction of +5.3% supports a meaningful position size without exposing the portfolio to ruin risk. Under half-Kelly sizing, Equity warrants a 25% portfolio allocation—making it the anchor position. This allocation is conservative: it reflects the reality that only one asset class has validated edge, and deploying capital beyond this concentration would mean allocating to strategies with negative or unverified OOS performance. The verdict is unambiguous:</w:t>
      </w:r>
      <w:r>
        <w:t xml:space="preserve"> </w:t>
      </w:r>
      <w:r>
        <w:rPr>
          <w:bCs/>
          <w:b/>
        </w:rPr>
        <w:t xml:space="preserve">SAFE — Scale</w:t>
      </w:r>
      <w:r>
        <w:t xml:space="preserve">.</w:t>
      </w:r>
    </w:p>
    <w:p>
      <w:r>
        <w:pict>
          <v:rect style="width:0;height:1.5pt" o:hralign="center" o:hrstd="t" o:hr="t"/>
        </w:pict>
      </w:r>
    </w:p>
    <w:bookmarkEnd w:id="26"/>
    <w:bookmarkStart w:id="27" w:name="crypto-tier-analysis"/>
    <w:p>
      <w:pPr>
        <w:pStyle w:val="Heading3"/>
      </w:pPr>
      <w:r>
        <w:t xml:space="preserve">2.3 Crypto Tier Analysis</w:t>
      </w:r>
    </w:p>
    <w:p>
      <w:pPr>
        <w:pStyle w:val="FirstParagraph"/>
      </w:pPr>
      <w:r>
        <w:t xml:space="preserve">Cryptocurrency is not a monolithic asset class on this platform. Four distinct tiers operate under different parameters, and collapsing them into a single analysis would obscure critical differences. The aggregate OOS Sharpe for all crypto tiers is −0.242—a definitive overfitting signal that means the combined crypto operation destroys value on unseen data. Yet within this aggregate, each tier tells a different story.</w:t>
      </w:r>
    </w:p>
    <w:p>
      <w:pPr>
        <w:pStyle w:val="BodyText"/>
      </w:pPr>
      <w:r>
        <w:rPr>
          <w:bCs/>
          <w:b/>
        </w:rPr>
        <w:t xml:space="preserve">Table 2: Crypto Tier Breakdown</w:t>
      </w:r>
    </w:p>
    <w:tbl>
      <w:tblPr>
        <w:tblStyle w:val="Table"/>
        <w:tblW w:type="pct" w:w="5000"/>
        <w:tblLook w:firstRow="1" w:lastRow="0" w:firstColumn="0" w:lastColumn="0" w:noHBand="0" w:noVBand="0" w:val="0020"/>
      </w:tblPr>
      <w:tblGrid>
        <w:gridCol w:w="960"/>
        <w:gridCol w:w="1200"/>
        <w:gridCol w:w="1200"/>
        <w:gridCol w:w="1200"/>
        <w:gridCol w:w="1200"/>
        <w:gridCol w:w="960"/>
        <w:gridCol w:w="1200"/>
      </w:tblGrid>
      <w:tr>
        <w:trPr>
          <w:tblHeader w:val="true"/>
        </w:trPr>
        <w:tc>
          <w:tcPr/>
          <w:p>
            <w:pPr>
              <w:pStyle w:val="Compact"/>
              <w:jc w:val="left"/>
            </w:pPr>
            <w:r>
              <w:t xml:space="preserve">Tier</w:t>
            </w:r>
          </w:p>
        </w:tc>
        <w:tc>
          <w:tcPr/>
          <w:p>
            <w:pPr>
              <w:pStyle w:val="Compact"/>
              <w:jc w:val="center"/>
            </w:pPr>
            <w:r>
              <w:t xml:space="preserve">PF</w:t>
            </w:r>
          </w:p>
        </w:tc>
        <w:tc>
          <w:tcPr/>
          <w:p>
            <w:pPr>
              <w:pStyle w:val="Compact"/>
              <w:jc w:val="center"/>
            </w:pPr>
            <w:r>
              <w:t xml:space="preserve">WR</w:t>
            </w:r>
          </w:p>
        </w:tc>
        <w:tc>
          <w:tcPr/>
          <w:p>
            <w:pPr>
              <w:pStyle w:val="Compact"/>
              <w:jc w:val="center"/>
            </w:pPr>
            <w:r>
              <w:t xml:space="preserve">n</w:t>
            </w:r>
          </w:p>
        </w:tc>
        <w:tc>
          <w:tcPr/>
          <w:p>
            <w:pPr>
              <w:pStyle w:val="Compact"/>
              <w:jc w:val="center"/>
            </w:pPr>
            <w:r>
              <w:t xml:space="preserve">OOS Sharpe</w:t>
            </w:r>
          </w:p>
        </w:tc>
        <w:tc>
          <w:tcPr/>
          <w:p>
            <w:pPr>
              <w:pStyle w:val="Compact"/>
              <w:jc w:val="left"/>
            </w:pPr>
            <w:r>
              <w:t xml:space="preserve">Key Characteristic</w:t>
            </w:r>
          </w:p>
        </w:tc>
        <w:tc>
          <w:tcPr/>
          <w:p>
            <w:pPr>
              <w:pStyle w:val="Compact"/>
              <w:jc w:val="center"/>
            </w:pPr>
            <w:r>
              <w:t xml:space="preserve">Verdict</w:t>
            </w:r>
          </w:p>
        </w:tc>
      </w:tr>
      <w:tr>
        <w:tc>
          <w:tcPr/>
          <w:p>
            <w:pPr>
              <w:pStyle w:val="Compact"/>
              <w:jc w:val="left"/>
            </w:pPr>
            <w:r>
              <w:t xml:space="preserve">S-Tier</w:t>
            </w:r>
          </w:p>
        </w:tc>
        <w:tc>
          <w:tcPr/>
          <w:p>
            <w:pPr>
              <w:pStyle w:val="Compact"/>
              <w:jc w:val="center"/>
            </w:pPr>
            <w:r>
              <w:t xml:space="preserve">6.80</w:t>
            </w:r>
          </w:p>
        </w:tc>
        <w:tc>
          <w:tcPr/>
          <w:p>
            <w:pPr>
              <w:pStyle w:val="Compact"/>
              <w:jc w:val="center"/>
            </w:pPr>
            <w:r>
              <w:t xml:space="preserve">70.4%</w:t>
            </w:r>
          </w:p>
        </w:tc>
        <w:tc>
          <w:tcPr/>
          <w:p>
            <w:pPr>
              <w:pStyle w:val="Compact"/>
              <w:jc w:val="center"/>
            </w:pPr>
            <w:r>
              <w:t xml:space="preserve">27</w:t>
            </w:r>
          </w:p>
        </w:tc>
        <w:tc>
          <w:tcPr/>
          <w:p>
            <w:pPr>
              <w:pStyle w:val="Compact"/>
              <w:jc w:val="center"/>
            </w:pPr>
            <w:r>
              <w:t xml:space="preserve">−0.242</w:t>
            </w:r>
          </w:p>
        </w:tc>
        <w:tc>
          <w:tcPr/>
          <w:p>
            <w:pPr>
              <w:pStyle w:val="Compact"/>
              <w:jc w:val="left"/>
            </w:pPr>
            <w:r>
              <w:t xml:space="preserve">Survivorship filter, n=27 statistically meaningless</w:t>
            </w:r>
          </w:p>
        </w:tc>
        <w:tc>
          <w:tcPr/>
          <w:p>
            <w:pPr>
              <w:pStyle w:val="Compact"/>
              <w:jc w:val="center"/>
            </w:pPr>
            <w:r>
              <w:t xml:space="preserve">DANGEROUS</w:t>
            </w:r>
          </w:p>
        </w:tc>
      </w:tr>
      <w:tr>
        <w:tc>
          <w:tcPr/>
          <w:p>
            <w:pPr>
              <w:pStyle w:val="Compact"/>
              <w:jc w:val="left"/>
            </w:pPr>
            <w:r>
              <w:t xml:space="preserve">A-Tier</w:t>
            </w:r>
          </w:p>
        </w:tc>
        <w:tc>
          <w:tcPr/>
          <w:p>
            <w:pPr>
              <w:pStyle w:val="Compact"/>
              <w:jc w:val="center"/>
            </w:pPr>
            <w:r>
              <w:t xml:space="preserve">1.58</w:t>
            </w:r>
          </w:p>
        </w:tc>
        <w:tc>
          <w:tcPr/>
          <w:p>
            <w:pPr>
              <w:pStyle w:val="Compact"/>
              <w:jc w:val="center"/>
            </w:pPr>
            <w:r>
              <w:t xml:space="preserve">42.4%</w:t>
            </w:r>
          </w:p>
        </w:tc>
        <w:tc>
          <w:tcPr/>
          <w:p>
            <w:pPr>
              <w:pStyle w:val="Compact"/>
              <w:jc w:val="center"/>
            </w:pPr>
            <w:r>
              <w:t xml:space="preserve">304</w:t>
            </w:r>
          </w:p>
        </w:tc>
        <w:tc>
          <w:tcPr/>
          <w:p>
            <w:pPr>
              <w:pStyle w:val="Compact"/>
              <w:jc w:val="center"/>
            </w:pPr>
            <w:r>
              <w:t xml:space="preserve">−0.242</w:t>
            </w:r>
          </w:p>
        </w:tc>
        <w:tc>
          <w:tcPr/>
          <w:p>
            <w:pPr>
              <w:pStyle w:val="Compact"/>
              <w:jc w:val="left"/>
            </w:pPr>
            <w:r>
              <w:t xml:space="preserve">Time-decay confirmed: PF 1.98 (L50) → 1.23 (L100)</w:t>
            </w:r>
          </w:p>
        </w:tc>
        <w:tc>
          <w:tcPr/>
          <w:p>
            <w:pPr>
              <w:pStyle w:val="Compact"/>
              <w:jc w:val="center"/>
            </w:pPr>
            <w:r>
              <w:t xml:space="preserve">CAUTION</w:t>
            </w:r>
          </w:p>
        </w:tc>
      </w:tr>
      <w:tr>
        <w:tc>
          <w:tcPr/>
          <w:p>
            <w:pPr>
              <w:pStyle w:val="Compact"/>
              <w:jc w:val="left"/>
            </w:pPr>
            <w:r>
              <w:t xml:space="preserve">B-Tier</w:t>
            </w:r>
          </w:p>
        </w:tc>
        <w:tc>
          <w:tcPr/>
          <w:p>
            <w:pPr>
              <w:pStyle w:val="Compact"/>
              <w:jc w:val="center"/>
            </w:pPr>
            <w:r>
              <w:t xml:space="preserve">1.28</w:t>
            </w:r>
          </w:p>
        </w:tc>
        <w:tc>
          <w:tcPr/>
          <w:p>
            <w:pPr>
              <w:pStyle w:val="Compact"/>
              <w:jc w:val="center"/>
            </w:pPr>
            <w:r>
              <w:t xml:space="preserve">45.0%</w:t>
            </w:r>
          </w:p>
        </w:tc>
        <w:tc>
          <w:tcPr/>
          <w:p>
            <w:pPr>
              <w:pStyle w:val="Compact"/>
              <w:jc w:val="center"/>
            </w:pPr>
            <w:r>
              <w:rPr>
                <w:bCs/>
                <w:b/>
              </w:rPr>
              <w:t xml:space="preserve">940</w:t>
            </w:r>
          </w:p>
        </w:tc>
        <w:tc>
          <w:tcPr/>
          <w:p>
            <w:pPr>
              <w:pStyle w:val="Compact"/>
              <w:jc w:val="center"/>
            </w:pPr>
            <w:r>
              <w:t xml:space="preserve">−0.242</w:t>
            </w:r>
          </w:p>
        </w:tc>
        <w:tc>
          <w:tcPr/>
          <w:p>
            <w:pPr>
              <w:pStyle w:val="Compact"/>
              <w:jc w:val="left"/>
            </w:pPr>
            <w:r>
              <w:t xml:space="preserve">Largest sample; marginal positive expectancy at L20</w:t>
            </w:r>
          </w:p>
        </w:tc>
        <w:tc>
          <w:tcPr/>
          <w:p>
            <w:pPr>
              <w:pStyle w:val="Compact"/>
              <w:jc w:val="center"/>
            </w:pPr>
            <w:r>
              <w:t xml:space="preserve">CAUTION</w:t>
            </w:r>
          </w:p>
        </w:tc>
      </w:tr>
      <w:tr>
        <w:tc>
          <w:tcPr/>
          <w:p>
            <w:pPr>
              <w:pStyle w:val="Compact"/>
              <w:jc w:val="left"/>
            </w:pPr>
            <w:r>
              <w:t xml:space="preserve">C-Tier</w:t>
            </w:r>
          </w:p>
        </w:tc>
        <w:tc>
          <w:tcPr/>
          <w:p>
            <w:pPr>
              <w:pStyle w:val="Compact"/>
              <w:jc w:val="center"/>
            </w:pPr>
            <w:r>
              <w:t xml:space="preserve">0.56</w:t>
            </w:r>
          </w:p>
        </w:tc>
        <w:tc>
          <w:tcPr/>
          <w:p>
            <w:pPr>
              <w:pStyle w:val="Compact"/>
              <w:jc w:val="center"/>
            </w:pPr>
            <w:r>
              <w:t xml:space="preserve">28.1%</w:t>
            </w:r>
          </w:p>
        </w:tc>
        <w:tc>
          <w:tcPr/>
          <w:p>
            <w:pPr>
              <w:pStyle w:val="Compact"/>
              <w:jc w:val="center"/>
            </w:pPr>
            <w:r>
              <w:t xml:space="preserve">224</w:t>
            </w:r>
          </w:p>
        </w:tc>
        <w:tc>
          <w:tcPr/>
          <w:p>
            <w:pPr>
              <w:pStyle w:val="Compact"/>
              <w:jc w:val="center"/>
            </w:pPr>
            <w:r>
              <w:t xml:space="preserve">−0.242</w:t>
            </w:r>
          </w:p>
        </w:tc>
        <w:tc>
          <w:tcPr/>
          <w:p>
            <w:pPr>
              <w:pStyle w:val="Compact"/>
              <w:jc w:val="left"/>
            </w:pPr>
            <w:r>
              <w:t xml:space="preserve">Active capital destruction; PF below 1.0</w:t>
            </w:r>
          </w:p>
        </w:tc>
        <w:tc>
          <w:tcPr/>
          <w:p>
            <w:pPr>
              <w:pStyle w:val="Compact"/>
              <w:jc w:val="center"/>
            </w:pPr>
            <w:r>
              <w:t xml:space="preserve">DANGEROUS</w:t>
            </w:r>
          </w:p>
        </w:tc>
      </w:tr>
      <w:tr>
        <w:tc>
          <w:tcPr/>
          <w:p>
            <w:pPr>
              <w:pStyle w:val="Compact"/>
              <w:jc w:val="left"/>
            </w:pPr>
            <w:r>
              <w:rPr>
                <w:bCs/>
                <w:b/>
              </w:rPr>
              <w:t xml:space="preserve">Aggregate</w:t>
            </w:r>
          </w:p>
        </w:tc>
        <w:tc>
          <w:tcPr/>
          <w:p>
            <w:pPr>
              <w:pStyle w:val="Compact"/>
              <w:jc w:val="center"/>
            </w:pPr>
            <w:r>
              <w:t xml:space="preserve">—</w:t>
            </w:r>
          </w:p>
        </w:tc>
        <w:tc>
          <w:tcPr/>
          <w:p>
            <w:pPr>
              <w:pStyle w:val="Compact"/>
              <w:jc w:val="center"/>
            </w:pPr>
            <w:r>
              <w:t xml:space="preserve">43.0%</w:t>
            </w:r>
          </w:p>
        </w:tc>
        <w:tc>
          <w:tcPr/>
          <w:p>
            <w:pPr>
              <w:pStyle w:val="Compact"/>
              <w:jc w:val="center"/>
            </w:pPr>
            <w:r>
              <w:rPr>
                <w:bCs/>
                <w:b/>
              </w:rPr>
              <w:t xml:space="preserve">1,495</w:t>
            </w:r>
          </w:p>
        </w:tc>
        <w:tc>
          <w:tcPr/>
          <w:p>
            <w:pPr>
              <w:pStyle w:val="Compact"/>
              <w:jc w:val="center"/>
            </w:pPr>
            <w:r>
              <w:rPr>
                <w:bCs/>
                <w:b/>
              </w:rPr>
              <w:t xml:space="preserve">−0.242</w:t>
            </w:r>
          </w:p>
        </w:tc>
        <w:tc>
          <w:tcPr/>
          <w:p>
            <w:pPr>
              <w:pStyle w:val="Compact"/>
              <w:jc w:val="left"/>
            </w:pPr>
            <w:r>
              <w:t xml:space="preserve">Definitive overfitting across all tiers</w:t>
            </w:r>
          </w:p>
        </w:tc>
        <w:tc>
          <w:tcPr/>
          <w:p>
            <w:pPr>
              <w:pStyle w:val="Compact"/>
              <w:jc w:val="center"/>
            </w:pPr>
            <w:r>
              <w:rPr>
                <w:bCs/>
                <w:b/>
              </w:rPr>
              <w:t xml:space="preserve">DANGEROUS</w:t>
            </w:r>
          </w:p>
        </w:tc>
      </w:tr>
    </w:tbl>
    <w:p>
      <w:pPr>
        <w:pStyle w:val="BodyText"/>
      </w:pPr>
      <w:r>
        <w:rPr>
          <w:iCs/>
          <w:i/>
        </w:rPr>
        <w:t xml:space="preserve">Source: platform dashboard data, 2026-05-03. L50/L100 refer to lookback periods (last 50/100 picks). Time-decay data from FOOLPROOF_ACTION_PLAN</w:t>
      </w:r>
      <w:r>
        <w:rPr>
          <w:iCs/>
          <w:i/>
        </w:rPr>
        <w:t xml:space="preserve"> </w:t>
      </w:r>
      <w:r>
        <w:rPr>
          <w:vertAlign w:val="superscript"/>
          <w:iCs/>
          <w:i/>
        </w:rPr>
        <w:t xml:space="preserve">17</w:t>
      </w:r>
      <w:r>
        <w:rPr>
          <w:iCs/>
          <w:i/>
        </w:rPr>
        <w:t xml:space="preserve">.</w:t>
      </w:r>
    </w:p>
    <w:p>
      <w:pPr>
        <w:pStyle w:val="BodyText"/>
      </w:pPr>
      <w:r>
        <w:rPr>
          <w:bCs/>
          <w:b/>
        </w:rPr>
        <w:t xml:space="preserve">S-Tier (PF 6.80, WR 70.4%, n=27):</w:t>
      </w:r>
      <w:r>
        <w:t xml:space="preserve"> </w:t>
      </w:r>
      <w:r>
        <w:t xml:space="preserve">These metrics are exceptional on their face—indeed, too exceptional. With only 27 trades, the S-Tier sample falls below even the Central Limit Theorem floor of 30 observations</w:t>
      </w:r>
      <w:r>
        <w:t xml:space="preserve"> </w:t>
      </w:r>
      <w:r>
        <w:rPr>
          <w:vertAlign w:val="superscript"/>
        </w:rPr>
        <w:t xml:space="preserve">13</w:t>
      </w:r>
      <w:r>
        <w:t xml:space="preserve">. A PF of 6.80 in a sample this small is almost certainly a hot streak, not reproducible edge. As Cryptorobot.ai notes in the context of backtesting,</w:t>
      </w:r>
      <w:r>
        <w:t xml:space="preserve"> </w:t>
      </w:r>
      <w:r>
        <w:t xml:space="preserve">“</w:t>
      </w:r>
      <w:r>
        <w:t xml:space="preserve">Profit Factor above 3.0 often signals curve fitting</w:t>
      </w:r>
      <w:r>
        <w:t xml:space="preserve">”</w:t>
      </w:r>
      <w:r>
        <w:t xml:space="preserve"> </w:t>
      </w:r>
      <w:r>
        <w:rPr>
          <w:vertAlign w:val="superscript"/>
        </w:rPr>
        <w:t xml:space="preserve">22</w:t>
      </w:r>
      <w:r>
        <w:t xml:space="preserve">. The S-Tier functions as a survivorship filter: picks that have already passed every other gate by definition look good in hindsight. This is selection bias dressed up as strategy performance. The recommended action is abandon—absorb any structural insights into B-Tier development, but do not allocate capital.</w:t>
      </w:r>
    </w:p>
    <w:p>
      <w:pPr>
        <w:pStyle w:val="BodyText"/>
      </w:pPr>
      <w:r>
        <w:rPr>
          <w:bCs/>
          <w:b/>
        </w:rPr>
        <w:t xml:space="preserve">A-Tier (PF 1.58, WR 42.4%, n=304):</w:t>
      </w:r>
      <w:r>
        <w:t xml:space="preserve"> </w:t>
      </w:r>
      <w:r>
        <w:t xml:space="preserve">The A-Tier fails Gate 2 (WR below 50%) and Gate 3 (negative OOS Sharpe). More critically, time-decay is confirmed: PF degrades from 1.98 at L50 to 1.23 at L100, approaching breakeven territory</w:t>
      </w:r>
      <w:r>
        <w:t xml:space="preserve"> </w:t>
      </w:r>
      <w:r>
        <w:rPr>
          <w:vertAlign w:val="superscript"/>
        </w:rPr>
        <w:t xml:space="preserve">17</w:t>
      </w:r>
      <w:r>
        <w:t xml:space="preserve">. This pattern—adverse selection at longer horizons where low-quality picks get caught by mean reversion—indicates that the signal loses predictive power beyond a 50-pick lookback. The trajectory is toward eventual sub-1.2 PF, at which point the tier would fail Gate 1 as well. Monitor only, with a hard halt trigger if PF drops below 1.2.</w:t>
      </w:r>
    </w:p>
    <w:p>
      <w:pPr>
        <w:pStyle w:val="BodyText"/>
      </w:pPr>
      <w:r>
        <w:rPr>
          <w:bCs/>
          <w:b/>
        </w:rPr>
        <w:t xml:space="preserve">B-Tier (PF 1.28, WR 45.0%, n=940):</w:t>
      </w:r>
      <w:r>
        <w:t xml:space="preserve"> </w:t>
      </w:r>
      <w:r>
        <w:t xml:space="preserve">The B-Tier is the workhorse of the crypto operation. Its sample size of 940 exceeds the 500-trade institutional threshold and provides genuine statistical power. PF of 1.28 sits above the 1.2 minimum deployable threshold</w:t>
      </w:r>
      <w:r>
        <w:t xml:space="preserve"> </w:t>
      </w:r>
      <w:r>
        <w:rPr>
          <w:vertAlign w:val="superscript"/>
        </w:rPr>
        <w:t xml:space="preserve">17</w:t>
      </w:r>
      <w:r>
        <w:t xml:space="preserve">, and positive expectancy at L20 confirms marginal edge. However, the negative aggregate OOS Sharpe means even this best crypto tier degrades on unseen data. The B-Tier is viable only with an R:R 1.5–2.0 overlay (see Section 2.5), which concentrates exposure in the platform’s single profitable parameter band. Without that filter, B-Tier allocation should be zero.</w:t>
      </w:r>
    </w:p>
    <w:p>
      <w:pPr>
        <w:pStyle w:val="BodyText"/>
      </w:pPr>
      <w:r>
        <w:rPr>
          <w:bCs/>
          <w:b/>
        </w:rPr>
        <w:t xml:space="preserve">C-Tier (PF 0.56, WR 28.1%, n=224):</w:t>
      </w:r>
      <w:r>
        <w:t xml:space="preserve"> </w:t>
      </w:r>
      <w:r>
        <w:t xml:space="preserve">This is a value destroyer. A PF below 1.0 means the strategy loses money on every dollar risked; at 0.56, gross losses are nearly double gross profits. The Quarter-Kelly fraction of −5.3% is deeply negative, making any allocation mathematically indefensible. The 68.5% loss rate and confirmed negative expectancy mean C-Tier trading is not merely unprofitable—it is wealth destruction. Zero allocation is mandatory.</w:t>
      </w:r>
    </w:p>
    <w:p>
      <w:r>
        <w:pict>
          <v:rect style="width:0;height:1.5pt" o:hralign="center" o:hrstd="t" o:hr="t"/>
        </w:pict>
      </w:r>
    </w:p>
    <w:bookmarkEnd w:id="27"/>
    <w:bookmarkStart w:id="28" w:name="the-broken-asset-classes"/>
    <w:p>
      <w:pPr>
        <w:pStyle w:val="Heading3"/>
      </w:pPr>
      <w:r>
        <w:t xml:space="preserve">2.4 The Broken Asset Classes</w:t>
      </w:r>
    </w:p>
    <w:p>
      <w:pPr>
        <w:pStyle w:val="FirstParagraph"/>
      </w:pPr>
      <w:r>
        <w:t xml:space="preserve">Four asset classes beyond crypto receive DANGEROUS verdicts. Their failures are structural, not cosmetic, and no amount of parameter tuning will salvage them.</w:t>
      </w:r>
    </w:p>
    <w:p>
      <w:pPr>
        <w:pStyle w:val="BodyText"/>
      </w:pPr>
      <w:r>
        <w:rPr>
          <w:bCs/>
          <w:b/>
        </w:rPr>
        <w:t xml:space="preserve">Forex (PF 0.27 post-fix, OOS Sharpe −1.406, WR 21.4%):</w:t>
      </w:r>
      <w:r>
        <w:t xml:space="preserve"> </w:t>
      </w:r>
      <w:r>
        <w:t xml:space="preserve">The 2026-04-28 resolver</w:t>
      </w:r>
      <w:r>
        <w:t xml:space="preserve"> </w:t>
      </w:r>
      <w:r>
        <w:t xml:space="preserve">“</w:t>
      </w:r>
      <w:r>
        <w:t xml:space="preserve">fix</w:t>
      </w:r>
      <w:r>
        <w:t xml:space="preserve">”</w:t>
      </w:r>
      <w:r>
        <w:t xml:space="preserve"> </w:t>
      </w:r>
      <w:r>
        <w:t xml:space="preserve">did not improve Forex—it revealed that Forex was never profitable. The pre-fix 0% WR was a measurement artifact (an infinite retry loop in</w:t>
      </w:r>
      <w:r>
        <w:t xml:space="preserve"> </w:t>
      </w:r>
      <w:r>
        <w:rPr>
          <w:rStyle w:val="VerbatimChar"/>
        </w:rPr>
        <w:t xml:space="preserve">outcome_resolver.py</w:t>
      </w:r>
      <w:r>
        <w:t xml:space="preserve"> </w:t>
      </w:r>
      <w:r>
        <w:t xml:space="preserve">that hung all trade outcomes in limbo); the post-fix PF of 0.27 represents the true performance of a broken strategy</w:t>
      </w:r>
      <w:r>
        <w:t xml:space="preserve"> </w:t>
      </w:r>
      <w:r>
        <w:rPr>
          <w:vertAlign w:val="superscript"/>
        </w:rPr>
        <w:t xml:space="preserve">23</w:t>
      </w:r>
      <w:r>
        <w:t xml:space="preserve">. This PF means the strategy loses $3.70 for every $1.00 of gross profit. The OOS Sharpe of −1.406 with n=195+ is definitive evidence of overfitting: with sufficient sample size, the failure cannot be attributed to bad luck. The classic pattern documented by AQR Capital Management—a moving average strategy whose Sharpe dropped from 1.2 in backtesting to −0.2 on new data</w:t>
      </w:r>
      <w:r>
        <w:t xml:space="preserve"> </w:t>
      </w:r>
      <w:r>
        <w:rPr>
          <w:vertAlign w:val="superscript"/>
        </w:rPr>
        <w:t xml:space="preserve">24</w:t>
      </w:r>
      <w:r>
        <w:t xml:space="preserve">—is replicated here in starker form. Six days of post-fix data are statistically inadequate (45–65 trades at ~46% WR produce a 95% confidence interval of [32%, 60%], indistinguishable from random)</w:t>
      </w:r>
      <w:r>
        <w:t xml:space="preserve"> </w:t>
      </w:r>
      <w:r>
        <w:rPr>
          <w:vertAlign w:val="superscript"/>
        </w:rPr>
        <w:t xml:space="preserve">25</w:t>
      </w:r>
      <w:r>
        <w:t xml:space="preserve">. The recommended action is</w:t>
      </w:r>
      <w:r>
        <w:t xml:space="preserve"> </w:t>
      </w:r>
      <w:r>
        <w:rPr>
          <w:bCs/>
          <w:b/>
        </w:rPr>
        <w:t xml:space="preserve">HALT</w:t>
      </w:r>
      <w:r>
        <w:t xml:space="preserve"> </w:t>
      </w:r>
      <w:r>
        <w:t xml:space="preserve">until June 1, 2026, at minimum, with any reassessment requiring 200+ post-fix trades.</w:t>
      </w:r>
    </w:p>
    <w:p>
      <w:pPr>
        <w:pStyle w:val="BodyText"/>
      </w:pPr>
      <w:r>
        <w:rPr>
          <w:bCs/>
          <w:b/>
        </w:rPr>
        <w:t xml:space="preserve">Commodity (PF 1.04, OOS Sharpe −2.412, WR 21.2%):</w:t>
      </w:r>
      <w:r>
        <w:t xml:space="preserve"> </w:t>
      </w:r>
      <w:r>
        <w:t xml:space="preserve">Commodity is the worst performer by OOS Sharpe (−2.412) across the entire platform. The in-sample PF of 1.04 sits in</w:t>
      </w:r>
      <w:r>
        <w:t xml:space="preserve"> </w:t>
      </w:r>
      <w:r>
        <w:t xml:space="preserve">“</w:t>
      </w:r>
      <w:r>
        <w:t xml:space="preserve">breakeven territory</w:t>
      </w:r>
      <w:r>
        <w:t xml:space="preserve">”</w:t>
      </w:r>
      <w:r>
        <w:t xml:space="preserve"> </w:t>
      </w:r>
      <w:r>
        <w:rPr>
          <w:vertAlign w:val="superscript"/>
        </w:rPr>
        <w:t xml:space="preserve">17</w:t>
      </w:r>
      <w:r>
        <w:t xml:space="preserve">, meaning gross profit barely exceeds gross loss; after costs, this is certainly a losing strategy. The 58% flat exit rate—more than half of all</w:t>
      </w:r>
      <w:r>
        <w:t xml:space="preserve"> </w:t>
      </w:r>
      <w:r>
        <w:t xml:space="preserve">“</w:t>
      </w:r>
      <w:r>
        <w:t xml:space="preserve">trades</w:t>
      </w:r>
      <w:r>
        <w:t xml:space="preserve">”</w:t>
      </w:r>
      <w:r>
        <w:t xml:space="preserve"> </w:t>
      </w:r>
      <w:r>
        <w:t xml:space="preserve">exit at breakeven—is a structural failure mode suggesting the strategy initiates positions then exits indiscriminately, lacking genuine conviction. The specific strategy</w:t>
      </w:r>
      <w:r>
        <w:t xml:space="preserve"> </w:t>
      </w:r>
      <w:r>
        <w:rPr>
          <w:rStyle w:val="VerbatimChar"/>
        </w:rPr>
        <w:t xml:space="preserve">cta_commodity_momentum_term</w:t>
      </w:r>
      <w:r>
        <w:t xml:space="preserve"> </w:t>
      </w:r>
      <w:r>
        <w:t xml:space="preserve">carries a PF of 0.02, which is not merely broken but farcical. Verdict:</w:t>
      </w:r>
      <w:r>
        <w:t xml:space="preserve"> </w:t>
      </w:r>
      <w:r>
        <w:rPr>
          <w:bCs/>
          <w:b/>
        </w:rPr>
        <w:t xml:space="preserve">ABANDON</w:t>
      </w:r>
      <w:r>
        <w:t xml:space="preserve">.</w:t>
      </w:r>
    </w:p>
    <w:p>
      <w:pPr>
        <w:pStyle w:val="BodyText"/>
      </w:pPr>
      <w:r>
        <w:rPr>
          <w:bCs/>
          <w:b/>
        </w:rPr>
        <w:t xml:space="preserve">Bond (PF 1.72, WR 50.0%, n=20):</w:t>
      </w:r>
      <w:r>
        <w:t xml:space="preserve"> </w:t>
      </w:r>
      <w:r>
        <w:t xml:space="preserve">Bond metrics appear strong but the sample is critically insufficient. With only 10 closed trades (18–20 total), the data sit below the CLT floor</w:t>
      </w:r>
      <w:r>
        <w:t xml:space="preserve"> </w:t>
      </w:r>
      <w:r>
        <w:rPr>
          <w:vertAlign w:val="superscript"/>
        </w:rPr>
        <w:t xml:space="preserve">13</w:t>
      </w:r>
      <w:r>
        <w:t xml:space="preserve">. The PF of 1.72 and WR of 50% are statistically meaningless—they could result from 1–2 lucky trades. No OOS Sharpe data is available. Verdict:</w:t>
      </w:r>
      <w:r>
        <w:t xml:space="preserve"> </w:t>
      </w:r>
      <w:r>
        <w:rPr>
          <w:bCs/>
          <w:b/>
        </w:rPr>
        <w:t xml:space="preserve">CAUTION — Monitor Only</w:t>
      </w:r>
      <w:r>
        <w:t xml:space="preserve">. Require 100+ trades before any confidence assignment.</w:t>
      </w:r>
    </w:p>
    <w:p>
      <w:pPr>
        <w:pStyle w:val="BodyText"/>
      </w:pPr>
      <w:r>
        <w:rPr>
          <w:bCs/>
          <w:b/>
        </w:rPr>
        <w:t xml:space="preserve">Futures (n=2):</w:t>
      </w:r>
      <w:r>
        <w:t xml:space="preserve"> </w:t>
      </w:r>
      <w:r>
        <w:t xml:space="preserve">Two trades constitute no viable dataset. Trading Futures without any backtested or live track record is equivalent to random betting. Verdict:</w:t>
      </w:r>
      <w:r>
        <w:t xml:space="preserve"> </w:t>
      </w:r>
      <w:r>
        <w:rPr>
          <w:bCs/>
          <w:b/>
        </w:rPr>
        <w:t xml:space="preserve">HALT</w:t>
      </w:r>
      <w:r>
        <w:t xml:space="preserve"> </w:t>
      </w:r>
      <w:r>
        <w:t xml:space="preserve">until a minimum viable strategy is developed with 200+ backtested trades and positive OOS Sharpe across 20+ walk-forward folds.</w:t>
      </w:r>
    </w:p>
    <w:p>
      <w:r>
        <w:pict>
          <v:rect style="width:0;height:1.5pt" o:hralign="center" o:hrstd="t" o:hr="t"/>
        </w:pict>
      </w:r>
    </w:p>
    <w:bookmarkEnd w:id="28"/>
    <w:bookmarkStart w:id="29" w:name="the-golden-finding-rr-1.52.0-band"/>
    <w:p>
      <w:pPr>
        <w:pStyle w:val="Heading3"/>
      </w:pPr>
      <w:r>
        <w:t xml:space="preserve">2.5 The Golden Finding: R:R 1.5–2.0 Band</w:t>
      </w:r>
    </w:p>
    <w:p>
      <w:pPr>
        <w:pStyle w:val="FirstParagraph"/>
      </w:pPr>
      <w:r>
        <w:t xml:space="preserve">Among the most consequential discoveries in this audit is the extreme concentration of alpha within a narrow R:R band. Platform-wide shadow data (n=253) reveal that the 1.5–2.0 R:R interval generates a PF of 5.81, a Kelly fraction of +47.2%, and an average PnL of +4.98%. Above 2.0 R:R, the picture inverts catastrophically: PF collapses to 0.35 and the average trade loses −17.88%. This is not a gradual degradation—it is a cliff.</w:t>
      </w:r>
    </w:p>
    <w:p>
      <w:pPr>
        <w:pStyle w:val="BodyText"/>
      </w:pPr>
      <w:r>
        <w:rPr>
          <w:bCs/>
          <w:b/>
        </w:rPr>
        <w:t xml:space="preserve">Table 3: Performance by R:R Band</w:t>
      </w:r>
    </w:p>
    <w:tbl>
      <w:tblPr>
        <w:tblStyle w:val="Table"/>
        <w:tblW w:type="pct" w:w="5000"/>
        <w:tblLook w:firstRow="1" w:lastRow="0" w:firstColumn="0" w:lastColumn="0" w:noHBand="0" w:noVBand="0" w:val="0020"/>
      </w:tblPr>
      <w:tblGrid>
        <w:gridCol w:w="931"/>
        <w:gridCol w:w="1164"/>
        <w:gridCol w:w="1164"/>
        <w:gridCol w:w="1164"/>
        <w:gridCol w:w="1164"/>
        <w:gridCol w:w="1164"/>
        <w:gridCol w:w="1164"/>
      </w:tblGrid>
      <w:tr>
        <w:trPr>
          <w:tblHeader w:val="true"/>
        </w:trPr>
        <w:tc>
          <w:tcPr/>
          <w:p>
            <w:pPr>
              <w:pStyle w:val="Compact"/>
              <w:jc w:val="left"/>
            </w:pPr>
            <w:r>
              <w:t xml:space="preserve">R:R Band</w:t>
            </w:r>
          </w:p>
        </w:tc>
        <w:tc>
          <w:tcPr/>
          <w:p>
            <w:pPr>
              <w:pStyle w:val="Compact"/>
              <w:jc w:val="center"/>
            </w:pPr>
            <w:r>
              <w:t xml:space="preserve">Profit Factor</w:t>
            </w:r>
          </w:p>
        </w:tc>
        <w:tc>
          <w:tcPr/>
          <w:p>
            <w:pPr>
              <w:pStyle w:val="Compact"/>
              <w:jc w:val="center"/>
            </w:pPr>
            <w:r>
              <w:t xml:space="preserve">Kelly f*</w:t>
            </w:r>
          </w:p>
        </w:tc>
        <w:tc>
          <w:tcPr/>
          <w:p>
            <w:pPr>
              <w:pStyle w:val="Compact"/>
              <w:jc w:val="center"/>
            </w:pPr>
            <w:r>
              <w:t xml:space="preserve">Avg PnL per Trade</w:t>
            </w:r>
          </w:p>
        </w:tc>
        <w:tc>
          <w:tcPr/>
          <w:p>
            <w:pPr>
              <w:pStyle w:val="Compact"/>
              <w:jc w:val="center"/>
            </w:pPr>
            <w:r>
              <w:t xml:space="preserve">Implied Win Rate</w:t>
            </w:r>
          </w:p>
        </w:tc>
        <w:tc>
          <w:tcPr/>
          <w:p>
            <w:pPr>
              <w:pStyle w:val="Compact"/>
              <w:jc w:val="center"/>
            </w:pPr>
            <w:r>
              <w:t xml:space="preserve">Quarter-Kelly</w:t>
            </w:r>
          </w:p>
        </w:tc>
        <w:tc>
          <w:tcPr/>
          <w:p>
            <w:pPr>
              <w:pStyle w:val="Compact"/>
              <w:jc w:val="center"/>
            </w:pPr>
            <w:r>
              <w:t xml:space="preserve">Verdict</w:t>
            </w:r>
          </w:p>
        </w:tc>
      </w:tr>
      <w:tr>
        <w:tc>
          <w:tcPr/>
          <w:p>
            <w:pPr>
              <w:pStyle w:val="Compact"/>
              <w:jc w:val="left"/>
            </w:pPr>
            <w:r>
              <w:t xml:space="preserve">&lt; 1.5</w:t>
            </w:r>
          </w:p>
        </w:tc>
        <w:tc>
          <w:tcPr/>
          <w:p>
            <w:pPr>
              <w:pStyle w:val="Compact"/>
              <w:jc w:val="center"/>
            </w:pPr>
            <w:r>
              <w:t xml:space="preserve">1.01</w:t>
            </w:r>
          </w:p>
        </w:tc>
        <w:tc>
          <w:tcPr/>
          <w:p>
            <w:pPr>
              <w:pStyle w:val="Compact"/>
              <w:jc w:val="center"/>
            </w:pPr>
            <w:r>
              <w:t xml:space="preserve">−1.6%</w:t>
            </w:r>
          </w:p>
        </w:tc>
        <w:tc>
          <w:tcPr/>
          <w:p>
            <w:pPr>
              <w:pStyle w:val="Compact"/>
              <w:jc w:val="center"/>
            </w:pPr>
            <w:r>
              <w:t xml:space="preserve">−0.12%</w:t>
            </w:r>
          </w:p>
        </w:tc>
        <w:tc>
          <w:tcPr/>
          <w:p>
            <w:pPr>
              <w:pStyle w:val="Compact"/>
              <w:jc w:val="center"/>
            </w:pPr>
            <w:r>
              <w:t xml:space="preserve">~40%</w:t>
            </w:r>
          </w:p>
        </w:tc>
        <w:tc>
          <w:tcPr/>
          <w:p>
            <w:pPr>
              <w:pStyle w:val="Compact"/>
              <w:jc w:val="center"/>
            </w:pPr>
            <w:r>
              <w:t xml:space="preserve">0% (BLOCKED)</w:t>
            </w:r>
          </w:p>
        </w:tc>
        <w:tc>
          <w:tcPr/>
          <w:p>
            <w:pPr>
              <w:pStyle w:val="Compact"/>
              <w:jc w:val="center"/>
            </w:pPr>
            <w:r>
              <w:t xml:space="preserve">Unprofitable</w:t>
            </w:r>
          </w:p>
        </w:tc>
      </w:tr>
      <w:tr>
        <w:tc>
          <w:tcPr/>
          <w:p>
            <w:pPr>
              <w:pStyle w:val="Compact"/>
              <w:jc w:val="left"/>
            </w:pPr>
            <w:r>
              <w:rPr>
                <w:bCs/>
                <w:b/>
              </w:rPr>
              <w:t xml:space="preserve">1.5 – 2.0</w:t>
            </w:r>
          </w:p>
        </w:tc>
        <w:tc>
          <w:tcPr/>
          <w:p>
            <w:pPr>
              <w:pStyle w:val="Compact"/>
              <w:jc w:val="center"/>
            </w:pPr>
            <w:r>
              <w:rPr>
                <w:bCs/>
                <w:b/>
              </w:rPr>
              <w:t xml:space="preserve">5.81</w:t>
            </w:r>
          </w:p>
        </w:tc>
        <w:tc>
          <w:tcPr/>
          <w:p>
            <w:pPr>
              <w:pStyle w:val="Compact"/>
              <w:jc w:val="center"/>
            </w:pPr>
            <w:r>
              <w:rPr>
                <w:bCs/>
                <w:b/>
              </w:rPr>
              <w:t xml:space="preserve">+47.2%</w:t>
            </w:r>
          </w:p>
        </w:tc>
        <w:tc>
          <w:tcPr/>
          <w:p>
            <w:pPr>
              <w:pStyle w:val="Compact"/>
              <w:jc w:val="center"/>
            </w:pPr>
            <w:r>
              <w:rPr>
                <w:bCs/>
                <w:b/>
              </w:rPr>
              <w:t xml:space="preserve">+4.98%</w:t>
            </w:r>
          </w:p>
        </w:tc>
        <w:tc>
          <w:tcPr/>
          <w:p>
            <w:pPr>
              <w:pStyle w:val="Compact"/>
              <w:jc w:val="center"/>
            </w:pPr>
            <w:r>
              <w:rPr>
                <w:bCs/>
                <w:b/>
              </w:rPr>
              <w:t xml:space="preserve">~77%</w:t>
            </w:r>
          </w:p>
        </w:tc>
        <w:tc>
          <w:tcPr/>
          <w:p>
            <w:pPr>
              <w:pStyle w:val="Compact"/>
              <w:jc w:val="center"/>
            </w:pPr>
            <w:r>
              <w:rPr>
                <w:bCs/>
                <w:b/>
              </w:rPr>
              <w:t xml:space="preserve">+11.8%</w:t>
            </w:r>
          </w:p>
        </w:tc>
        <w:tc>
          <w:tcPr/>
          <w:p>
            <w:pPr>
              <w:pStyle w:val="Compact"/>
              <w:jc w:val="center"/>
            </w:pPr>
            <w:r>
              <w:rPr>
                <w:bCs/>
                <w:b/>
              </w:rPr>
              <w:t xml:space="preserve">SWEET SPOT</w:t>
            </w:r>
          </w:p>
        </w:tc>
      </w:tr>
      <w:tr>
        <w:tc>
          <w:tcPr/>
          <w:p>
            <w:pPr>
              <w:pStyle w:val="Compact"/>
              <w:jc w:val="left"/>
            </w:pPr>
            <w:r>
              <w:t xml:space="preserve">&gt; 2.0</w:t>
            </w:r>
          </w:p>
        </w:tc>
        <w:tc>
          <w:tcPr/>
          <w:p>
            <w:pPr>
              <w:pStyle w:val="Compact"/>
              <w:jc w:val="center"/>
            </w:pPr>
            <w:r>
              <w:t xml:space="preserve">0.35</w:t>
            </w:r>
          </w:p>
        </w:tc>
        <w:tc>
          <w:tcPr/>
          <w:p>
            <w:pPr>
              <w:pStyle w:val="Compact"/>
              <w:jc w:val="center"/>
            </w:pPr>
            <w:r>
              <w:t xml:space="preserve">−22.8%</w:t>
            </w:r>
          </w:p>
        </w:tc>
        <w:tc>
          <w:tcPr/>
          <w:p>
            <w:pPr>
              <w:pStyle w:val="Compact"/>
              <w:jc w:val="center"/>
            </w:pPr>
            <w:r>
              <w:t xml:space="preserve">−17.88%</w:t>
            </w:r>
          </w:p>
        </w:tc>
        <w:tc>
          <w:tcPr/>
          <w:p>
            <w:pPr>
              <w:pStyle w:val="Compact"/>
              <w:jc w:val="center"/>
            </w:pPr>
            <w:r>
              <w:t xml:space="preserve">~12%</w:t>
            </w:r>
          </w:p>
        </w:tc>
        <w:tc>
          <w:tcPr/>
          <w:p>
            <w:pPr>
              <w:pStyle w:val="Compact"/>
              <w:jc w:val="center"/>
            </w:pPr>
            <w:r>
              <w:t xml:space="preserve">0% (BLOCKED)</w:t>
            </w:r>
          </w:p>
        </w:tc>
        <w:tc>
          <w:tcPr/>
          <w:p>
            <w:pPr>
              <w:pStyle w:val="Compact"/>
              <w:jc w:val="center"/>
            </w:pPr>
            <w:r>
              <w:t xml:space="preserve">Catastrophic</w:t>
            </w:r>
          </w:p>
        </w:tc>
      </w:tr>
    </w:tbl>
    <w:p>
      <w:pPr>
        <w:pStyle w:val="BodyText"/>
      </w:pPr>
      <w:r>
        <w:rPr>
          <w:iCs/>
          <w:i/>
        </w:rPr>
        <w:t xml:space="preserve">Source: shadow data analysis n=253 from FOOLPROOF_ACTION_PLAN. Kelly derived from f</w:t>
      </w:r>
      <w:r>
        <w:t xml:space="preserve"> </w:t>
      </w:r>
      <w:r>
        <w:t xml:space="preserve">= (p(b+1) − 1) / b where p = PF/(PF+b). Quarter-Kelly represents recommended maximum position size</w:t>
      </w:r>
      <w:r>
        <w:t xml:space="preserve"> </w:t>
      </w:r>
      <w:r>
        <w:rPr>
          <w:vertAlign w:val="superscript"/>
        </w:rPr>
        <w:t xml:space="preserve">26</w:t>
      </w:r>
      <w:r>
        <w:t xml:space="preserve"> </w:t>
      </w:r>
      <w:r>
        <w:rPr>
          <w:vertAlign w:val="superscript"/>
        </w:rPr>
        <w:t xml:space="preserve">27</w:t>
      </w:r>
      <w:r>
        <w:t xml:space="preserve">.*</w:t>
      </w:r>
    </w:p>
    <w:p>
      <w:pPr>
        <w:pStyle w:val="BodyText"/>
      </w:pPr>
      <w:r>
        <w:t xml:space="preserve">The 1.5–2.0 band’s profitability is mathematically verifiable. With PF = 5.81 and average R:R of 1.75, the implied win rate is approximately 76.85% (derived from p = 5.81 / (5.81 + 1.75)). Full Kelly computes to 63.6%, making the platform’s Quarter-Kelly allocation of 11.8% conservative by roughly 26%—it sits between Quarter- and Eighth-Kelly, a prudent fraction for a multi-asset platform with estimation uncertainty</w:t>
      </w:r>
      <w:r>
        <w:t xml:space="preserve"> </w:t>
      </w:r>
      <w:r>
        <w:rPr>
          <w:vertAlign w:val="superscript"/>
        </w:rPr>
        <w:t xml:space="preserve">26</w:t>
      </w:r>
      <w:r>
        <w:t xml:space="preserve"> </w:t>
      </w:r>
      <w:r>
        <w:rPr>
          <w:vertAlign w:val="superscript"/>
        </w:rPr>
        <w:t xml:space="preserve">27</w:t>
      </w:r>
      <w:r>
        <w:t xml:space="preserve">. Monte Carlo simulation of 10,000 paths at this sizing produces a median final equity of 2.564x after one year, with zero paths hitting the 10% drawdown halt threshold.</w:t>
      </w:r>
    </w:p>
    <w:p>
      <w:pPr>
        <w:pStyle w:val="BodyText"/>
      </w:pPr>
      <w:r>
        <w:t xml:space="preserve">The catastrophe above 2.0 R:R has four reinforcing causes. First, asymmetric execution: wide stops get hit more frequently than backtests suggest because theoretical R:R rarely matches realized R:R. Second, time decay: longer holding periods increase exposure to gap risk, overnight events, and carry costs. Third, behavioral bias: traders take profits early on winning high-R:R trades (realized R:R far below target) but let losers run to full stop. Fourth, fat-tail risk: wide stops magnify single-event damage</w:t>
      </w:r>
      <w:r>
        <w:t xml:space="preserve"> </w:t>
      </w:r>
      <w:r>
        <w:rPr>
          <w:vertAlign w:val="superscript"/>
        </w:rPr>
        <w:t xml:space="preserve">28</w:t>
      </w:r>
      <w:r>
        <w:t xml:space="preserve"> </w:t>
      </w:r>
      <w:r>
        <w:rPr>
          <w:vertAlign w:val="superscript"/>
        </w:rPr>
        <w:t xml:space="preserve">29</w:t>
      </w:r>
      <w:r>
        <w:t xml:space="preserve">. The breakeven analysis is damning: at R:R 2.5, even a PF of 1.0 requires a 28.6% WR, while the platform achieves only ~12%—a gap of 16.6 percentage points that no parameter tweak can close.</w:t>
      </w:r>
    </w:p>
    <w:p>
      <w:pPr>
        <w:pStyle w:val="BodyText"/>
      </w:pPr>
      <w:r>
        <w:rPr>
          <w:bCs/>
          <w:b/>
        </w:rPr>
        <w:t xml:space="preserve">Why lowering the floor to 1.25 was catastrophically wrong.</w:t>
      </w:r>
      <w:r>
        <w:t xml:space="preserve"> </w:t>
      </w:r>
      <w:r>
        <w:t xml:space="preserve">The FOOLPROOF_ACTION_PLAN originally recommended lowering the R:R floor from 1.5 to 1.25; independent verification corrected this. The 1.25–1.5 band produces a PF of 1.01 and Kelly of −1.6%—essentially breakeven before costs and unprofitable after. Treating this band as tradeable would have routed capital into noise, diluting the 1.5–2.0 alpha with marginal trades. The corrected configuration—hard floor at 1.5, hard ceiling at 2.0—should be implemented immediately with full traffic deployment.</w:t>
      </w:r>
    </w:p>
    <w:p>
      <w:r>
        <w:pict>
          <v:rect style="width:0;height:1.5pt" o:hralign="center" o:hrstd="t" o:hr="t"/>
        </w:pict>
      </w:r>
    </w:p>
    <w:bookmarkEnd w:id="29"/>
    <w:bookmarkStart w:id="30" w:name="recommended-capital-allocation"/>
    <w:p>
      <w:pPr>
        <w:pStyle w:val="Heading3"/>
      </w:pPr>
      <w:r>
        <w:t xml:space="preserve">2.6 Recommended Capital Allocation</w:t>
      </w:r>
    </w:p>
    <w:p>
      <w:pPr>
        <w:pStyle w:val="FirstParagraph"/>
      </w:pPr>
      <w:r>
        <w:t xml:space="preserve">The allocation below synthesizes the Five-Gate analysis, crypto tier breakdown, R:R band findings, and Kelly-derived position limits into a single deployable framework. It is deliberately conservative: capital is reserved for proven edge, not distributed in equal portions across broken strategies.</w:t>
      </w:r>
    </w:p>
    <w:p>
      <w:pPr>
        <w:pStyle w:val="BodyText"/>
      </w:pPr>
      <w:r>
        <w:rPr>
          <w:bCs/>
          <w:b/>
        </w:rPr>
        <w:t xml:space="preserve">Table 4: Final Capital Allocation Matrix</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Asset Class</w:t>
            </w:r>
          </w:p>
        </w:tc>
        <w:tc>
          <w:tcPr/>
          <w:p>
            <w:pPr>
              <w:pStyle w:val="Compact"/>
              <w:jc w:val="center"/>
            </w:pPr>
            <w:r>
              <w:t xml:space="preserve">Five-Gate Status</w:t>
            </w:r>
          </w:p>
        </w:tc>
        <w:tc>
          <w:tcPr/>
          <w:p>
            <w:pPr>
              <w:pStyle w:val="Compact"/>
              <w:jc w:val="center"/>
            </w:pPr>
            <w:r>
              <w:t xml:space="preserve">Quarter-Kelly</w:t>
            </w:r>
          </w:p>
        </w:tc>
        <w:tc>
          <w:tcPr/>
          <w:p>
            <w:pPr>
              <w:pStyle w:val="Compact"/>
              <w:jc w:val="center"/>
            </w:pPr>
            <w:r>
              <w:t xml:space="preserve">Allocation</w:t>
            </w:r>
          </w:p>
        </w:tc>
        <w:tc>
          <w:tcPr/>
          <w:p>
            <w:pPr>
              <w:pStyle w:val="Compact"/>
              <w:jc w:val="left"/>
            </w:pPr>
            <w:r>
              <w:t xml:space="preserve">Rationale</w:t>
            </w:r>
          </w:p>
        </w:tc>
      </w:tr>
      <w:tr>
        <w:tc>
          <w:tcPr/>
          <w:p>
            <w:pPr>
              <w:pStyle w:val="Compact"/>
              <w:jc w:val="left"/>
            </w:pPr>
            <w:r>
              <w:rPr>
                <w:bCs/>
                <w:b/>
              </w:rPr>
              <w:t xml:space="preserve">Equity</w:t>
            </w:r>
          </w:p>
        </w:tc>
        <w:tc>
          <w:tcPr/>
          <w:p>
            <w:pPr>
              <w:pStyle w:val="Compact"/>
              <w:jc w:val="center"/>
            </w:pPr>
            <w:r>
              <w:t xml:space="preserve">ALL PASS</w:t>
            </w:r>
          </w:p>
        </w:tc>
        <w:tc>
          <w:tcPr/>
          <w:p>
            <w:pPr>
              <w:pStyle w:val="Compact"/>
              <w:jc w:val="center"/>
            </w:pPr>
            <w:r>
              <w:t xml:space="preserve">+5.3%</w:t>
            </w:r>
          </w:p>
        </w:tc>
        <w:tc>
          <w:tcPr/>
          <w:p>
            <w:pPr>
              <w:pStyle w:val="Compact"/>
              <w:jc w:val="center"/>
            </w:pPr>
            <w:r>
              <w:rPr>
                <w:bCs/>
                <w:b/>
              </w:rPr>
              <w:t xml:space="preserve">25%</w:t>
            </w:r>
          </w:p>
        </w:tc>
        <w:tc>
          <w:tcPr/>
          <w:p>
            <w:pPr>
              <w:pStyle w:val="Compact"/>
              <w:jc w:val="left"/>
            </w:pPr>
            <w:r>
              <w:t xml:space="preserve">Only validated edge; OOS Sharpe +3.527; primary alpha source</w:t>
            </w:r>
          </w:p>
        </w:tc>
      </w:tr>
      <w:tr>
        <w:tc>
          <w:tcPr/>
          <w:p>
            <w:pPr>
              <w:pStyle w:val="Compact"/>
              <w:jc w:val="left"/>
            </w:pPr>
            <w:r>
              <w:rPr>
                <w:bCs/>
                <w:b/>
              </w:rPr>
              <w:t xml:space="preserve">ETF</w:t>
            </w:r>
          </w:p>
        </w:tc>
        <w:tc>
          <w:tcPr/>
          <w:p>
            <w:pPr>
              <w:pStyle w:val="Compact"/>
              <w:jc w:val="center"/>
            </w:pPr>
            <w:r>
              <w:t xml:space="preserve">2/5 FAIL (n, OOS artifact)</w:t>
            </w:r>
          </w:p>
        </w:tc>
        <w:tc>
          <w:tcPr/>
          <w:p>
            <w:pPr>
              <w:pStyle w:val="Compact"/>
              <w:jc w:val="center"/>
            </w:pPr>
            <w:r>
              <w:t xml:space="preserve">+2.9%</w:t>
            </w:r>
          </w:p>
        </w:tc>
        <w:tc>
          <w:tcPr/>
          <w:p>
            <w:pPr>
              <w:pStyle w:val="Compact"/>
              <w:jc w:val="center"/>
            </w:pPr>
            <w:r>
              <w:rPr>
                <w:bCs/>
                <w:b/>
              </w:rPr>
              <w:t xml:space="preserve">5%</w:t>
            </w:r>
          </w:p>
        </w:tc>
        <w:tc>
          <w:tcPr/>
          <w:p>
            <w:pPr>
              <w:pStyle w:val="Compact"/>
              <w:jc w:val="left"/>
            </w:pPr>
            <w:r>
              <w:t xml:space="preserve">Test allocation only; 12 folds insufficient; reassess at 20+ folds</w:t>
            </w:r>
          </w:p>
        </w:tc>
      </w:tr>
      <w:tr>
        <w:tc>
          <w:tcPr/>
          <w:p>
            <w:pPr>
              <w:pStyle w:val="Compact"/>
              <w:jc w:val="left"/>
            </w:pPr>
            <w:r>
              <w:t xml:space="preserve">Crypto B-Tier</w:t>
            </w:r>
          </w:p>
        </w:tc>
        <w:tc>
          <w:tcPr/>
          <w:p>
            <w:pPr>
              <w:pStyle w:val="Compact"/>
              <w:jc w:val="center"/>
            </w:pPr>
            <w:r>
              <w:t xml:space="preserve">2/5 FAIL (PF, WR, OOS)</w:t>
            </w:r>
          </w:p>
        </w:tc>
        <w:tc>
          <w:tcPr/>
          <w:p>
            <w:pPr>
              <w:pStyle w:val="Compact"/>
              <w:jc w:val="center"/>
            </w:pPr>
            <w:r>
              <w:t xml:space="preserve">+2.4%</w:t>
            </w:r>
          </w:p>
        </w:tc>
        <w:tc>
          <w:tcPr/>
          <w:p>
            <w:pPr>
              <w:pStyle w:val="Compact"/>
              <w:jc w:val="center"/>
            </w:pPr>
            <w:r>
              <w:rPr>
                <w:bCs/>
                <w:b/>
              </w:rPr>
              <w:t xml:space="preserve">0%</w:t>
            </w:r>
          </w:p>
        </w:tc>
        <w:tc>
          <w:tcPr/>
          <w:p>
            <w:pPr>
              <w:pStyle w:val="Compact"/>
              <w:jc w:val="left"/>
            </w:pPr>
            <w:r>
              <w:t xml:space="preserve">Halt until aggregate OOS Sharpe turns positive</w:t>
            </w:r>
          </w:p>
        </w:tc>
      </w:tr>
      <w:tr>
        <w:tc>
          <w:tcPr/>
          <w:p>
            <w:pPr>
              <w:pStyle w:val="Compact"/>
              <w:jc w:val="left"/>
            </w:pPr>
            <w:r>
              <w:t xml:space="preserve">Crypto A-Tier</w:t>
            </w:r>
          </w:p>
        </w:tc>
        <w:tc>
          <w:tcPr/>
          <w:p>
            <w:pPr>
              <w:pStyle w:val="Compact"/>
              <w:jc w:val="center"/>
            </w:pPr>
            <w:r>
              <w:t xml:space="preserve">3/5 FAIL (WR, OOS)</w:t>
            </w:r>
          </w:p>
        </w:tc>
        <w:tc>
          <w:tcPr/>
          <w:p>
            <w:pPr>
              <w:pStyle w:val="Compact"/>
              <w:jc w:val="center"/>
            </w:pPr>
            <w:r>
              <w:t xml:space="preserve">+4.3%</w:t>
            </w:r>
          </w:p>
        </w:tc>
        <w:tc>
          <w:tcPr/>
          <w:p>
            <w:pPr>
              <w:pStyle w:val="Compact"/>
              <w:jc w:val="center"/>
            </w:pPr>
            <w:r>
              <w:rPr>
                <w:bCs/>
                <w:b/>
              </w:rPr>
              <w:t xml:space="preserve">0%</w:t>
            </w:r>
          </w:p>
        </w:tc>
        <w:tc>
          <w:tcPr/>
          <w:p>
            <w:pPr>
              <w:pStyle w:val="Compact"/>
              <w:jc w:val="left"/>
            </w:pPr>
            <w:r>
              <w:t xml:space="preserve">Halt until PF decay stabilizes above 1.5</w:t>
            </w:r>
          </w:p>
        </w:tc>
      </w:tr>
      <w:tr>
        <w:tc>
          <w:tcPr/>
          <w:p>
            <w:pPr>
              <w:pStyle w:val="Compact"/>
              <w:jc w:val="left"/>
            </w:pPr>
            <w:r>
              <w:t xml:space="preserve">Forex</w:t>
            </w:r>
          </w:p>
        </w:tc>
        <w:tc>
          <w:tcPr/>
          <w:p>
            <w:pPr>
              <w:pStyle w:val="Compact"/>
              <w:jc w:val="center"/>
            </w:pPr>
            <w:r>
              <w:t xml:space="preserve">4/5 FAIL</w:t>
            </w:r>
          </w:p>
        </w:tc>
        <w:tc>
          <w:tcPr/>
          <w:p>
            <w:pPr>
              <w:pStyle w:val="Compact"/>
              <w:jc w:val="center"/>
            </w:pPr>
            <w:r>
              <w:t xml:space="preserve">+3.5%</w:t>
            </w:r>
          </w:p>
        </w:tc>
        <w:tc>
          <w:tcPr/>
          <w:p>
            <w:pPr>
              <w:pStyle w:val="Compact"/>
              <w:jc w:val="center"/>
            </w:pPr>
            <w:r>
              <w:rPr>
                <w:bCs/>
                <w:b/>
              </w:rPr>
              <w:t xml:space="preserve">0%</w:t>
            </w:r>
          </w:p>
        </w:tc>
        <w:tc>
          <w:tcPr/>
          <w:p>
            <w:pPr>
              <w:pStyle w:val="Compact"/>
              <w:jc w:val="left"/>
            </w:pPr>
            <w:r>
              <w:t xml:space="preserve">HALT until June 1 reassessment; PF 0.27 post-fix</w:t>
            </w:r>
          </w:p>
        </w:tc>
      </w:tr>
      <w:tr>
        <w:tc>
          <w:tcPr/>
          <w:p>
            <w:pPr>
              <w:pStyle w:val="Compact"/>
              <w:jc w:val="left"/>
            </w:pPr>
            <w:r>
              <w:t xml:space="preserve">Commodity</w:t>
            </w:r>
          </w:p>
        </w:tc>
        <w:tc>
          <w:tcPr/>
          <w:p>
            <w:pPr>
              <w:pStyle w:val="Compact"/>
              <w:jc w:val="center"/>
            </w:pPr>
            <w:r>
              <w:t xml:space="preserve">4/5 FAIL</w:t>
            </w:r>
          </w:p>
        </w:tc>
        <w:tc>
          <w:tcPr/>
          <w:p>
            <w:pPr>
              <w:pStyle w:val="Compact"/>
              <w:jc w:val="center"/>
            </w:pPr>
            <w:r>
              <w:t xml:space="preserve">+0.4%</w:t>
            </w:r>
          </w:p>
        </w:tc>
        <w:tc>
          <w:tcPr/>
          <w:p>
            <w:pPr>
              <w:pStyle w:val="Compact"/>
              <w:jc w:val="center"/>
            </w:pPr>
            <w:r>
              <w:rPr>
                <w:bCs/>
                <w:b/>
              </w:rPr>
              <w:t xml:space="preserve">0%</w:t>
            </w:r>
          </w:p>
        </w:tc>
        <w:tc>
          <w:tcPr/>
          <w:p>
            <w:pPr>
              <w:pStyle w:val="Compact"/>
              <w:jc w:val="left"/>
            </w:pPr>
            <w:r>
              <w:t xml:space="preserve">ABANDON; OOS Sharpe −2.412 irredeemable</w:t>
            </w:r>
          </w:p>
        </w:tc>
      </w:tr>
      <w:tr>
        <w:tc>
          <w:tcPr/>
          <w:p>
            <w:pPr>
              <w:pStyle w:val="Compact"/>
              <w:jc w:val="left"/>
            </w:pPr>
            <w:r>
              <w:t xml:space="preserve">Bond</w:t>
            </w:r>
          </w:p>
        </w:tc>
        <w:tc>
          <w:tcPr/>
          <w:p>
            <w:pPr>
              <w:pStyle w:val="Compact"/>
              <w:jc w:val="center"/>
            </w:pPr>
            <w:r>
              <w:t xml:space="preserve">2/5 FAIL (n)</w:t>
            </w:r>
          </w:p>
        </w:tc>
        <w:tc>
          <w:tcPr/>
          <w:p>
            <w:pPr>
              <w:pStyle w:val="Compact"/>
              <w:jc w:val="center"/>
            </w:pPr>
            <w:r>
              <w:t xml:space="preserve">+6.0%</w:t>
            </w:r>
          </w:p>
        </w:tc>
        <w:tc>
          <w:tcPr/>
          <w:p>
            <w:pPr>
              <w:pStyle w:val="Compact"/>
              <w:jc w:val="center"/>
            </w:pPr>
            <w:r>
              <w:rPr>
                <w:bCs/>
                <w:b/>
              </w:rPr>
              <w:t xml:space="preserve">0%</w:t>
            </w:r>
          </w:p>
        </w:tc>
        <w:tc>
          <w:tcPr/>
          <w:p>
            <w:pPr>
              <w:pStyle w:val="Compact"/>
              <w:jc w:val="left"/>
            </w:pPr>
            <w:r>
              <w:t xml:space="preserve">Insufficient data; n=20 statistically meaningless</w:t>
            </w:r>
          </w:p>
        </w:tc>
      </w:tr>
      <w:tr>
        <w:tc>
          <w:tcPr/>
          <w:p>
            <w:pPr>
              <w:pStyle w:val="Compact"/>
              <w:jc w:val="left"/>
            </w:pPr>
            <w:r>
              <w:t xml:space="preserve">Crypto S-Tier</w:t>
            </w:r>
          </w:p>
        </w:tc>
        <w:tc>
          <w:tcPr/>
          <w:p>
            <w:pPr>
              <w:pStyle w:val="Compact"/>
              <w:jc w:val="center"/>
            </w:pPr>
            <w:r>
              <w:t xml:space="preserve">2/5 FAIL (n, OOS)</w:t>
            </w:r>
          </w:p>
        </w:tc>
        <w:tc>
          <w:tcPr/>
          <w:p>
            <w:pPr>
              <w:pStyle w:val="Compact"/>
              <w:jc w:val="center"/>
            </w:pPr>
            <w:r>
              <w:t xml:space="preserve">+16.5%</w:t>
            </w:r>
          </w:p>
        </w:tc>
        <w:tc>
          <w:tcPr/>
          <w:p>
            <w:pPr>
              <w:pStyle w:val="Compact"/>
              <w:jc w:val="center"/>
            </w:pPr>
            <w:r>
              <w:rPr>
                <w:bCs/>
                <w:b/>
              </w:rPr>
              <w:t xml:space="preserve">0%</w:t>
            </w:r>
          </w:p>
        </w:tc>
        <w:tc>
          <w:tcPr/>
          <w:p>
            <w:pPr>
              <w:pStyle w:val="Compact"/>
              <w:jc w:val="left"/>
            </w:pPr>
            <w:r>
              <w:t xml:space="preserve">ABANDON; n=27 is noise, not signal</w:t>
            </w:r>
          </w:p>
        </w:tc>
      </w:tr>
      <w:tr>
        <w:tc>
          <w:tcPr/>
          <w:p>
            <w:pPr>
              <w:pStyle w:val="Compact"/>
              <w:jc w:val="left"/>
            </w:pPr>
            <w:r>
              <w:t xml:space="preserve">Crypto C-Tier</w:t>
            </w:r>
          </w:p>
        </w:tc>
        <w:tc>
          <w:tcPr/>
          <w:p>
            <w:pPr>
              <w:pStyle w:val="Compact"/>
              <w:jc w:val="center"/>
            </w:pPr>
            <w:r>
              <w:t xml:space="preserve">4/5 FAIL</w:t>
            </w:r>
          </w:p>
        </w:tc>
        <w:tc>
          <w:tcPr/>
          <w:p>
            <w:pPr>
              <w:pStyle w:val="Compact"/>
              <w:jc w:val="center"/>
            </w:pPr>
            <w:r>
              <w:t xml:space="preserve">−5.3%</w:t>
            </w:r>
          </w:p>
        </w:tc>
        <w:tc>
          <w:tcPr/>
          <w:p>
            <w:pPr>
              <w:pStyle w:val="Compact"/>
              <w:jc w:val="center"/>
            </w:pPr>
            <w:r>
              <w:rPr>
                <w:bCs/>
                <w:b/>
              </w:rPr>
              <w:t xml:space="preserve">0%</w:t>
            </w:r>
          </w:p>
        </w:tc>
        <w:tc>
          <w:tcPr/>
          <w:p>
            <w:pPr>
              <w:pStyle w:val="Compact"/>
              <w:jc w:val="left"/>
            </w:pPr>
            <w:r>
              <w:t xml:space="preserve">BLOCKED; negative Kelly = wealth destruction</w:t>
            </w:r>
          </w:p>
        </w:tc>
      </w:tr>
      <w:tr>
        <w:tc>
          <w:tcPr/>
          <w:p>
            <w:pPr>
              <w:pStyle w:val="Compact"/>
              <w:jc w:val="left"/>
            </w:pPr>
            <w:r>
              <w:t xml:space="preserve">Futures</w:t>
            </w:r>
          </w:p>
        </w:tc>
        <w:tc>
          <w:tcPr/>
          <w:p>
            <w:pPr>
              <w:pStyle w:val="Compact"/>
              <w:jc w:val="center"/>
            </w:pPr>
            <w:r>
              <w:t xml:space="preserve">5/5 FAIL (no data)</w:t>
            </w:r>
          </w:p>
        </w:tc>
        <w:tc>
          <w:tcPr/>
          <w:p>
            <w:pPr>
              <w:pStyle w:val="Compact"/>
              <w:jc w:val="center"/>
            </w:pPr>
            <w:r>
              <w:t xml:space="preserve">N/A</w:t>
            </w:r>
          </w:p>
        </w:tc>
        <w:tc>
          <w:tcPr/>
          <w:p>
            <w:pPr>
              <w:pStyle w:val="Compact"/>
              <w:jc w:val="center"/>
            </w:pPr>
            <w:r>
              <w:rPr>
                <w:bCs/>
                <w:b/>
              </w:rPr>
              <w:t xml:space="preserve">0%</w:t>
            </w:r>
          </w:p>
        </w:tc>
        <w:tc>
          <w:tcPr/>
          <w:p>
            <w:pPr>
              <w:pStyle w:val="Compact"/>
              <w:jc w:val="left"/>
            </w:pPr>
            <w:r>
              <w:t xml:space="preserve">No strategy exists to allocate to</w:t>
            </w:r>
          </w:p>
        </w:tc>
      </w:tr>
      <w:tr>
        <w:tc>
          <w:tcPr/>
          <w:p>
            <w:pPr>
              <w:pStyle w:val="Compact"/>
              <w:jc w:val="left"/>
            </w:pPr>
            <w:r>
              <w:rPr>
                <w:bCs/>
                <w:b/>
              </w:rPr>
              <w:t xml:space="preserve">Cash / 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70%</w:t>
            </w:r>
          </w:p>
        </w:tc>
        <w:tc>
          <w:tcPr/>
          <w:p>
            <w:pPr>
              <w:pStyle w:val="Compact"/>
              <w:jc w:val="left"/>
            </w:pPr>
            <w:r>
              <w:t xml:space="preserve">Dry powder for validated opportunities</w:t>
            </w:r>
          </w:p>
        </w:tc>
      </w:tr>
    </w:tbl>
    <w:p>
      <w:pPr>
        <w:pStyle w:val="BodyText"/>
      </w:pPr>
      <w:r>
        <w:rPr>
          <w:iCs/>
          <w:i/>
        </w:rPr>
        <w:t xml:space="preserve">Source: synthesized from Five-Gate analysis (Section 2.1), Kelly calculations (Dim08), and R:R band findings (Section 2.5). Allocation percentages reflect half-Kelly sizing as industry standard</w:t>
      </w:r>
      <w:r>
        <w:rPr>
          <w:iCs/>
          <w:i/>
        </w:rPr>
        <w:t xml:space="preserve"> </w:t>
      </w:r>
      <w:r>
        <w:rPr>
          <w:vertAlign w:val="superscript"/>
          <w:iCs/>
          <w:i/>
        </w:rPr>
        <w:t xml:space="preserve">30</w:t>
      </w:r>
      <w:r>
        <w:rPr>
          <w:iCs/>
          <w:i/>
        </w:rPr>
        <w:t xml:space="preserve">.</w:t>
      </w:r>
    </w:p>
    <w:p>
      <w:pPr>
        <w:pStyle w:val="BodyText"/>
      </w:pPr>
      <w:r>
        <w:t xml:space="preserve">The 70% cash reserve reflects five factors. First, only one asset class (Equity) has validated edge sufficient for real-money deployment at scale. Second, half-Kelly is the industry standard to reduce drawdown risk—full Kelly can produce 60%+ drawdowns</w:t>
      </w:r>
      <w:r>
        <w:t xml:space="preserve"> </w:t>
      </w:r>
      <w:r>
        <w:rPr>
          <w:vertAlign w:val="superscript"/>
        </w:rPr>
        <w:t xml:space="preserve">30</w:t>
      </w:r>
      <w:r>
        <w:t xml:space="preserve">. Third, OOS uncertainty in all non-Equity asset classes demands a defensive posture. Fourth, the prevalence of negative OOS Sharpe across three of five asset classes with data suggests systemic overfitting in the platform’s strategy development pipeline. Fifth, capital preservation enables rapid redeployment when other asset classes achieve OOS validation.</w:t>
      </w:r>
    </w:p>
    <w:p>
      <w:pPr>
        <w:pStyle w:val="BodyText"/>
      </w:pPr>
      <w:r>
        <w:rPr>
          <w:bCs/>
          <w:b/>
        </w:rPr>
        <w:t xml:space="preserve">Rebalancing triggers</w:t>
      </w:r>
      <w:r>
        <w:t xml:space="preserve"> </w:t>
      </w:r>
      <w:r>
        <w:t xml:space="preserve">govern when this allocation may be revised. Equity allocation may increase beyond 25% only if OOS Sharpe remains above +2.0 for 90 consecutive days with n exceeding 200. ETF allocation may increase from 5% to 10% if OOS Sharpe stabilizes below 3.0 (the current 6.368 is suspected artifact) with 20+ walk-forward folds and decay below 5.0. Crypto B-Tier may receive a 5% test allocation only if aggregate OOS Sharpe turns positive and holds for 60 days. Forex may be reconsidered on June 1, 2026, contingent on 200+ post-fix trades with PF above 1.2 and OOS Sharpe above zero. Any asset class dropping below its gate thresholds for 14 consecutive days triggers automatic reduction to zero. These are hard rules, not guidelines: the platform’s history of deploying strategies with negative OOS Sharpe makes algorithmic discipline essential.</w:t>
      </w:r>
    </w:p>
    <w:p>
      <w:r>
        <w:pict>
          <v:rect style="width:0;height:1.5pt" o:hralign="center" o:hrstd="t" o:hr="t"/>
        </w:pict>
      </w:r>
    </w:p>
    <w:bookmarkEnd w:id="30"/>
    <w:bookmarkEnd w:id="31"/>
    <w:bookmarkStart w:id="44" w:name="X8c28a825657b0e75c2e01b50589e4ec7eb00a7a"/>
    <w:p>
      <w:pPr>
        <w:pStyle w:val="Heading2"/>
      </w:pPr>
      <w:r>
        <w:t xml:space="preserve">3. The Broken Scoring System: F-Score vs Score vs Composite</w:t>
      </w:r>
    </w:p>
    <w:p>
      <w:pPr>
        <w:pStyle w:val="FirstParagraph"/>
      </w:pPr>
      <w:r>
        <w:t xml:space="preserve">The Antigravity dashboard displays at least five distinct scores: F-Score (</w:t>
      </w:r>
      <w:r>
        <w:t xml:space="preserve">“</w:t>
      </w:r>
      <w:r>
        <w:t xml:space="preserve">4/9</w:t>
      </w:r>
      <w:r>
        <w:t xml:space="preserve">”</w:t>
      </w:r>
      <w:r>
        <w:t xml:space="preserve">), Score (</w:t>
      </w:r>
      <w:r>
        <w:t xml:space="preserve">“</w:t>
      </w:r>
      <w:r>
        <w:t xml:space="preserve">0.748</w:t>
      </w:r>
      <w:r>
        <w:t xml:space="preserve">”</w:t>
      </w:r>
      <w:r>
        <w:t xml:space="preserve"> </w:t>
      </w:r>
      <w:r>
        <w:t xml:space="preserve">or</w:t>
      </w:r>
      <w:r>
        <w:t xml:space="preserve"> </w:t>
      </w:r>
      <w:r>
        <w:t xml:space="preserve">“</w:t>
      </w:r>
      <w:r>
        <w:t xml:space="preserve">0.703</w:t>
      </w:r>
      <w:r>
        <w:t xml:space="preserve">”</w:t>
      </w:r>
      <w:r>
        <w:t xml:space="preserve">), Composite Score, elite_score, and blended_conf. Each carries a different scale and a different relationship to actual trading outcomes. The platform’s correlation audit on 3,500 closed picks reveals the most prominently displayed score is only weakly predictive (</w:t>
      </w:r>
      <m:oMath>
        <m:r>
          <m:t>r</m:t>
        </m:r>
        <m:r>
          <m:rPr>
            <m:sty m:val="p"/>
          </m:rPr>
          <m:t>=</m:t>
        </m:r>
        <m:r>
          <m:rPr>
            <m:sty m:val="p"/>
          </m:rPr>
          <m:t>+</m:t>
        </m:r>
        <m:r>
          <m:t>0.10</m:t>
        </m:r>
      </m:oMath>
      <w:r>
        <w:t xml:space="preserve">), while the metric buried deepest in the component layer is the strongest (</w:t>
      </w:r>
      <m:oMath>
        <m:r>
          <m:t>r</m:t>
        </m:r>
        <m:r>
          <m:rPr>
            <m:sty m:val="p"/>
          </m:rPr>
          <m:t>=</m:t>
        </m:r>
        <m:r>
          <m:rPr>
            <m:sty m:val="p"/>
          </m:rPr>
          <m:t>+</m:t>
        </m:r>
        <m:r>
          <m:t>0.242</m:t>
        </m:r>
      </m:oMath>
      <w:r>
        <w:t xml:space="preserve">)</w:t>
      </w:r>
      <w:r>
        <w:t xml:space="preserve"> </w:t>
      </w:r>
      <w:r>
        <w:rPr>
          <w:vertAlign w:val="superscript"/>
        </w:rPr>
        <w:t xml:space="preserve">31</w:t>
      </w:r>
      <w:r>
        <w:t xml:space="preserve">. This section disambiguates each score, demonstrates why the composite fails as a monotonic predictor, and establishes a filter hierarchy grounded in empirical win-rate data.</w:t>
      </w:r>
    </w:p>
    <w:bookmarkStart w:id="36" w:name="what-each-score-measures"/>
    <w:p>
      <w:pPr>
        <w:pStyle w:val="Heading3"/>
      </w:pPr>
      <w:r>
        <w:t xml:space="preserve">3.1 What Each Score Measures</w:t>
      </w:r>
    </w:p>
    <w:bookmarkStart w:id="32" w:name="X3baacba779528929ea023580d8cd36fdaebd67c"/>
    <w:p>
      <w:pPr>
        <w:pStyle w:val="Heading4"/>
      </w:pPr>
      <w:r>
        <w:t xml:space="preserve">3.1.1 F-Score (4/9): Piotroski F-Score — Fundamental Context, Not a Trading Signal</w:t>
      </w:r>
    </w:p>
    <w:p>
      <w:pPr>
        <w:pStyle w:val="FirstParagraph"/>
      </w:pPr>
      <w:r>
        <w:t xml:space="preserve">The F-Score of</w:t>
      </w:r>
      <w:r>
        <w:t xml:space="preserve"> </w:t>
      </w:r>
      <w:r>
        <w:t xml:space="preserve">“</w:t>
      </w:r>
      <w:r>
        <w:t xml:space="preserve">4/9</w:t>
      </w:r>
      <w:r>
        <w:t xml:space="preserve">”</w:t>
      </w:r>
      <w:r>
        <w:t xml:space="preserve"> </w:t>
      </w:r>
      <w:r>
        <w:t xml:space="preserve">is the Piotroski F-Score, a nine-point fundamental accounting metric from 2000</w:t>
      </w:r>
      <w:r>
        <w:t xml:space="preserve"> </w:t>
      </w:r>
      <w:r>
        <w:rPr>
          <w:vertAlign w:val="superscript"/>
        </w:rPr>
        <w:t xml:space="preserve">32</w:t>
      </w:r>
      <w:r>
        <w:t xml:space="preserve">. A score of 4 is</w:t>
      </w:r>
      <w:r>
        <w:t xml:space="preserve"> </w:t>
      </w:r>
      <w:r>
        <w:t xml:space="preserve">“</w:t>
      </w:r>
      <w:r>
        <w:t xml:space="preserve">average/neutral.</w:t>
      </w:r>
      <w:r>
        <w:t xml:space="preserve">”</w:t>
      </w:r>
      <w:r>
        <w:t xml:space="preserve"> </w:t>
      </w:r>
      <w:r>
        <w:t xml:space="preserve">The F-Score is</w:t>
      </w:r>
      <w:r>
        <w:t xml:space="preserve"> </w:t>
      </w:r>
      <w:r>
        <w:rPr>
          <w:bCs/>
          <w:b/>
        </w:rPr>
        <w:t xml:space="preserve">not calculated by the platform</w:t>
      </w:r>
      <w:r>
        <w:t xml:space="preserve">—it is external data shown as context. Piotroski’s original study showed 23.5% annual returns for high F-Score stocks</w:t>
      </w:r>
      <w:r>
        <w:t xml:space="preserve"> </w:t>
      </w:r>
      <w:r>
        <w:rPr>
          <w:vertAlign w:val="superscript"/>
        </w:rPr>
        <w:t xml:space="preserve">33</w:t>
      </w:r>
      <w:r>
        <w:t xml:space="preserve">, but a 2021 study reported</w:t>
      </w:r>
      <w:r>
        <w:t xml:space="preserve"> </w:t>
      </w:r>
      <w:r>
        <w:rPr>
          <w:bCs/>
          <w:b/>
        </w:rPr>
        <w:t xml:space="preserve">-9.53% annual losses</w:t>
      </w:r>
      <w:r>
        <w:t xml:space="preserve"> </w:t>
      </w:r>
      <w:r>
        <w:t xml:space="preserve">over the prior decade due to alpha decay</w:t>
      </w:r>
      <w:r>
        <w:t xml:space="preserve"> </w:t>
      </w:r>
      <w:r>
        <w:rPr>
          <w:vertAlign w:val="superscript"/>
        </w:rPr>
        <w:t xml:space="preserve">20</w:t>
      </w:r>
      <w:r>
        <w:t xml:space="preserve">. The Score Calibration Audit does not track F-Score, confirming its exclusion from the prediction pipeline</w:t>
      </w:r>
      <w:r>
        <w:t xml:space="preserve"> </w:t>
      </w:r>
      <w:r>
        <w:rPr>
          <w:vertAlign w:val="superscript"/>
        </w:rPr>
        <w:t xml:space="preserve">31</w:t>
      </w:r>
      <w:r>
        <w:t xml:space="preserve">. For short-term trading, F-Score 4 carries no predictive value.</w:t>
      </w:r>
    </w:p>
    <w:bookmarkEnd w:id="32"/>
    <w:bookmarkStart w:id="33" w:name="X1fca45de13ee8a6711eddd3bb7947ee160bdbd8"/>
    <w:p>
      <w:pPr>
        <w:pStyle w:val="Heading4"/>
      </w:pPr>
      <w:r>
        <w:t xml:space="preserve">3.1.2 Score (0.748/0.703): ML Confidence — Model Prediction Confidence on a 0-1.0 Scale</w:t>
      </w:r>
    </w:p>
    <w:p>
      <w:pPr>
        <w:pStyle w:val="FirstParagraph"/>
      </w:pPr>
      <w:r>
        <w:t xml:space="preserve">The</w:t>
      </w:r>
      <w:r>
        <w:t xml:space="preserve"> </w:t>
      </w:r>
      <w:r>
        <w:t xml:space="preserve">“</w:t>
      </w:r>
      <w:r>
        <w:t xml:space="preserve">Score 0.748</w:t>
      </w:r>
      <w:r>
        <w:t xml:space="preserve">”</w:t>
      </w:r>
      <w:r>
        <w:t xml:space="preserve"> </w:t>
      </w:r>
      <w:r>
        <w:t xml:space="preserve">or</w:t>
      </w:r>
      <w:r>
        <w:t xml:space="preserve"> </w:t>
      </w:r>
      <w:r>
        <w:t xml:space="preserve">“</w:t>
      </w:r>
      <w:r>
        <w:t xml:space="preserve">0.703</w:t>
      </w:r>
      <w:r>
        <w:t xml:space="preserve">”</w:t>
      </w:r>
      <w:r>
        <w:t xml:space="preserve"> </w:t>
      </w:r>
      <w:r>
        <w:t xml:space="preserve">is the platform’s ML confidence score, sourced from the Alpha Engine’s ml_score, KIMI’s mlWinProb, or the Cross-System Aggregator’s blended_conf</w:t>
      </w:r>
      <w:r>
        <w:t xml:space="preserve"> </w:t>
      </w:r>
      <w:r>
        <w:rPr>
          <w:vertAlign w:val="superscript"/>
        </w:rPr>
        <w:t xml:space="preserve">34</w:t>
      </w:r>
      <w:r>
        <w:t xml:space="preserve"> </w:t>
      </w:r>
      <w:r>
        <w:rPr>
          <w:vertAlign w:val="superscript"/>
        </w:rPr>
        <w:t xml:space="preserve">35</w:t>
      </w:r>
      <w:r>
        <w:t xml:space="preserve">. These values sit in the empirically optimal band of 0.70-0.79, delivering a 57.0% win rate</w:t>
      </w:r>
      <w:r>
        <w:t xml:space="preserve"> </w:t>
      </w:r>
      <w:r>
        <w:rPr>
          <w:vertAlign w:val="superscript"/>
        </w:rPr>
        <w:t xml:space="preserve">31</w:t>
      </w:r>
      <w:r>
        <w:t xml:space="preserve">.</w:t>
      </w:r>
      <w:r>
        <w:t xml:space="preserve"> </w:t>
      </w:r>
      <w:r>
        <w:rPr>
          <w:bCs/>
          <w:b/>
        </w:rPr>
        <w:t xml:space="preserve">This is not a composite score</w:t>
      </w:r>
      <w:r>
        <w:t xml:space="preserve">—it is raw confidence output from a single ML model. It follows an inverted-U pattern: the 0.90-1.00 band delivers only 47.1% win rate, an</w:t>
      </w:r>
      <w:r>
        <w:t xml:space="preserve"> </w:t>
      </w:r>
      <w:r>
        <w:t xml:space="preserve">“</w:t>
      </w:r>
      <w:r>
        <w:t xml:space="preserve">overconfidence penalty</w:t>
      </w:r>
      <w:r>
        <w:t xml:space="preserve">”</w:t>
      </w:r>
      <w:r>
        <w:t xml:space="preserve"> </w:t>
      </w:r>
      <w:r>
        <w:t xml:space="preserve">of 10 percentage points below the sweet spot</w:t>
      </w:r>
      <w:r>
        <w:t xml:space="preserve"> </w:t>
      </w:r>
      <w:r>
        <w:rPr>
          <w:vertAlign w:val="superscript"/>
        </w:rPr>
        <w:t xml:space="preserve">31</w:t>
      </w:r>
      <w:r>
        <w:t xml:space="preserve">. Raw ml_score correlates with win rate at</w:t>
      </w:r>
      <w:r>
        <w:t xml:space="preserve"> </w:t>
      </w:r>
      <m:oMath>
        <m:r>
          <m:t>r</m:t>
        </m:r>
        <m:r>
          <m:rPr>
            <m:sty m:val="p"/>
          </m:rPr>
          <m:t>=</m:t>
        </m:r>
        <m:r>
          <m:rPr>
            <m:sty m:val="p"/>
          </m:rPr>
          <m:t>−</m:t>
        </m:r>
        <m:r>
          <m:t>0.012</m:t>
        </m:r>
      </m:oMath>
      <w:r>
        <w:t xml:space="preserve"> </w:t>
      </w:r>
      <w:r>
        <w:t xml:space="preserve">(noise), while the ML composite achieves</w:t>
      </w:r>
      <w:r>
        <w:t xml:space="preserve"> </w:t>
      </w:r>
      <m:oMath>
        <m:r>
          <m:t>r</m:t>
        </m:r>
        <m:r>
          <m:rPr>
            <m:sty m:val="p"/>
          </m:rPr>
          <m:t>=</m:t>
        </m:r>
        <m:r>
          <m:rPr>
            <m:sty m:val="p"/>
          </m:rPr>
          <m:t>+</m:t>
        </m:r>
        <m:r>
          <m:t>0.220</m:t>
        </m:r>
      </m:oMath>
      <w:r>
        <w:t xml:space="preserve"> </w:t>
      </w:r>
      <w:r>
        <w:rPr>
          <w:vertAlign w:val="superscript"/>
        </w:rPr>
        <w:t xml:space="preserve">31</w:t>
      </w:r>
      <w:r>
        <w:t xml:space="preserve">. Users should target 0.70-0.79 and avoid &gt;0.85.</w:t>
      </w:r>
    </w:p>
    <w:bookmarkEnd w:id="33"/>
    <w:bookmarkStart w:id="34" w:name="Xf3488b8ad99aa79d8cd129db19f84dda0a9cdc2"/>
    <w:p>
      <w:pPr>
        <w:pStyle w:val="Heading4"/>
      </w:pPr>
      <w:r>
        <w:t xml:space="preserve">3.1.3 Composite Score (elite_score): Weighted Combination with a Documented Formula</w:t>
      </w:r>
    </w:p>
    <w:p>
      <w:pPr>
        <w:pStyle w:val="FirstParagraph"/>
      </w:pPr>
      <w:r>
        <w:t xml:space="preserve">The composite score (elite_score) aggregates seven components on a 0-100 scale: ML Score (25 points), Forward WR (25 points), Confluence (15 points), Monte Carlo (15 points), Risk:Reward (10 points), Volume (5 points), and Regime (5 points)</w:t>
      </w:r>
      <w:r>
        <w:t xml:space="preserve"> </w:t>
      </w:r>
      <w:r>
        <w:rPr>
          <w:vertAlign w:val="superscript"/>
        </w:rPr>
        <w:t xml:space="preserve">34</w:t>
      </w:r>
      <w:r>
        <w:t xml:space="preserve">. Yet the Score Calibration Audit found elite_score correlates with actual returns at only</w:t>
      </w:r>
      <w:r>
        <w:t xml:space="preserve"> </w:t>
      </w:r>
      <m:oMath>
        <m:r>
          <m:t>r</m:t>
        </m:r>
        <m:r>
          <m:rPr>
            <m:sty m:val="p"/>
          </m:rPr>
          <m:t>=</m:t>
        </m:r>
        <m:r>
          <m:rPr>
            <m:sty m:val="p"/>
          </m:rPr>
          <m:t>+</m:t>
        </m:r>
        <m:r>
          <m:t>0.10</m:t>
        </m:r>
      </m:oMath>
      <w:r>
        <w:t xml:space="preserve">—half as predictive as ml_composite_score (</w:t>
      </w:r>
      <m:oMath>
        <m:r>
          <m:t>r</m:t>
        </m:r>
        <m:r>
          <m:rPr>
            <m:sty m:val="p"/>
          </m:rPr>
          <m:t>=</m:t>
        </m:r>
        <m:r>
          <m:rPr>
            <m:sty m:val="p"/>
          </m:rPr>
          <m:t>+</m:t>
        </m:r>
        <m:r>
          <m:t>0.220</m:t>
        </m:r>
      </m:oMath>
      <w:r>
        <w:t xml:space="preserve">) and less than half as predictive as forward_wr (</w:t>
      </w:r>
      <m:oMath>
        <m:r>
          <m:t>r</m:t>
        </m:r>
        <m:r>
          <m:rPr>
            <m:sty m:val="p"/>
          </m:rPr>
          <m:t>=</m:t>
        </m:r>
        <m:r>
          <m:rPr>
            <m:sty m:val="p"/>
          </m:rPr>
          <m:t>+</m:t>
        </m:r>
        <m:r>
          <m:t>0.242</m:t>
        </m:r>
      </m:oMath>
      <w:r>
        <w:t xml:space="preserve">)</w:t>
      </w:r>
      <w:r>
        <w:t xml:space="preserve"> </w:t>
      </w:r>
      <w:r>
        <w:rPr>
          <w:vertAlign w:val="superscript"/>
        </w:rPr>
        <w:t xml:space="preserve">31</w:t>
      </w:r>
      <w:r>
        <w:t xml:space="preserve">. The composite assigns weight to anti-predictive components while underweighting the strongest signal, a structural problem analyzed in Section 3.3.</w:t>
      </w:r>
    </w:p>
    <w:bookmarkEnd w:id="34"/>
    <w:bookmarkStart w:id="35" w:name="Xb7b62ccf81ed1f0a1fd0fa6427eb90d40dde52b"/>
    <w:p>
      <w:pPr>
        <w:pStyle w:val="Heading4"/>
      </w:pPr>
      <w:r>
        <w:t xml:space="preserve">3.1.4 Visual Hierarchy: Which Score to Use for Which Decision</w:t>
      </w:r>
    </w:p>
    <w:tbl>
      <w:tblPr>
        <w:tblStyle w:val="Table"/>
        <w:tblW w:type="pct" w:w="5000"/>
        <w:tblLook w:firstRow="1" w:lastRow="0" w:firstColumn="0" w:lastColumn="0" w:noHBand="0" w:noVBand="0" w:val="0020"/>
      </w:tblPr>
      <w:tblGrid>
        <w:gridCol w:w="1161"/>
        <w:gridCol w:w="2217"/>
        <w:gridCol w:w="2006"/>
        <w:gridCol w:w="2534"/>
      </w:tblGrid>
      <w:tr>
        <w:trPr>
          <w:tblHeader w:val="true"/>
        </w:trPr>
        <w:tc>
          <w:tcPr/>
          <w:p>
            <w:pPr>
              <w:pStyle w:val="Compact"/>
              <w:jc w:val="left"/>
            </w:pPr>
            <w:r>
              <w:t xml:space="preserve">Dimension</w:t>
            </w:r>
          </w:p>
        </w:tc>
        <w:tc>
          <w:tcPr/>
          <w:p>
            <w:pPr>
              <w:pStyle w:val="Compact"/>
              <w:jc w:val="left"/>
            </w:pPr>
            <w:r>
              <w:t xml:space="preserve">F-Score (Piotroski)</w:t>
            </w:r>
          </w:p>
        </w:tc>
        <w:tc>
          <w:tcPr/>
          <w:p>
            <w:pPr>
              <w:pStyle w:val="Compact"/>
              <w:jc w:val="left"/>
            </w:pPr>
            <w:r>
              <w:t xml:space="preserve">Score 0.748/0.703</w:t>
            </w:r>
          </w:p>
        </w:tc>
        <w:tc>
          <w:tcPr/>
          <w:p>
            <w:pPr>
              <w:pStyle w:val="Compact"/>
              <w:jc w:val="left"/>
            </w:pPr>
            <w:r>
              <w:t xml:space="preserve">Composite (elite_score)</w:t>
            </w:r>
          </w:p>
        </w:tc>
      </w:tr>
      <w:tr>
        <w:tc>
          <w:tcPr/>
          <w:p>
            <w:pPr>
              <w:pStyle w:val="Compact"/>
              <w:jc w:val="left"/>
            </w:pPr>
            <w:r>
              <w:rPr>
                <w:bCs/>
                <w:b/>
              </w:rPr>
              <w:t xml:space="preserve">What it measures</w:t>
            </w:r>
          </w:p>
        </w:tc>
        <w:tc>
          <w:tcPr/>
          <w:p>
            <w:pPr>
              <w:pStyle w:val="Compact"/>
              <w:jc w:val="left"/>
            </w:pPr>
            <w:r>
              <w:t xml:space="preserve">Fundamental accounting health (0-9 scale)</w:t>
            </w:r>
          </w:p>
        </w:tc>
        <w:tc>
          <w:tcPr/>
          <w:p>
            <w:pPr>
              <w:pStyle w:val="Compact"/>
              <w:jc w:val="left"/>
            </w:pPr>
            <w:r>
              <w:t xml:space="preserve">ML model confidence / consensus (0-1.0 scale)</w:t>
            </w:r>
          </w:p>
        </w:tc>
        <w:tc>
          <w:tcPr/>
          <w:p>
            <w:pPr>
              <w:pStyle w:val="Compact"/>
              <w:jc w:val="left"/>
            </w:pPr>
            <w:r>
              <w:t xml:space="preserve">7-component weighted sum (0-100 scale)</w:t>
            </w:r>
          </w:p>
        </w:tc>
      </w:tr>
      <w:tr>
        <w:tc>
          <w:tcPr/>
          <w:p>
            <w:pPr>
              <w:pStyle w:val="Compact"/>
              <w:jc w:val="left"/>
            </w:pPr>
            <w:r>
              <w:rPr>
                <w:bCs/>
                <w:b/>
              </w:rPr>
              <w:t xml:space="preserve">Source</w:t>
            </w:r>
          </w:p>
        </w:tc>
        <w:tc>
          <w:tcPr/>
          <w:p>
            <w:pPr>
              <w:pStyle w:val="Compact"/>
              <w:jc w:val="left"/>
            </w:pPr>
            <w:r>
              <w:t xml:space="preserve">External financial statements; not computed by platform</w:t>
            </w:r>
          </w:p>
        </w:tc>
        <w:tc>
          <w:tcPr/>
          <w:p>
            <w:pPr>
              <w:pStyle w:val="Compact"/>
              <w:jc w:val="left"/>
            </w:pPr>
            <w:r>
              <w:t xml:space="preserve">Platform ML subsystems (Alpha Engine, KIMI, Claude Gainer)</w:t>
            </w:r>
          </w:p>
        </w:tc>
        <w:tc>
          <w:tcPr/>
          <w:p>
            <w:pPr>
              <w:pStyle w:val="Compact"/>
              <w:jc w:val="left"/>
            </w:pPr>
            <w:r>
              <w:t xml:space="preserve">Alpha Engine aggregator</w:t>
            </w:r>
          </w:p>
        </w:tc>
      </w:tr>
      <w:tr>
        <w:tc>
          <w:tcPr/>
          <w:p>
            <w:pPr>
              <w:pStyle w:val="Compact"/>
              <w:jc w:val="left"/>
            </w:pPr>
            <w:r>
              <w:rPr>
                <w:bCs/>
                <w:b/>
              </w:rPr>
              <w:t xml:space="preserve">Correlation with actual WR</w:t>
            </w:r>
          </w:p>
        </w:tc>
        <w:tc>
          <w:tcPr/>
          <w:p>
            <w:pPr>
              <w:pStyle w:val="Compact"/>
              <w:jc w:val="left"/>
            </w:pPr>
            <w:r>
              <w:t xml:space="preserve">Not tracked by platform</w:t>
            </w:r>
          </w:p>
        </w:tc>
        <w:tc>
          <w:tcPr/>
          <w:p>
            <w:pPr>
              <w:pStyle w:val="Compact"/>
              <w:jc w:val="left"/>
            </w:pPr>
            <w:r>
              <w:t xml:space="preserve">-0.012 (raw ml_score) / +0.220 (ML composite)</w:t>
            </w:r>
            <w:r>
              <w:t xml:space="preserve"> </w:t>
            </w:r>
            <w:r>
              <w:rPr>
                <w:vertAlign w:val="superscript"/>
              </w:rPr>
              <w:t xml:space="preserve">31</w:t>
            </w:r>
          </w:p>
        </w:tc>
        <w:tc>
          <w:tcPr/>
          <w:p>
            <w:pPr>
              <w:pStyle w:val="Compact"/>
              <w:jc w:val="left"/>
            </w:pPr>
            <w:r>
              <w:t xml:space="preserve">+0.100 (weak, non-monotonic)</w:t>
            </w:r>
            <w:r>
              <w:t xml:space="preserve"> </w:t>
            </w:r>
            <w:r>
              <w:rPr>
                <w:vertAlign w:val="superscript"/>
              </w:rPr>
              <w:t xml:space="preserve">31</w:t>
            </w:r>
          </w:p>
        </w:tc>
      </w:tr>
      <w:tr>
        <w:tc>
          <w:tcPr/>
          <w:p>
            <w:pPr>
              <w:pStyle w:val="Compact"/>
              <w:jc w:val="left"/>
            </w:pPr>
            <w:r>
              <w:rPr>
                <w:bCs/>
                <w:b/>
              </w:rPr>
              <w:t xml:space="preserve">Predictive validity</w:t>
            </w:r>
          </w:p>
        </w:tc>
        <w:tc>
          <w:tcPr/>
          <w:p>
            <w:pPr>
              <w:pStyle w:val="Compact"/>
              <w:jc w:val="left"/>
            </w:pPr>
            <w:r>
              <w:t xml:space="preserve">None for short-term directional trading</w:t>
            </w:r>
          </w:p>
        </w:tc>
        <w:tc>
          <w:tcPr/>
          <w:p>
            <w:pPr>
              <w:pStyle w:val="Compact"/>
              <w:jc w:val="left"/>
            </w:pPr>
            <w:r>
              <w:t xml:space="preserve">Sweet spot at 0.70-0.79 (57% WR); inverted U pattern</w:t>
            </w:r>
            <w:r>
              <w:t xml:space="preserve"> </w:t>
            </w:r>
            <w:r>
              <w:rPr>
                <w:vertAlign w:val="superscript"/>
              </w:rPr>
              <w:t xml:space="preserve">31</w:t>
            </w:r>
          </w:p>
        </w:tc>
        <w:tc>
          <w:tcPr/>
          <w:p>
            <w:pPr>
              <w:pStyle w:val="Compact"/>
              <w:jc w:val="left"/>
            </w:pPr>
            <w:r>
              <w:t xml:space="preserve">Broken — 4 inversions across 9 deciles</w:t>
            </w:r>
            <w:r>
              <w:t xml:space="preserve"> </w:t>
            </w:r>
            <w:r>
              <w:rPr>
                <w:vertAlign w:val="superscript"/>
              </w:rPr>
              <w:t xml:space="preserve">31</w:t>
            </w:r>
          </w:p>
        </w:tc>
      </w:tr>
      <w:tr>
        <w:tc>
          <w:tcPr/>
          <w:p>
            <w:pPr>
              <w:pStyle w:val="Compact"/>
              <w:jc w:val="left"/>
            </w:pPr>
            <w:r>
              <w:rPr>
                <w:bCs/>
                <w:b/>
              </w:rPr>
              <w:t xml:space="preserve">User action</w:t>
            </w:r>
          </w:p>
        </w:tc>
        <w:tc>
          <w:tcPr/>
          <w:p>
            <w:pPr>
              <w:pStyle w:val="Compact"/>
              <w:jc w:val="left"/>
            </w:pPr>
            <w:r>
              <w:t xml:space="preserve">Ignore for trading decisions; context only</w:t>
            </w:r>
          </w:p>
        </w:tc>
        <w:tc>
          <w:tcPr/>
          <w:p>
            <w:pPr>
              <w:pStyle w:val="Compact"/>
              <w:jc w:val="left"/>
            </w:pPr>
            <w:r>
              <w:t xml:space="preserve">Target 0.70-0.79 band; avoid &gt;0.85</w:t>
            </w:r>
          </w:p>
        </w:tc>
        <w:tc>
          <w:tcPr/>
          <w:p>
            <w:pPr>
              <w:pStyle w:val="Compact"/>
              <w:jc w:val="left"/>
            </w:pPr>
            <w:r>
              <w:t xml:space="preserve">Supplementary only; verify forward_wr independently</w:t>
            </w:r>
          </w:p>
        </w:tc>
      </w:tr>
      <w:tr>
        <w:tc>
          <w:tcPr/>
          <w:p>
            <w:pPr>
              <w:pStyle w:val="Compact"/>
              <w:jc w:val="left"/>
            </w:pPr>
            <w:r>
              <w:rPr>
                <w:bCs/>
                <w:b/>
              </w:rPr>
              <w:t xml:space="preserve">Best threshold</w:t>
            </w:r>
          </w:p>
        </w:tc>
        <w:tc>
          <w:tcPr/>
          <w:p>
            <w:pPr>
              <w:pStyle w:val="Compact"/>
              <w:jc w:val="left"/>
            </w:pPr>
            <w:r>
              <w:t xml:space="preserve">N/A (context only)</w:t>
            </w:r>
          </w:p>
        </w:tc>
        <w:tc>
          <w:tcPr/>
          <w:p>
            <w:pPr>
              <w:pStyle w:val="Compact"/>
              <w:jc w:val="left"/>
            </w:pPr>
            <w:r>
              <w:t xml:space="preserve">0.70-0.79 (empirical sweet spot)</w:t>
            </w:r>
            <w:r>
              <w:t xml:space="preserve"> </w:t>
            </w:r>
            <w:r>
              <w:rPr>
                <w:vertAlign w:val="superscript"/>
              </w:rPr>
              <w:t xml:space="preserve">31</w:t>
            </w:r>
          </w:p>
        </w:tc>
        <w:tc>
          <w:tcPr/>
          <w:p>
            <w:pPr>
              <w:pStyle w:val="Compact"/>
              <w:jc w:val="left"/>
            </w:pPr>
            <w:r>
              <w:t xml:space="preserve">&gt;=75 only if forward_wr &gt;=55%</w:t>
            </w:r>
          </w:p>
        </w:tc>
      </w:tr>
    </w:tbl>
    <w:p>
      <w:pPr>
        <w:pStyle w:val="BodyText"/>
      </w:pPr>
      <w:r>
        <w:t xml:space="preserve">These three scores answer different questions. F-Score asks about financial health; Score asks about ML confidence; Composite asks about multi-dimensional rating. Only the Score, when filtered to 0.70-0.79, carries a direct empirical relationship to win rate. The F-Score is external context; the composite is a synthetic metric whose components require independent verification.</w:t>
      </w:r>
    </w:p>
    <w:bookmarkEnd w:id="35"/>
    <w:bookmarkEnd w:id="36"/>
    <w:bookmarkStart w:id="38" w:name="why-the-composite-score-is-not-monotonic"/>
    <w:p>
      <w:pPr>
        <w:pStyle w:val="Heading3"/>
      </w:pPr>
      <w:r>
        <w:t xml:space="preserve">3.2 Why the Composite Score Is Not Monotonic</w:t>
      </w:r>
    </w:p>
    <w:p>
      <w:pPr>
        <w:pStyle w:val="FirstParagraph"/>
      </w:pPr>
      <w:r>
        <w:t xml:space="preserve">A predictive score should be monotonic: each increment should correspond to equal or higher probability of success. The elite_score fails this test, with</w:t>
      </w:r>
      <w:r>
        <w:t xml:space="preserve"> </w:t>
      </w:r>
      <w:r>
        <w:rPr>
          <w:bCs/>
          <w:b/>
        </w:rPr>
        <w:t xml:space="preserve">four inversions across nine deciles</w:t>
      </w:r>
      <w:r>
        <w:t xml:space="preserve">—points where a higher score predicts a lower win rate</w:t>
      </w:r>
      <w:r>
        <w:t xml:space="preserve"> </w:t>
      </w:r>
      <w:r>
        <w:rPr>
          <w:vertAlign w:val="superscript"/>
        </w:rPr>
        <w:t xml:space="preserve">31</w:t>
      </w:r>
      <w:r>
        <w:t xml:space="preserve">.</w:t>
      </w:r>
    </w:p>
    <w:tbl>
      <w:tblPr>
        <w:tblStyle w:val="Table"/>
        <w:tblW w:type="pct" w:w="5000"/>
        <w:tblLook w:firstRow="1" w:lastRow="0" w:firstColumn="0" w:lastColumn="0" w:noHBand="0" w:noVBand="0" w:val="0020"/>
      </w:tblPr>
      <w:tblGrid>
        <w:gridCol w:w="1267"/>
        <w:gridCol w:w="2059"/>
        <w:gridCol w:w="1584"/>
        <w:gridCol w:w="1742"/>
        <w:gridCol w:w="1267"/>
      </w:tblGrid>
      <w:tr>
        <w:trPr>
          <w:tblHeader w:val="true"/>
        </w:trPr>
        <w:tc>
          <w:tcPr/>
          <w:p>
            <w:pPr>
              <w:pStyle w:val="Compact"/>
              <w:jc w:val="left"/>
            </w:pPr>
            <w:r>
              <w:t xml:space="preserve">Decile</w:t>
            </w:r>
          </w:p>
        </w:tc>
        <w:tc>
          <w:tcPr/>
          <w:p>
            <w:pPr>
              <w:pStyle w:val="Compact"/>
              <w:jc w:val="left"/>
            </w:pPr>
            <w:r>
              <w:t xml:space="preserve">Score Range</w:t>
            </w:r>
          </w:p>
        </w:tc>
        <w:tc>
          <w:tcPr/>
          <w:p>
            <w:pPr>
              <w:pStyle w:val="Compact"/>
              <w:jc w:val="left"/>
            </w:pPr>
            <w:r>
              <w:t xml:space="preserve">Win Rate</w:t>
            </w:r>
          </w:p>
        </w:tc>
        <w:tc>
          <w:tcPr/>
          <w:p>
            <w:pPr>
              <w:pStyle w:val="Compact"/>
              <w:jc w:val="left"/>
            </w:pPr>
            <w:r>
              <w:t xml:space="preserve">Direction</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0-12</w:t>
            </w:r>
          </w:p>
        </w:tc>
        <w:tc>
          <w:tcPr/>
          <w:p>
            <w:pPr>
              <w:pStyle w:val="Compact"/>
              <w:jc w:val="left"/>
            </w:pPr>
            <w:r>
              <w:t xml:space="preserve">36.5%</w:t>
            </w:r>
          </w:p>
        </w:tc>
        <w:tc>
          <w:tcPr/>
          <w:p>
            <w:pPr>
              <w:pStyle w:val="Compact"/>
              <w:jc w:val="left"/>
            </w:pPr>
            <w:r>
              <w:t xml:space="preserve">Baseline</w:t>
            </w:r>
          </w:p>
        </w:tc>
        <w:tc>
          <w:tcPr/>
          <w:p>
            <w:pPr>
              <w:pStyle w:val="Compact"/>
              <w:jc w:val="left"/>
            </w:pPr>
            <w:r>
              <w:t xml:space="preserve">Working — heavy penalty correct</w:t>
            </w:r>
          </w:p>
        </w:tc>
      </w:tr>
      <w:tr>
        <w:tc>
          <w:tcPr/>
          <w:p>
            <w:pPr>
              <w:pStyle w:val="Compact"/>
              <w:jc w:val="left"/>
            </w:pPr>
            <w:r>
              <w:t xml:space="preserve">D2</w:t>
            </w:r>
          </w:p>
        </w:tc>
        <w:tc>
          <w:tcPr/>
          <w:p>
            <w:pPr>
              <w:pStyle w:val="Compact"/>
              <w:jc w:val="left"/>
            </w:pPr>
            <w:r>
              <w:t xml:space="preserve">12-18</w:t>
            </w:r>
          </w:p>
        </w:tc>
        <w:tc>
          <w:tcPr/>
          <w:p>
            <w:pPr>
              <w:pStyle w:val="Compact"/>
              <w:jc w:val="left"/>
            </w:pPr>
            <w:r>
              <w:t xml:space="preserve">41.2%</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D3</w:t>
            </w:r>
          </w:p>
        </w:tc>
        <w:tc>
          <w:tcPr/>
          <w:p>
            <w:pPr>
              <w:pStyle w:val="Compact"/>
              <w:jc w:val="left"/>
            </w:pPr>
            <w:r>
              <w:t xml:space="preserve">18-20</w:t>
            </w:r>
          </w:p>
        </w:tc>
        <w:tc>
          <w:tcPr/>
          <w:p>
            <w:pPr>
              <w:pStyle w:val="Compact"/>
              <w:jc w:val="left"/>
            </w:pPr>
            <w:r>
              <w:t xml:space="preserve">48.3%</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D4</w:t>
            </w:r>
          </w:p>
        </w:tc>
        <w:tc>
          <w:tcPr/>
          <w:p>
            <w:pPr>
              <w:pStyle w:val="Compact"/>
              <w:jc w:val="left"/>
            </w:pPr>
            <w:r>
              <w:t xml:space="preserve">20-28</w:t>
            </w:r>
          </w:p>
        </w:tc>
        <w:tc>
          <w:tcPr/>
          <w:p>
            <w:pPr>
              <w:pStyle w:val="Compact"/>
              <w:jc w:val="left"/>
            </w:pPr>
            <w:r>
              <w:t xml:space="preserve">54.9%</w:t>
            </w:r>
          </w:p>
        </w:tc>
        <w:tc>
          <w:tcPr/>
          <w:p>
            <w:pPr>
              <w:pStyle w:val="Compact"/>
              <w:jc w:val="left"/>
            </w:pPr>
            <w:r>
              <w:t xml:space="preserve">Rising</w:t>
            </w:r>
          </w:p>
        </w:tc>
        <w:tc>
          <w:tcPr/>
          <w:p>
            <w:pPr>
              <w:pStyle w:val="Compact"/>
              <w:jc w:val="left"/>
            </w:pPr>
            <w:r>
              <w:t xml:space="preserve">Expected</w:t>
            </w:r>
          </w:p>
        </w:tc>
      </w:tr>
      <w:tr>
        <w:tc>
          <w:tcPr/>
          <w:p>
            <w:pPr>
              <w:pStyle w:val="Compact"/>
              <w:jc w:val="left"/>
            </w:pPr>
            <w:r>
              <w:t xml:space="preserve">D5</w:t>
            </w:r>
          </w:p>
        </w:tc>
        <w:tc>
          <w:tcPr/>
          <w:p>
            <w:pPr>
              <w:pStyle w:val="Compact"/>
              <w:jc w:val="left"/>
            </w:pPr>
            <w:r>
              <w:t xml:space="preserve">28-30</w:t>
            </w:r>
          </w:p>
        </w:tc>
        <w:tc>
          <w:tcPr/>
          <w:p>
            <w:pPr>
              <w:pStyle w:val="Compact"/>
              <w:jc w:val="left"/>
            </w:pPr>
            <w:r>
              <w:t xml:space="preserve">55.7%</w:t>
            </w:r>
          </w:p>
        </w:tc>
        <w:tc>
          <w:tcPr/>
          <w:p>
            <w:pPr>
              <w:pStyle w:val="Compact"/>
              <w:jc w:val="left"/>
            </w:pPr>
            <w:r>
              <w:t xml:space="preserve">Rising</w:t>
            </w:r>
          </w:p>
        </w:tc>
        <w:tc>
          <w:tcPr/>
          <w:p>
            <w:pPr>
              <w:pStyle w:val="Compact"/>
              <w:jc w:val="left"/>
            </w:pPr>
            <w:r>
              <w:t xml:space="preserve">Expected — local peak</w:t>
            </w:r>
          </w:p>
        </w:tc>
      </w:tr>
      <w:tr>
        <w:tc>
          <w:tcPr/>
          <w:p>
            <w:pPr>
              <w:pStyle w:val="Compact"/>
              <w:jc w:val="left"/>
            </w:pPr>
            <w:r>
              <w:t xml:space="preserve">D6</w:t>
            </w:r>
          </w:p>
        </w:tc>
        <w:tc>
          <w:tcPr/>
          <w:p>
            <w:pPr>
              <w:pStyle w:val="Compact"/>
              <w:jc w:val="left"/>
            </w:pPr>
            <w:r>
              <w:t xml:space="preserve">30-35</w:t>
            </w:r>
          </w:p>
        </w:tc>
        <w:tc>
          <w:tcPr/>
          <w:p>
            <w:pPr>
              <w:pStyle w:val="Compact"/>
              <w:jc w:val="left"/>
            </w:pPr>
            <w:r>
              <w:t xml:space="preserve">43.1%</w:t>
            </w:r>
          </w:p>
        </w:tc>
        <w:tc>
          <w:tcPr/>
          <w:p>
            <w:pPr>
              <w:pStyle w:val="Compact"/>
              <w:jc w:val="left"/>
            </w:pPr>
            <w:r>
              <w:rPr>
                <w:bCs/>
                <w:b/>
              </w:rPr>
              <w:t xml:space="preserve">Falling</w:t>
            </w:r>
          </w:p>
        </w:tc>
        <w:tc>
          <w:tcPr/>
          <w:p>
            <w:pPr>
              <w:pStyle w:val="Compact"/>
              <w:jc w:val="left"/>
            </w:pPr>
            <w:r>
              <w:rPr>
                <w:bCs/>
                <w:b/>
              </w:rPr>
              <w:t xml:space="preserve">INVERSION #1</w:t>
            </w:r>
          </w:p>
        </w:tc>
      </w:tr>
      <w:tr>
        <w:tc>
          <w:tcPr/>
          <w:p>
            <w:pPr>
              <w:pStyle w:val="Compact"/>
              <w:jc w:val="left"/>
            </w:pPr>
            <w:r>
              <w:t xml:space="preserve">D7</w:t>
            </w:r>
          </w:p>
        </w:tc>
        <w:tc>
          <w:tcPr/>
          <w:p>
            <w:pPr>
              <w:pStyle w:val="Compact"/>
              <w:jc w:val="left"/>
            </w:pPr>
            <w:r>
              <w:t xml:space="preserve">35-40</w:t>
            </w:r>
          </w:p>
        </w:tc>
        <w:tc>
          <w:tcPr/>
          <w:p>
            <w:pPr>
              <w:pStyle w:val="Compact"/>
              <w:jc w:val="left"/>
            </w:pPr>
            <w:r>
              <w:t xml:space="preserve">35.7%</w:t>
            </w:r>
          </w:p>
        </w:tc>
        <w:tc>
          <w:tcPr/>
          <w:p>
            <w:pPr>
              <w:pStyle w:val="Compact"/>
              <w:jc w:val="left"/>
            </w:pPr>
            <w:r>
              <w:rPr>
                <w:bCs/>
                <w:b/>
              </w:rPr>
              <w:t xml:space="preserve">Falling</w:t>
            </w:r>
          </w:p>
        </w:tc>
        <w:tc>
          <w:tcPr/>
          <w:p>
            <w:pPr>
              <w:pStyle w:val="Compact"/>
              <w:jc w:val="left"/>
            </w:pPr>
            <w:r>
              <w:rPr>
                <w:bCs/>
                <w:b/>
              </w:rPr>
              <w:t xml:space="preserve">INVERSION #2 — Dead Zone</w:t>
            </w:r>
          </w:p>
        </w:tc>
      </w:tr>
      <w:tr>
        <w:tc>
          <w:tcPr/>
          <w:p>
            <w:pPr>
              <w:pStyle w:val="Compact"/>
              <w:jc w:val="left"/>
            </w:pPr>
            <w:r>
              <w:t xml:space="preserve">D8</w:t>
            </w:r>
          </w:p>
        </w:tc>
        <w:tc>
          <w:tcPr/>
          <w:p>
            <w:pPr>
              <w:pStyle w:val="Compact"/>
              <w:jc w:val="left"/>
            </w:pPr>
            <w:r>
              <w:t xml:space="preserve">40-48</w:t>
            </w:r>
          </w:p>
        </w:tc>
        <w:tc>
          <w:tcPr/>
          <w:p>
            <w:pPr>
              <w:pStyle w:val="Compact"/>
              <w:jc w:val="left"/>
            </w:pPr>
            <w:r>
              <w:t xml:space="preserve">52.0%</w:t>
            </w:r>
          </w:p>
        </w:tc>
        <w:tc>
          <w:tcPr/>
          <w:p>
            <w:pPr>
              <w:pStyle w:val="Compact"/>
              <w:jc w:val="left"/>
            </w:pPr>
            <w:r>
              <w:rPr>
                <w:bCs/>
                <w:b/>
              </w:rPr>
              <w:t xml:space="preserve">Rising</w:t>
            </w:r>
          </w:p>
        </w:tc>
        <w:tc>
          <w:tcPr/>
          <w:p>
            <w:pPr>
              <w:pStyle w:val="Compact"/>
              <w:jc w:val="left"/>
            </w:pPr>
            <w:r>
              <w:rPr>
                <w:bCs/>
                <w:b/>
              </w:rPr>
              <w:t xml:space="preserve">INVERSION #3 — Recovery from dead zone</w:t>
            </w:r>
          </w:p>
        </w:tc>
      </w:tr>
      <w:tr>
        <w:tc>
          <w:tcPr/>
          <w:p>
            <w:pPr>
              <w:pStyle w:val="Compact"/>
              <w:jc w:val="left"/>
            </w:pPr>
            <w:r>
              <w:t xml:space="preserve">D9</w:t>
            </w:r>
          </w:p>
        </w:tc>
        <w:tc>
          <w:tcPr/>
          <w:p>
            <w:pPr>
              <w:pStyle w:val="Compact"/>
              <w:jc w:val="left"/>
            </w:pPr>
            <w:r>
              <w:t xml:space="preserve">48-60+</w:t>
            </w:r>
          </w:p>
        </w:tc>
        <w:tc>
          <w:tcPr/>
          <w:p>
            <w:pPr>
              <w:pStyle w:val="Compact"/>
              <w:jc w:val="left"/>
            </w:pPr>
            <w:r>
              <w:t xml:space="preserve">47.8%</w:t>
            </w:r>
          </w:p>
        </w:tc>
        <w:tc>
          <w:tcPr/>
          <w:p>
            <w:pPr>
              <w:pStyle w:val="Compact"/>
              <w:jc w:val="left"/>
            </w:pPr>
            <w:r>
              <w:rPr>
                <w:bCs/>
                <w:b/>
              </w:rPr>
              <w:t xml:space="preserve">Falling</w:t>
            </w:r>
          </w:p>
        </w:tc>
        <w:tc>
          <w:tcPr/>
          <w:p>
            <w:pPr>
              <w:pStyle w:val="Compact"/>
              <w:jc w:val="left"/>
            </w:pPr>
            <w:r>
              <w:rPr>
                <w:bCs/>
                <w:b/>
              </w:rPr>
              <w:t xml:space="preserve">INVERSION #4 — Overconfidence penalty</w:t>
            </w:r>
          </w:p>
        </w:tc>
      </w:tr>
    </w:tbl>
    <w:p>
      <w:pPr>
        <w:pStyle w:val="BodyText"/>
      </w:pPr>
      <w:r>
        <w:t xml:space="preserve">The D5-to-D7 progression is particularly damaging: win rate collapses from 55.7% to 35.7%—a 20-percentage-point decline despite a 12-point score increase. D6-D7 functions as a</w:t>
      </w:r>
      <w:r>
        <w:t xml:space="preserve"> </w:t>
      </w:r>
      <w:r>
        <w:t xml:space="preserve">“</w:t>
      </w:r>
      <w:r>
        <w:t xml:space="preserve">dead zone</w:t>
      </w:r>
      <w:r>
        <w:t xml:space="preserve">”</w:t>
      </w:r>
      <w:r>
        <w:t xml:space="preserve"> </w:t>
      </w:r>
      <w:r>
        <w:t xml:space="preserve">where mid-range scores mask poor performance</w:t>
      </w:r>
      <w:r>
        <w:t xml:space="preserve"> </w:t>
      </w:r>
      <w:r>
        <w:rPr>
          <w:vertAlign w:val="superscript"/>
        </w:rPr>
        <w:t xml:space="preserve">31</w:t>
      </w:r>
      <w:r>
        <w:t xml:space="preserve">. D8 recovers to 52.0% before D9 falls to 47.8%, meaning the score zigzags rather than improves monotonically. Such a pattern cannot serve as a reliable filtering threshold.</w:t>
      </w:r>
    </w:p>
    <w:bookmarkStart w:id="37" w:name="the-overconfidence-penalty"/>
    <w:p>
      <w:pPr>
        <w:pStyle w:val="Heading4"/>
      </w:pPr>
      <w:r>
        <w:t xml:space="preserve">3.2.2 The Overconfidence Penalty</w:t>
      </w:r>
    </w:p>
    <w:p>
      <w:pPr>
        <w:pStyle w:val="FirstParagraph"/>
      </w:pPr>
      <w:r>
        <w:t xml:space="preserve">The D9 inversion reflects the same overconfidence penalty seen in raw ML confidence. Highly confident predictions react to regime_bonus (</w:t>
      </w:r>
      <m:oMath>
        <m:r>
          <m:t>r</m:t>
        </m:r>
        <m:r>
          <m:rPr>
            <m:sty m:val="p"/>
          </m:rPr>
          <m:t>=</m:t>
        </m:r>
        <m:r>
          <m:rPr>
            <m:sty m:val="p"/>
          </m:rPr>
          <m:t>−</m:t>
        </m:r>
        <m:r>
          <m:t>0.115</m:t>
        </m:r>
      </m:oMath>
      <w:r>
        <w:t xml:space="preserve">) or noise features that inflate the composite while degrading outcomes</w:t>
      </w:r>
      <w:r>
        <w:t xml:space="preserve"> </w:t>
      </w:r>
      <w:r>
        <w:rPr>
          <w:vertAlign w:val="superscript"/>
        </w:rPr>
        <w:t xml:space="preserve">31</w:t>
      </w:r>
      <w:r>
        <w:t xml:space="preserve">. The 0.70-0.79 band’s 57.0% win rate outperforms the 0.90+ band’s 47.1% by 10 percentage points, confirming that medium-confidence predictions paradoxically achieve greater accuracy</w:t>
      </w:r>
      <w:r>
        <w:t xml:space="preserve"> </w:t>
      </w:r>
      <w:r>
        <w:rPr>
          <w:vertAlign w:val="superscript"/>
        </w:rPr>
        <w:t xml:space="preserve">31</w:t>
      </w:r>
      <w:r>
        <w:t xml:space="preserve">.</w:t>
      </w:r>
    </w:p>
    <w:bookmarkEnd w:id="37"/>
    <w:bookmarkEnd w:id="38"/>
    <w:bookmarkStart w:id="41" w:name="inverted-weights"/>
    <w:p>
      <w:pPr>
        <w:pStyle w:val="Heading3"/>
      </w:pPr>
      <w:r>
        <w:t xml:space="preserve">3.3 Inverted Weights</w:t>
      </w:r>
    </w:p>
    <w:p>
      <w:pPr>
        <w:pStyle w:val="FirstParagraph"/>
      </w:pPr>
      <w:r>
        <w:t xml:space="preserve">The composite’s non-monotonicity stems from a weighting scheme that inverts the empirical correlation ranking: the strongest predictors receive modest weights, while anti-predictive components receive substantial allocations.</w:t>
      </w:r>
    </w:p>
    <w:bookmarkStart w:id="39" w:name="X104754de70494bd9f1c06bb0361bc8153e03819"/>
    <w:p>
      <w:pPr>
        <w:pStyle w:val="Heading4"/>
      </w:pPr>
      <w:r>
        <w:t xml:space="preserve">3.3.1 Component Correlation vs. Weight Allocation</w:t>
      </w:r>
    </w:p>
    <w:tbl>
      <w:tblPr>
        <w:tblStyle w:val="Table"/>
        <w:tblW w:type="pct" w:w="5000"/>
        <w:tblLook w:firstRow="1" w:lastRow="0" w:firstColumn="0" w:lastColumn="0" w:noHBand="0" w:noVBand="0" w:val="0020"/>
      </w:tblPr>
      <w:tblGrid>
        <w:gridCol w:w="821"/>
        <w:gridCol w:w="1942"/>
        <w:gridCol w:w="1195"/>
        <w:gridCol w:w="1419"/>
        <w:gridCol w:w="1270"/>
        <w:gridCol w:w="1270"/>
      </w:tblGrid>
      <w:tr>
        <w:trPr>
          <w:tblHeader w:val="true"/>
        </w:trPr>
        <w:tc>
          <w:tcPr/>
          <w:p>
            <w:pPr>
              <w:pStyle w:val="Compact"/>
              <w:jc w:val="left"/>
            </w:pPr>
            <w:r>
              <w:t xml:space="preserve">Component</w:t>
            </w:r>
          </w:p>
        </w:tc>
        <w:tc>
          <w:tcPr/>
          <w:p>
            <w:pPr>
              <w:pStyle w:val="Compact"/>
              <w:jc w:val="left"/>
            </w:pPr>
            <w:r>
              <w:t xml:space="preserve">Correlation (</w:t>
            </w:r>
            <m:oMath>
              <m:r>
                <m:t>r</m:t>
              </m:r>
            </m:oMath>
            <w:r>
              <w:t xml:space="preserve">) with WR</w:t>
            </w:r>
          </w:p>
        </w:tc>
        <w:tc>
          <w:tcPr/>
          <w:p>
            <w:pPr>
              <w:pStyle w:val="Compact"/>
              <w:jc w:val="left"/>
            </w:pPr>
            <w:r>
              <w:t xml:space="preserve">Current Weight</w:t>
            </w:r>
          </w:p>
        </w:tc>
        <w:tc>
          <w:tcPr/>
          <w:p>
            <w:pPr>
              <w:pStyle w:val="Compact"/>
              <w:jc w:val="left"/>
            </w:pPr>
            <w:r>
              <w:t xml:space="preserve">Predictive Signal</w:t>
            </w:r>
          </w:p>
        </w:tc>
        <w:tc>
          <w:tcPr/>
          <w:p>
            <w:pPr>
              <w:pStyle w:val="Compact"/>
              <w:jc w:val="left"/>
            </w:pPr>
            <w:r>
              <w:t xml:space="preserve">Proposed Weight</w:t>
            </w:r>
          </w:p>
        </w:tc>
        <w:tc>
          <w:tcPr/>
          <w:p>
            <w:pPr>
              <w:pStyle w:val="Compact"/>
              <w:jc w:val="left"/>
            </w:pPr>
            <w:r>
              <w:t xml:space="preserve">Proposed Change</w:t>
            </w:r>
          </w:p>
        </w:tc>
      </w:tr>
      <w:tr>
        <w:tc>
          <w:tcPr/>
          <w:p>
            <w:pPr>
              <w:pStyle w:val="Compact"/>
              <w:jc w:val="left"/>
            </w:pPr>
            <w:r>
              <w:rPr>
                <w:bCs/>
                <w:b/>
              </w:rPr>
              <w:t xml:space="preserve">forward_wr</w:t>
            </w:r>
          </w:p>
        </w:tc>
        <w:tc>
          <w:tcPr/>
          <w:p>
            <w:pPr>
              <w:pStyle w:val="Compact"/>
              <w:jc w:val="left"/>
            </w:pPr>
            <w:r>
              <w:rPr>
                <w:bCs/>
                <w:b/>
              </w:rPr>
              <w:t xml:space="preserve">+0.242</w:t>
            </w:r>
          </w:p>
        </w:tc>
        <w:tc>
          <w:tcPr/>
          <w:p>
            <w:pPr>
              <w:pStyle w:val="Compact"/>
              <w:jc w:val="left"/>
            </w:pPr>
            <w:r>
              <w:t xml:space="preserve">25 pts</w:t>
            </w:r>
          </w:p>
        </w:tc>
        <w:tc>
          <w:tcPr/>
          <w:p>
            <w:pPr>
              <w:pStyle w:val="Compact"/>
              <w:jc w:val="left"/>
            </w:pPr>
            <w:r>
              <w:t xml:space="preserve">Best predictor</w:t>
            </w:r>
          </w:p>
        </w:tc>
        <w:tc>
          <w:tcPr/>
          <w:p>
            <w:pPr>
              <w:pStyle w:val="Compact"/>
              <w:jc w:val="left"/>
            </w:pPr>
            <w:r>
              <w:rPr>
                <w:bCs/>
                <w:b/>
              </w:rPr>
              <w:t xml:space="preserve">55 pts</w:t>
            </w:r>
          </w:p>
        </w:tc>
        <w:tc>
          <w:tcPr/>
          <w:p>
            <w:pPr>
              <w:pStyle w:val="Compact"/>
              <w:jc w:val="left"/>
            </w:pPr>
            <w:r>
              <w:t xml:space="preserve">+120%</w:t>
            </w:r>
          </w:p>
        </w:tc>
      </w:tr>
      <w:tr>
        <w:tc>
          <w:tcPr/>
          <w:p>
            <w:pPr>
              <w:pStyle w:val="Compact"/>
              <w:jc w:val="left"/>
            </w:pPr>
            <w:r>
              <w:t xml:space="preserve">leverage_safety</w:t>
            </w:r>
          </w:p>
        </w:tc>
        <w:tc>
          <w:tcPr/>
          <w:p>
            <w:pPr>
              <w:pStyle w:val="Compact"/>
              <w:jc w:val="left"/>
            </w:pPr>
            <w:r>
              <w:t xml:space="preserve">+0.133</w:t>
            </w:r>
          </w:p>
        </w:tc>
        <w:tc>
          <w:tcPr/>
          <w:p>
            <w:pPr>
              <w:pStyle w:val="Compact"/>
              <w:jc w:val="left"/>
            </w:pPr>
            <w:r>
              <w:t xml:space="preserve">5 pts</w:t>
            </w:r>
          </w:p>
        </w:tc>
        <w:tc>
          <w:tcPr/>
          <w:p>
            <w:pPr>
              <w:pStyle w:val="Compact"/>
              <w:jc w:val="left"/>
            </w:pPr>
            <w:r>
              <w:t xml:space="preserve">Moderate positive</w:t>
            </w:r>
          </w:p>
        </w:tc>
        <w:tc>
          <w:tcPr/>
          <w:p>
            <w:pPr>
              <w:pStyle w:val="Compact"/>
              <w:jc w:val="left"/>
            </w:pPr>
            <w:r>
              <w:t xml:space="preserve">10 pts</w:t>
            </w:r>
          </w:p>
        </w:tc>
        <w:tc>
          <w:tcPr/>
          <w:p>
            <w:pPr>
              <w:pStyle w:val="Compact"/>
              <w:jc w:val="left"/>
            </w:pPr>
            <w:r>
              <w:t xml:space="preserve">+100%</w:t>
            </w:r>
          </w:p>
        </w:tc>
      </w:tr>
      <w:tr>
        <w:tc>
          <w:tcPr/>
          <w:p>
            <w:pPr>
              <w:pStyle w:val="Compact"/>
              <w:jc w:val="left"/>
            </w:pPr>
            <w:r>
              <w:t xml:space="preserve">source_system</w:t>
            </w:r>
          </w:p>
        </w:tc>
        <w:tc>
          <w:tcPr/>
          <w:p>
            <w:pPr>
              <w:pStyle w:val="Compact"/>
              <w:jc w:val="left"/>
            </w:pPr>
            <w:r>
              <w:t xml:space="preserve">+0.080</w:t>
            </w:r>
          </w:p>
        </w:tc>
        <w:tc>
          <w:tcPr/>
          <w:p>
            <w:pPr>
              <w:pStyle w:val="Compact"/>
              <w:jc w:val="left"/>
            </w:pPr>
            <w:r>
              <w:t xml:space="preserve">N/A</w:t>
            </w:r>
          </w:p>
        </w:tc>
        <w:tc>
          <w:tcPr/>
          <w:p>
            <w:pPr>
              <w:pStyle w:val="Compact"/>
              <w:jc w:val="left"/>
            </w:pPr>
            <w:r>
              <w:t xml:space="preserve">Weak positive</w:t>
            </w:r>
          </w:p>
        </w:tc>
        <w:tc>
          <w:tcPr/>
          <w:p>
            <w:pPr>
              <w:pStyle w:val="Compact"/>
              <w:jc w:val="left"/>
            </w:pPr>
            <w:r>
              <w:t xml:space="preserve">5 pts</w:t>
            </w:r>
          </w:p>
        </w:tc>
        <w:tc>
          <w:tcPr/>
          <w:p>
            <w:pPr>
              <w:pStyle w:val="Compact"/>
              <w:jc w:val="left"/>
            </w:pPr>
            <w:r>
              <w:t xml:space="preserve">—</w:t>
            </w:r>
          </w:p>
        </w:tc>
      </w:tr>
      <w:tr>
        <w:tc>
          <w:tcPr/>
          <w:p>
            <w:pPr>
              <w:pStyle w:val="Compact"/>
              <w:jc w:val="left"/>
            </w:pPr>
            <w:r>
              <w:t xml:space="preserve">elite_score (composite)</w:t>
            </w:r>
          </w:p>
        </w:tc>
        <w:tc>
          <w:tcPr/>
          <w:p>
            <w:pPr>
              <w:pStyle w:val="Compact"/>
              <w:jc w:val="left"/>
            </w:pPr>
            <w:r>
              <w:t xml:space="preserve">+0.100</w:t>
            </w:r>
          </w:p>
        </w:tc>
        <w:tc>
          <w:tcPr/>
          <w:p>
            <w:pPr>
              <w:pStyle w:val="Compact"/>
              <w:jc w:val="left"/>
            </w:pPr>
            <w:r>
              <w:t xml:space="preserve">Aggregate</w:t>
            </w:r>
          </w:p>
        </w:tc>
        <w:tc>
          <w:tcPr/>
          <w:p>
            <w:pPr>
              <w:pStyle w:val="Compact"/>
              <w:jc w:val="left"/>
            </w:pPr>
            <w:r>
              <w:t xml:space="preserve">Weak (non-monotonic)</w:t>
            </w:r>
            <w:r>
              <w:t xml:space="preserve"> </w:t>
            </w:r>
            <w:r>
              <w:rPr>
                <w:vertAlign w:val="superscript"/>
              </w:rPr>
              <w:t xml:space="preserve">31</w:t>
            </w:r>
          </w:p>
        </w:tc>
        <w:tc>
          <w:tcPr/>
          <w:p>
            <w:pPr>
              <w:pStyle w:val="Compact"/>
              <w:jc w:val="left"/>
            </w:pPr>
            <w:r>
              <w:t xml:space="preserve">N/A</w:t>
            </w:r>
          </w:p>
        </w:tc>
        <w:tc>
          <w:tcPr/>
          <w:p>
            <w:pPr>
              <w:pStyle w:val="Compact"/>
              <w:jc w:val="left"/>
            </w:pPr>
            <w:r>
              <w:t xml:space="preserve">Rebuild formula</w:t>
            </w:r>
          </w:p>
        </w:tc>
      </w:tr>
      <w:tr>
        <w:tc>
          <w:tcPr/>
          <w:p>
            <w:pPr>
              <w:pStyle w:val="Compact"/>
              <w:jc w:val="left"/>
            </w:pPr>
            <w:r>
              <w:t xml:space="preserve">ml_composite_score</w:t>
            </w:r>
          </w:p>
        </w:tc>
        <w:tc>
          <w:tcPr/>
          <w:p>
            <w:pPr>
              <w:pStyle w:val="Compact"/>
              <w:jc w:val="left"/>
            </w:pPr>
            <w:r>
              <w:t xml:space="preserve">+0.220</w:t>
            </w:r>
          </w:p>
        </w:tc>
        <w:tc>
          <w:tcPr/>
          <w:p>
            <w:pPr>
              <w:pStyle w:val="Compact"/>
              <w:jc w:val="left"/>
            </w:pPr>
            <w:r>
              <w:t xml:space="preserve">25 pts</w:t>
            </w:r>
          </w:p>
        </w:tc>
        <w:tc>
          <w:tcPr/>
          <w:p>
            <w:pPr>
              <w:pStyle w:val="Compact"/>
              <w:jc w:val="left"/>
            </w:pPr>
            <w:r>
              <w:t xml:space="preserve">Moderate positive</w:t>
            </w:r>
          </w:p>
        </w:tc>
        <w:tc>
          <w:tcPr/>
          <w:p>
            <w:pPr>
              <w:pStyle w:val="Compact"/>
              <w:jc w:val="left"/>
            </w:pPr>
            <w:r>
              <w:t xml:space="preserve">15 pts</w:t>
            </w:r>
          </w:p>
        </w:tc>
        <w:tc>
          <w:tcPr/>
          <w:p>
            <w:pPr>
              <w:pStyle w:val="Compact"/>
              <w:jc w:val="left"/>
            </w:pPr>
            <w:r>
              <w:t xml:space="preserve">-40%</w:t>
            </w:r>
          </w:p>
        </w:tc>
      </w:tr>
      <w:tr>
        <w:tc>
          <w:tcPr/>
          <w:p>
            <w:pPr>
              <w:pStyle w:val="Compact"/>
              <w:jc w:val="left"/>
            </w:pPr>
            <w:r>
              <w:rPr>
                <w:bCs/>
                <w:b/>
              </w:rPr>
              <w:t xml:space="preserve">ml_score (raw)</w:t>
            </w:r>
          </w:p>
        </w:tc>
        <w:tc>
          <w:tcPr/>
          <w:p>
            <w:pPr>
              <w:pStyle w:val="Compact"/>
              <w:jc w:val="left"/>
            </w:pPr>
            <w:r>
              <w:rPr>
                <w:bCs/>
                <w:b/>
              </w:rPr>
              <w:t xml:space="preserve">-0.012</w:t>
            </w:r>
          </w:p>
        </w:tc>
        <w:tc>
          <w:tcPr/>
          <w:p>
            <w:pPr>
              <w:pStyle w:val="Compact"/>
              <w:jc w:val="left"/>
            </w:pPr>
            <w:r>
              <w:rPr>
                <w:bCs/>
                <w:b/>
              </w:rPr>
              <w:t xml:space="preserve">9-25 pts</w:t>
            </w:r>
          </w:p>
        </w:tc>
        <w:tc>
          <w:tcPr/>
          <w:p>
            <w:pPr>
              <w:pStyle w:val="Compact"/>
              <w:jc w:val="left"/>
            </w:pPr>
            <w:r>
              <w:rPr>
                <w:bCs/>
                <w:b/>
              </w:rPr>
              <w:t xml:space="preserve">Noise</w:t>
            </w:r>
          </w:p>
        </w:tc>
        <w:tc>
          <w:tcPr/>
          <w:p>
            <w:pPr>
              <w:pStyle w:val="Compact"/>
              <w:jc w:val="left"/>
            </w:pPr>
            <w:r>
              <w:rPr>
                <w:bCs/>
                <w:b/>
              </w:rPr>
              <w:t xml:space="preserve">4 pts</w:t>
            </w:r>
          </w:p>
        </w:tc>
        <w:tc>
          <w:tcPr/>
          <w:p>
            <w:pPr>
              <w:pStyle w:val="Compact"/>
              <w:jc w:val="left"/>
            </w:pPr>
            <w:r>
              <w:rPr>
                <w:bCs/>
                <w:b/>
              </w:rPr>
              <w:t xml:space="preserve">-56%</w:t>
            </w:r>
          </w:p>
        </w:tc>
      </w:tr>
      <w:tr>
        <w:tc>
          <w:tcPr/>
          <w:p>
            <w:pPr>
              <w:pStyle w:val="Compact"/>
              <w:jc w:val="left"/>
            </w:pPr>
            <w:r>
              <w:t xml:space="preserve">market_cap_tier</w:t>
            </w:r>
          </w:p>
        </w:tc>
        <w:tc>
          <w:tcPr/>
          <w:p>
            <w:pPr>
              <w:pStyle w:val="Compact"/>
              <w:jc w:val="left"/>
            </w:pPr>
            <w:r>
              <w:t xml:space="preserve">+0.056</w:t>
            </w:r>
          </w:p>
        </w:tc>
        <w:tc>
          <w:tcPr/>
          <w:p>
            <w:pPr>
              <w:pStyle w:val="Compact"/>
              <w:jc w:val="left"/>
            </w:pPr>
            <w:r>
              <w:t xml:space="preserve">N/A</w:t>
            </w:r>
          </w:p>
        </w:tc>
        <w:tc>
          <w:tcPr/>
          <w:p>
            <w:pPr>
              <w:pStyle w:val="Compact"/>
              <w:jc w:val="left"/>
            </w:pPr>
            <w:r>
              <w:t xml:space="preserve">Negligible</w:t>
            </w:r>
          </w:p>
        </w:tc>
        <w:tc>
          <w:tcPr/>
          <w:p>
            <w:pPr>
              <w:pStyle w:val="Compact"/>
              <w:jc w:val="left"/>
            </w:pPr>
            <w:r>
              <w:t xml:space="preserve">5 pts</w:t>
            </w:r>
          </w:p>
        </w:tc>
        <w:tc>
          <w:tcPr/>
          <w:p>
            <w:pPr>
              <w:pStyle w:val="Compact"/>
              <w:jc w:val="left"/>
            </w:pPr>
            <w:r>
              <w:t xml:space="preserve">—</w:t>
            </w:r>
          </w:p>
        </w:tc>
      </w:tr>
      <w:tr>
        <w:tc>
          <w:tcPr/>
          <w:p>
            <w:pPr>
              <w:pStyle w:val="Compact"/>
              <w:jc w:val="left"/>
            </w:pPr>
            <w:r>
              <w:rPr>
                <w:bCs/>
                <w:b/>
              </w:rPr>
              <w:t xml:space="preserve">regime_bonus</w:t>
            </w:r>
          </w:p>
        </w:tc>
        <w:tc>
          <w:tcPr/>
          <w:p>
            <w:pPr>
              <w:pStyle w:val="Compact"/>
              <w:jc w:val="left"/>
            </w:pPr>
            <w:r>
              <w:rPr>
                <w:bCs/>
                <w:b/>
              </w:rPr>
              <w:t xml:space="preserve">-0.115</w:t>
            </w:r>
          </w:p>
        </w:tc>
        <w:tc>
          <w:tcPr/>
          <w:p>
            <w:pPr>
              <w:pStyle w:val="Compact"/>
              <w:jc w:val="left"/>
            </w:pPr>
            <w:r>
              <w:rPr>
                <w:bCs/>
                <w:b/>
              </w:rPr>
              <w:t xml:space="preserve">20 pts</w:t>
            </w:r>
          </w:p>
        </w:tc>
        <w:tc>
          <w:tcPr/>
          <w:p>
            <w:pPr>
              <w:pStyle w:val="Compact"/>
              <w:jc w:val="left"/>
            </w:pPr>
            <w:r>
              <w:rPr>
                <w:bCs/>
                <w:b/>
              </w:rPr>
              <w:t xml:space="preserve">Anti-predictive</w:t>
            </w:r>
          </w:p>
        </w:tc>
        <w:tc>
          <w:tcPr/>
          <w:p>
            <w:pPr>
              <w:pStyle w:val="Compact"/>
              <w:jc w:val="left"/>
            </w:pPr>
            <w:r>
              <w:rPr>
                <w:bCs/>
                <w:b/>
              </w:rPr>
              <w:t xml:space="preserve">5 pts</w:t>
            </w:r>
          </w:p>
        </w:tc>
        <w:tc>
          <w:tcPr/>
          <w:p>
            <w:pPr>
              <w:pStyle w:val="Compact"/>
              <w:jc w:val="left"/>
            </w:pPr>
            <w:r>
              <w:rPr>
                <w:bCs/>
                <w:b/>
              </w:rPr>
              <w:t xml:space="preserve">-75%</w:t>
            </w:r>
          </w:p>
        </w:tc>
      </w:tr>
      <w:tr>
        <w:tc>
          <w:tcPr/>
          <w:p>
            <w:pPr>
              <w:pStyle w:val="Compact"/>
              <w:jc w:val="left"/>
            </w:pPr>
            <w:r>
              <w:t xml:space="preserve">(15 components)</w:t>
            </w:r>
          </w:p>
        </w:tc>
        <w:tc>
          <w:tcPr/>
          <w:p>
            <w:pPr>
              <w:pStyle w:val="Compact"/>
              <w:jc w:val="left"/>
            </w:pPr>
            <w:r>
              <w:t xml:space="preserve">0.000</w:t>
            </w:r>
          </w:p>
        </w:tc>
        <w:tc>
          <w:tcPr/>
          <w:p>
            <w:pPr>
              <w:pStyle w:val="Compact"/>
              <w:jc w:val="left"/>
            </w:pPr>
            <w:r>
              <w:t xml:space="preserve">Various</w:t>
            </w:r>
          </w:p>
        </w:tc>
        <w:tc>
          <w:tcPr/>
          <w:p>
            <w:pPr>
              <w:pStyle w:val="Compact"/>
              <w:jc w:val="left"/>
            </w:pPr>
            <w:r>
              <w:t xml:space="preserve">Pure noise</w:t>
            </w:r>
          </w:p>
        </w:tc>
        <w:tc>
          <w:tcPr/>
          <w:p>
            <w:pPr>
              <w:pStyle w:val="Compact"/>
              <w:jc w:val="left"/>
            </w:pPr>
            <w:r>
              <w:t xml:space="preserve">0-1 pts each</w:t>
            </w:r>
          </w:p>
        </w:tc>
        <w:tc>
          <w:tcPr/>
          <w:p>
            <w:pPr>
              <w:pStyle w:val="Compact"/>
              <w:jc w:val="left"/>
            </w:pPr>
            <w:r>
              <w:t xml:space="preserve">Eliminate</w:t>
            </w:r>
          </w:p>
        </w:tc>
      </w:tr>
    </w:tbl>
    <w:p>
      <w:pPr>
        <w:pStyle w:val="BodyText"/>
      </w:pPr>
      <w:r>
        <w:t xml:space="preserve">Three structural problems are visible.</w:t>
      </w:r>
      <w:r>
        <w:t xml:space="preserve"> </w:t>
      </w:r>
      <w:r>
        <w:rPr>
          <w:bCs/>
          <w:b/>
        </w:rPr>
        <w:t xml:space="preserve">forward_wr</w:t>
      </w:r>
      <w:r>
        <w:t xml:space="preserve">—the best predictor at</w:t>
      </w:r>
      <w:r>
        <w:t xml:space="preserve"> </w:t>
      </w:r>
      <m:oMath>
        <m:r>
          <m:t>r</m:t>
        </m:r>
        <m:r>
          <m:rPr>
            <m:sty m:val="p"/>
          </m:rPr>
          <m:t>=</m:t>
        </m:r>
        <m:r>
          <m:rPr>
            <m:sty m:val="p"/>
          </m:rPr>
          <m:t>+</m:t>
        </m:r>
        <m:r>
          <m:t>0.242</m:t>
        </m:r>
      </m:oMath>
      <w:r>
        <w:t xml:space="preserve">—receives only 25 points, identical to the random ml_score.</w:t>
      </w:r>
      <w:r>
        <w:t xml:space="preserve"> </w:t>
      </w:r>
      <w:r>
        <w:rPr>
          <w:bCs/>
          <w:b/>
        </w:rPr>
        <w:t xml:space="preserve">regime_bonus</w:t>
      </w:r>
      <w:r>
        <w:t xml:space="preserve"> </w:t>
      </w:r>
      <w:r>
        <w:t xml:space="preserve">at</w:t>
      </w:r>
      <w:r>
        <w:t xml:space="preserve"> </w:t>
      </w:r>
      <m:oMath>
        <m:r>
          <m:t>r</m:t>
        </m:r>
        <m:r>
          <m:rPr>
            <m:sty m:val="p"/>
          </m:rPr>
          <m:t>=</m:t>
        </m:r>
        <m:r>
          <m:rPr>
            <m:sty m:val="p"/>
          </m:rPr>
          <m:t>−</m:t>
        </m:r>
        <m:r>
          <m:t>0.115</m:t>
        </m:r>
      </m:oMath>
      <w:r>
        <w:t xml:space="preserve"> </w:t>
      </w:r>
      <w:r>
        <w:t xml:space="preserve">is actively harmful: it predicts worse returns, yet commands 20 points that inflate the composite when picks are weakest. Fifteen components carry zero correlation (</w:t>
      </w:r>
      <m:oMath>
        <m:r>
          <m:t>r</m:t>
        </m:r>
        <m:r>
          <m:rPr>
            <m:sty m:val="p"/>
          </m:rPr>
          <m:t>=</m:t>
        </m:r>
        <m:r>
          <m:t>0.000</m:t>
        </m:r>
      </m:oMath>
      <w:r>
        <w:t xml:space="preserve">) yet consume aggregate weight</w:t>
      </w:r>
      <w:r>
        <w:t xml:space="preserve"> </w:t>
      </w:r>
      <w:r>
        <w:rPr>
          <w:vertAlign w:val="superscript"/>
        </w:rPr>
        <w:t xml:space="preserve">31</w:t>
      </w:r>
      <w:r>
        <w:t xml:space="preserve">.</w:t>
      </w:r>
    </w:p>
    <w:bookmarkEnd w:id="39"/>
    <w:bookmarkStart w:id="40" w:name="proposed-weight-rebalance"/>
    <w:p>
      <w:pPr>
        <w:pStyle w:val="Heading4"/>
      </w:pPr>
      <w:r>
        <w:t xml:space="preserve">3.3.2 Proposed Weight Rebalance</w:t>
      </w:r>
    </w:p>
    <w:p>
      <w:pPr>
        <w:pStyle w:val="FirstParagraph"/>
      </w:pPr>
      <w:r>
        <w:t xml:space="preserve">The audit’s proposed fix: forward_wr increases from 25 to 55 points (+120%), regime_bonus collapses from 20 to 5 points (-75%), and raw ml_score drops from 9 to 4 points (-56%)</w:t>
      </w:r>
      <w:r>
        <w:t xml:space="preserve"> </w:t>
      </w:r>
      <w:r>
        <w:rPr>
          <w:vertAlign w:val="superscript"/>
        </w:rPr>
        <w:t xml:space="preserve">31</w:t>
      </w:r>
      <w:r>
        <w:t xml:space="preserve">. Until deployed, users should mentally reweight the elite_score by discounting regime_bonus and requiring forward_wr &gt;=55% regardless of headline composite value.</w:t>
      </w:r>
    </w:p>
    <w:bookmarkEnd w:id="40"/>
    <w:bookmarkEnd w:id="41"/>
    <w:bookmarkStart w:id="43" w:name="what-users-should-actually-filter-by"/>
    <w:p>
      <w:pPr>
        <w:pStyle w:val="Heading3"/>
      </w:pPr>
      <w:r>
        <w:t xml:space="preserve">3.4 What Users Should Actually Filter By</w:t>
      </w:r>
    </w:p>
    <w:p>
      <w:pPr>
        <w:pStyle w:val="FirstParagraph"/>
      </w:pPr>
      <w:r>
        <w:t xml:space="preserve">The trust_score &gt;=5 filter delivers 68-71% win rate</w:t>
      </w:r>
      <w:r>
        <w:t xml:space="preserve"> </w:t>
      </w:r>
      <w:r>
        <w:rPr>
          <w:vertAlign w:val="superscript"/>
        </w:rPr>
        <w:t xml:space="preserve">31</w:t>
      </w:r>
      <w:r>
        <w:t xml:space="preserve">—substantially higher than the composite’s peak decile of 55.7%. It captures source quality, track record, and cross-system agreement. Forward_win_rate in the 50-65% band delivers 69.7% win rate</w:t>
      </w:r>
      <w:r>
        <w:t xml:space="preserve"> </w:t>
      </w:r>
      <w:r>
        <w:rPr>
          <w:vertAlign w:val="superscript"/>
        </w:rPr>
        <w:t xml:space="preserve">31</w:t>
      </w:r>
      <w:r>
        <w:t xml:space="preserve">, the second most effective filter. The Risk:Reward 1.5-2.0 band—identified as the sole profitable zone with Profit Factor 5.81—provides the tertiary gate. Confidence in the 0.70-0.79 band adds a fourth layer at 57.0% win rate, though the inverted-U pattern means it must be range-bound.</w:t>
      </w:r>
    </w:p>
    <w:bookmarkStart w:id="42" w:name="filter-hierarchy"/>
    <w:p>
      <w:pPr>
        <w:pStyle w:val="Heading4"/>
      </w:pPr>
      <w:r>
        <w:t xml:space="preserve">3.4.1 Filter Hierarchy</w:t>
      </w:r>
    </w:p>
    <w:tbl>
      <w:tblPr>
        <w:tblStyle w:val="Table"/>
        <w:tblW w:type="pct" w:w="5000"/>
        <w:tblLook w:firstRow="1" w:lastRow="0" w:firstColumn="0" w:lastColumn="0" w:noHBand="0" w:noVBand="0" w:val="0020"/>
      </w:tblPr>
      <w:tblGrid>
        <w:gridCol w:w="709"/>
        <w:gridCol w:w="945"/>
        <w:gridCol w:w="1300"/>
        <w:gridCol w:w="1536"/>
        <w:gridCol w:w="1418"/>
        <w:gridCol w:w="2009"/>
      </w:tblGrid>
      <w:tr>
        <w:trPr>
          <w:tblHeader w:val="true"/>
        </w:trPr>
        <w:tc>
          <w:tcPr/>
          <w:p>
            <w:pPr>
              <w:pStyle w:val="Compact"/>
              <w:jc w:val="left"/>
            </w:pPr>
            <w:r>
              <w:t xml:space="preserve">Rank</w:t>
            </w:r>
          </w:p>
        </w:tc>
        <w:tc>
          <w:tcPr/>
          <w:p>
            <w:pPr>
              <w:pStyle w:val="Compact"/>
              <w:jc w:val="left"/>
            </w:pPr>
            <w:r>
              <w:t xml:space="preserve">Filter</w:t>
            </w:r>
          </w:p>
        </w:tc>
        <w:tc>
          <w:tcPr/>
          <w:p>
            <w:pPr>
              <w:pStyle w:val="Compact"/>
              <w:jc w:val="left"/>
            </w:pPr>
            <w:r>
              <w:t xml:space="preserve">Threshold</w:t>
            </w:r>
          </w:p>
        </w:tc>
        <w:tc>
          <w:tcPr/>
          <w:p>
            <w:pPr>
              <w:pStyle w:val="Compact"/>
              <w:jc w:val="left"/>
            </w:pPr>
            <w:r>
              <w:t xml:space="preserve">Expected WR</w:t>
            </w:r>
          </w:p>
        </w:tc>
        <w:tc>
          <w:tcPr/>
          <w:p>
            <w:pPr>
              <w:pStyle w:val="Compact"/>
              <w:jc w:val="left"/>
            </w:pPr>
            <w:r>
              <w:t xml:space="preserve">Pick Count</w:t>
            </w:r>
          </w:p>
        </w:tc>
        <w:tc>
          <w:tcPr/>
          <w:p>
            <w:pPr>
              <w:pStyle w:val="Compact"/>
              <w:jc w:val="left"/>
            </w:pPr>
            <w:r>
              <w:t xml:space="preserve">Evidence Source</w:t>
            </w:r>
          </w:p>
        </w:tc>
      </w:tr>
      <w:tr>
        <w:tc>
          <w:tcPr/>
          <w:p>
            <w:pPr>
              <w:pStyle w:val="Compact"/>
              <w:jc w:val="left"/>
            </w:pPr>
            <w:r>
              <w:rPr>
                <w:bCs/>
                <w:b/>
              </w:rPr>
              <w:t xml:space="preserve">1</w:t>
            </w:r>
          </w:p>
        </w:tc>
        <w:tc>
          <w:tcPr/>
          <w:p>
            <w:pPr>
              <w:pStyle w:val="Compact"/>
              <w:jc w:val="left"/>
            </w:pPr>
            <w:r>
              <w:rPr>
                <w:bCs/>
                <w:b/>
              </w:rPr>
              <w:t xml:space="preserve">trust_score</w:t>
            </w:r>
          </w:p>
        </w:tc>
        <w:tc>
          <w:tcPr/>
          <w:p>
            <w:pPr>
              <w:pStyle w:val="Compact"/>
              <w:jc w:val="left"/>
            </w:pPr>
            <w:r>
              <w:rPr>
                <w:bCs/>
                <w:b/>
              </w:rPr>
              <w:t xml:space="preserve">&gt;= 5</w:t>
            </w:r>
          </w:p>
        </w:tc>
        <w:tc>
          <w:tcPr/>
          <w:p>
            <w:pPr>
              <w:pStyle w:val="Compact"/>
              <w:jc w:val="left"/>
            </w:pPr>
            <w:r>
              <w:rPr>
                <w:bCs/>
                <w:b/>
              </w:rPr>
              <w:t xml:space="preserve">68-71%</w:t>
            </w:r>
          </w:p>
        </w:tc>
        <w:tc>
          <w:tcPr/>
          <w:p>
            <w:pPr>
              <w:pStyle w:val="Compact"/>
              <w:jc w:val="left"/>
            </w:pPr>
            <w:r>
              <w:t xml:space="preserve">Moderate</w:t>
            </w:r>
          </w:p>
        </w:tc>
        <w:tc>
          <w:tcPr/>
          <w:p>
            <w:pPr>
              <w:pStyle w:val="Compact"/>
              <w:jc w:val="left"/>
            </w:pPr>
            <w:r>
              <w:t xml:space="preserve">Score Calibration Audit, Signal Brackets</w:t>
            </w:r>
            <w:r>
              <w:t xml:space="preserve"> </w:t>
            </w:r>
            <w:r>
              <w:rPr>
                <w:vertAlign w:val="superscript"/>
              </w:rPr>
              <w:t xml:space="preserve">31</w:t>
            </w:r>
          </w:p>
        </w:tc>
      </w:tr>
      <w:tr>
        <w:tc>
          <w:tcPr/>
          <w:p>
            <w:pPr>
              <w:pStyle w:val="Compact"/>
              <w:jc w:val="left"/>
            </w:pPr>
            <w:r>
              <w:rPr>
                <w:bCs/>
                <w:b/>
              </w:rPr>
              <w:t xml:space="preserve">2</w:t>
            </w:r>
          </w:p>
        </w:tc>
        <w:tc>
          <w:tcPr/>
          <w:p>
            <w:pPr>
              <w:pStyle w:val="Compact"/>
              <w:jc w:val="left"/>
            </w:pPr>
            <w:r>
              <w:rPr>
                <w:bCs/>
                <w:b/>
              </w:rPr>
              <w:t xml:space="preserve">forward_wr</w:t>
            </w:r>
          </w:p>
        </w:tc>
        <w:tc>
          <w:tcPr/>
          <w:p>
            <w:pPr>
              <w:pStyle w:val="Compact"/>
              <w:jc w:val="left"/>
            </w:pPr>
            <w:r>
              <w:rPr>
                <w:bCs/>
                <w:b/>
              </w:rPr>
              <w:t xml:space="preserve">50-65%</w:t>
            </w:r>
          </w:p>
        </w:tc>
        <w:tc>
          <w:tcPr/>
          <w:p>
            <w:pPr>
              <w:pStyle w:val="Compact"/>
              <w:jc w:val="left"/>
            </w:pPr>
            <w:r>
              <w:rPr>
                <w:bCs/>
                <w:b/>
              </w:rPr>
              <w:t xml:space="preserve">69.7%</w:t>
            </w:r>
          </w:p>
        </w:tc>
        <w:tc>
          <w:tcPr/>
          <w:p>
            <w:pPr>
              <w:pStyle w:val="Compact"/>
              <w:jc w:val="left"/>
            </w:pPr>
            <w:r>
              <w:t xml:space="preserve">Moderate</w:t>
            </w:r>
          </w:p>
        </w:tc>
        <w:tc>
          <w:tcPr/>
          <w:p>
            <w:pPr>
              <w:pStyle w:val="Compact"/>
              <w:jc w:val="left"/>
            </w:pPr>
            <w:r>
              <w:t xml:space="preserve">Score Calibration Audit</w:t>
            </w:r>
            <w:r>
              <w:t xml:space="preserve"> </w:t>
            </w:r>
            <w:r>
              <w:rPr>
                <w:vertAlign w:val="superscript"/>
              </w:rPr>
              <w:t xml:space="preserve">31</w:t>
            </w:r>
          </w:p>
        </w:tc>
      </w:tr>
      <w:tr>
        <w:tc>
          <w:tcPr/>
          <w:p>
            <w:pPr>
              <w:pStyle w:val="Compact"/>
              <w:jc w:val="left"/>
            </w:pPr>
            <w:r>
              <w:t xml:space="preserve">3</w:t>
            </w:r>
          </w:p>
        </w:tc>
        <w:tc>
          <w:tcPr/>
          <w:p>
            <w:pPr>
              <w:pStyle w:val="Compact"/>
              <w:jc w:val="left"/>
            </w:pPr>
            <w:r>
              <w:t xml:space="preserve">confidence (ML)</w:t>
            </w:r>
          </w:p>
        </w:tc>
        <w:tc>
          <w:tcPr/>
          <w:p>
            <w:pPr>
              <w:pStyle w:val="Compact"/>
              <w:jc w:val="left"/>
            </w:pPr>
            <w:r>
              <w:t xml:space="preserve">0.70-0.79</w:t>
            </w:r>
          </w:p>
        </w:tc>
        <w:tc>
          <w:tcPr/>
          <w:p>
            <w:pPr>
              <w:pStyle w:val="Compact"/>
              <w:jc w:val="left"/>
            </w:pPr>
            <w:r>
              <w:t xml:space="preserve">57.0%</w:t>
            </w:r>
          </w:p>
        </w:tc>
        <w:tc>
          <w:tcPr/>
          <w:p>
            <w:pPr>
              <w:pStyle w:val="Compact"/>
              <w:jc w:val="left"/>
            </w:pPr>
            <w:r>
              <w:t xml:space="preserve">High</w:t>
            </w:r>
          </w:p>
        </w:tc>
        <w:tc>
          <w:tcPr/>
          <w:p>
            <w:pPr>
              <w:pStyle w:val="Compact"/>
              <w:jc w:val="left"/>
            </w:pPr>
            <w:r>
              <w:t xml:space="preserve">Empirical sweet spot</w:t>
            </w:r>
            <w:r>
              <w:t xml:space="preserve"> </w:t>
            </w:r>
            <w:r>
              <w:rPr>
                <w:vertAlign w:val="superscript"/>
              </w:rPr>
              <w:t xml:space="preserve">31</w:t>
            </w:r>
          </w:p>
        </w:tc>
      </w:tr>
      <w:tr>
        <w:tc>
          <w:tcPr/>
          <w:p>
            <w:pPr>
              <w:pStyle w:val="Compact"/>
              <w:jc w:val="left"/>
            </w:pPr>
            <w:r>
              <w:t xml:space="preserve">4</w:t>
            </w:r>
          </w:p>
        </w:tc>
        <w:tc>
          <w:tcPr/>
          <w:p>
            <w:pPr>
              <w:pStyle w:val="Compact"/>
              <w:jc w:val="left"/>
            </w:pPr>
            <w:r>
              <w:t xml:space="preserve">Risk:Reward</w:t>
            </w:r>
          </w:p>
        </w:tc>
        <w:tc>
          <w:tcPr/>
          <w:p>
            <w:pPr>
              <w:pStyle w:val="Compact"/>
              <w:jc w:val="left"/>
            </w:pPr>
            <w:r>
              <w:t xml:space="preserve">1.5-2.0</w:t>
            </w:r>
          </w:p>
        </w:tc>
        <w:tc>
          <w:tcPr/>
          <w:p>
            <w:pPr>
              <w:pStyle w:val="Compact"/>
              <w:jc w:val="left"/>
            </w:pPr>
            <w:r>
              <w:t xml:space="preserve">55-60% (band-dependent)</w:t>
            </w:r>
          </w:p>
        </w:tc>
        <w:tc>
          <w:tcPr/>
          <w:p>
            <w:pPr>
              <w:pStyle w:val="Compact"/>
              <w:jc w:val="left"/>
            </w:pPr>
            <w:r>
              <w:t xml:space="preserve">Moderate</w:t>
            </w:r>
          </w:p>
        </w:tc>
        <w:tc>
          <w:tcPr/>
          <w:p>
            <w:pPr>
              <w:pStyle w:val="Compact"/>
              <w:jc w:val="left"/>
            </w:pPr>
            <w:r>
              <w:t xml:space="preserve">Shadow data: PF 5.81 at 1.5-2.0</w:t>
            </w:r>
          </w:p>
        </w:tc>
      </w:tr>
      <w:tr>
        <w:tc>
          <w:tcPr/>
          <w:p>
            <w:pPr>
              <w:pStyle w:val="Compact"/>
              <w:jc w:val="left"/>
            </w:pPr>
            <w:r>
              <w:t xml:space="preserve">5</w:t>
            </w:r>
          </w:p>
        </w:tc>
        <w:tc>
          <w:tcPr/>
          <w:p>
            <w:pPr>
              <w:pStyle w:val="Compact"/>
              <w:jc w:val="left"/>
            </w:pPr>
            <w:r>
              <w:t xml:space="preserve">Beta Confluence</w:t>
            </w:r>
          </w:p>
        </w:tc>
        <w:tc>
          <w:tcPr/>
          <w:p>
            <w:pPr>
              <w:pStyle w:val="Compact"/>
              <w:jc w:val="left"/>
            </w:pPr>
            <w:r>
              <w:t xml:space="preserve">&gt;= 70</w:t>
            </w:r>
          </w:p>
        </w:tc>
        <w:tc>
          <w:tcPr/>
          <w:p>
            <w:pPr>
              <w:pStyle w:val="Compact"/>
              <w:jc w:val="left"/>
            </w:pPr>
            <w:r>
              <w:t xml:space="preserve">Not empirically tested</w:t>
            </w:r>
          </w:p>
        </w:tc>
        <w:tc>
          <w:tcPr/>
          <w:p>
            <w:pPr>
              <w:pStyle w:val="Compact"/>
              <w:jc w:val="left"/>
            </w:pPr>
            <w:r>
              <w:t xml:space="preserve">Low</w:t>
            </w:r>
          </w:p>
        </w:tc>
        <w:tc>
          <w:tcPr/>
          <w:p>
            <w:pPr>
              <w:pStyle w:val="Compact"/>
              <w:jc w:val="left"/>
            </w:pPr>
            <w:r>
              <w:t xml:space="preserve">Theoretical quality gate</w:t>
            </w:r>
            <w:r>
              <w:t xml:space="preserve"> </w:t>
            </w:r>
            <w:r>
              <w:rPr>
                <w:vertAlign w:val="superscript"/>
              </w:rPr>
              <w:t xml:space="preserve">35</w:t>
            </w:r>
          </w:p>
        </w:tc>
      </w:tr>
      <w:tr>
        <w:tc>
          <w:tcPr/>
          <w:p>
            <w:pPr>
              <w:pStyle w:val="Compact"/>
              <w:jc w:val="left"/>
            </w:pPr>
            <w:r>
              <w:t xml:space="preserve">—</w:t>
            </w:r>
          </w:p>
        </w:tc>
        <w:tc>
          <w:tcPr/>
          <w:p>
            <w:pPr>
              <w:pStyle w:val="Compact"/>
              <w:jc w:val="left"/>
            </w:pPr>
            <w:r>
              <w:t xml:space="preserve">confidence</w:t>
            </w:r>
          </w:p>
        </w:tc>
        <w:tc>
          <w:tcPr/>
          <w:p>
            <w:pPr>
              <w:pStyle w:val="Compact"/>
              <w:jc w:val="left"/>
            </w:pPr>
            <w:r>
              <w:t xml:space="preserve">0.90+</w:t>
            </w:r>
          </w:p>
        </w:tc>
        <w:tc>
          <w:tcPr/>
          <w:p>
            <w:pPr>
              <w:pStyle w:val="Compact"/>
              <w:jc w:val="left"/>
            </w:pPr>
            <w:r>
              <w:t xml:space="preserve">47.1%</w:t>
            </w:r>
          </w:p>
        </w:tc>
        <w:tc>
          <w:tcPr/>
          <w:p>
            <w:pPr>
              <w:pStyle w:val="Compact"/>
              <w:jc w:val="left"/>
            </w:pPr>
            <w:r>
              <w:t xml:space="preserve">High</w:t>
            </w:r>
          </w:p>
        </w:tc>
        <w:tc>
          <w:tcPr/>
          <w:p>
            <w:pPr>
              <w:pStyle w:val="Compact"/>
              <w:jc w:val="left"/>
            </w:pPr>
            <w:r>
              <w:t xml:space="preserve">Overconfidence penalty — avoid</w:t>
            </w:r>
            <w:r>
              <w:t xml:space="preserve"> </w:t>
            </w:r>
            <w:r>
              <w:rPr>
                <w:vertAlign w:val="superscript"/>
              </w:rPr>
              <w:t xml:space="preserve">31</w:t>
            </w:r>
          </w:p>
        </w:tc>
      </w:tr>
      <w:tr>
        <w:tc>
          <w:tcPr/>
          <w:p>
            <w:pPr>
              <w:pStyle w:val="Compact"/>
              <w:jc w:val="left"/>
            </w:pPr>
            <w:r>
              <w:t xml:space="preserve">—</w:t>
            </w:r>
          </w:p>
        </w:tc>
        <w:tc>
          <w:tcPr/>
          <w:p>
            <w:pPr>
              <w:pStyle w:val="Compact"/>
              <w:jc w:val="left"/>
            </w:pPr>
            <w:r>
              <w:t xml:space="preserve">trust_score</w:t>
            </w:r>
          </w:p>
        </w:tc>
        <w:tc>
          <w:tcPr/>
          <w:p>
            <w:pPr>
              <w:pStyle w:val="Compact"/>
              <w:jc w:val="left"/>
            </w:pPr>
            <w:r>
              <w:t xml:space="preserve">0-2</w:t>
            </w:r>
          </w:p>
        </w:tc>
        <w:tc>
          <w:tcPr/>
          <w:p>
            <w:pPr>
              <w:pStyle w:val="Compact"/>
              <w:jc w:val="left"/>
            </w:pPr>
            <w:r>
              <w:t xml:space="preserve">37.4%</w:t>
            </w:r>
          </w:p>
        </w:tc>
        <w:tc>
          <w:tcPr/>
          <w:p>
            <w:pPr>
              <w:pStyle w:val="Compact"/>
              <w:jc w:val="left"/>
            </w:pPr>
            <w:r>
              <w:t xml:space="preserve">High</w:t>
            </w:r>
          </w:p>
        </w:tc>
        <w:tc>
          <w:tcPr/>
          <w:p>
            <w:pPr>
              <w:pStyle w:val="Compact"/>
              <w:jc w:val="left"/>
            </w:pPr>
            <w:r>
              <w:t xml:space="preserve">Filter OUT — worse than random</w:t>
            </w:r>
            <w:r>
              <w:t xml:space="preserve"> </w:t>
            </w:r>
            <w:r>
              <w:rPr>
                <w:vertAlign w:val="superscript"/>
              </w:rPr>
              <w:t xml:space="preserve">31</w:t>
            </w:r>
          </w:p>
        </w:tc>
      </w:tr>
    </w:tbl>
    <w:p>
      <w:pPr>
        <w:pStyle w:val="BodyText"/>
      </w:pPr>
      <w:r>
        <w:t xml:space="preserve">The hierarchy reveals a counter-intuitive finding: the platform’s most prominent scores are not its most predictive filters. The trust_score and forward_wr filters—sitting lower in the UI—outperform headline scores by 10-20 percentage points. A user relying on the composite’s</w:t>
      </w:r>
      <w:r>
        <w:t xml:space="preserve"> </w:t>
      </w:r>
      <w:r>
        <w:t xml:space="preserve">“</w:t>
      </w:r>
      <w:r>
        <w:t xml:space="preserve">S</w:t>
      </w:r>
      <w:r>
        <w:t xml:space="preserve">”</w:t>
      </w:r>
      <w:r>
        <w:t xml:space="preserve"> </w:t>
      </w:r>
      <w:r>
        <w:t xml:space="preserve">or</w:t>
      </w:r>
      <w:r>
        <w:t xml:space="preserve"> </w:t>
      </w:r>
      <w:r>
        <w:t xml:space="preserve">“</w:t>
      </w:r>
      <w:r>
        <w:t xml:space="preserve">A</w:t>
      </w:r>
      <w:r>
        <w:t xml:space="preserve">”</w:t>
      </w:r>
      <w:r>
        <w:t xml:space="preserve"> </w:t>
      </w:r>
      <w:r>
        <w:t xml:space="preserve">grade would select picks that underperform a trust_score &gt;=5 threshold by 15-25 percentage points. The scoring architecture is broken in both its internal weighting and its presentation, directing users toward the least reliable metrics.</w:t>
      </w:r>
    </w:p>
    <w:p>
      <w:pPr>
        <w:pStyle w:val="BodyText"/>
      </w:pPr>
      <w:r>
        <w:t xml:space="preserve">Users should treat the composite as a starting point, not a decision criterion. Any pick with elite_score below 75 should be discarded unless it passes trust_score &gt;=5 and forward_wr 50-65% gates. The user’s scores of 0.748 and 0.703 fall in the optimal confidence band, but confidence alone should never override a failing trust_score or forward_wr. The scoring system adds noise; the filter hierarchy subtracts it.</w:t>
      </w:r>
    </w:p>
    <w:p>
      <w:r>
        <w:pict>
          <v:rect style="width:0;height:1.5pt" o:hralign="center" o:hrstd="t" o:hr="t"/>
        </w:pict>
      </w:r>
    </w:p>
    <w:bookmarkEnd w:id="42"/>
    <w:bookmarkEnd w:id="43"/>
    <w:bookmarkEnd w:id="44"/>
    <w:bookmarkStart w:id="50" w:name="uiux-audit-finding-the-best-picks"/>
    <w:p>
      <w:pPr>
        <w:pStyle w:val="Heading2"/>
      </w:pPr>
      <w:r>
        <w:t xml:space="preserve">4. UI/UX Audit: Finding the Best Picks</w:t>
      </w:r>
    </w:p>
    <w:p>
      <w:pPr>
        <w:pStyle w:val="FirstParagraph"/>
      </w:pPr>
      <w:r>
        <w:t xml:space="preserve">The audit dashboard presents fourteen navigation tabs, eight filter buttons, nine dropdown selectors, and overlapping quality labels — all competing to answer one question: which picks are worth trading? This chapter tests every filter combination, documents a naming collision that violates UX heuristics, cross-checks the ?Guide against live data, assesses supplementary tabs, and fixes a production HTML bug.</w:t>
      </w:r>
    </w:p>
    <w:bookmarkStart w:id="45" w:name="filter-combination-testing"/>
    <w:p>
      <w:pPr>
        <w:pStyle w:val="Heading3"/>
      </w:pPr>
      <w:r>
        <w:t xml:space="preserve">4.1 Filter Combination Testing</w:t>
      </w:r>
    </w:p>
    <w:p>
      <w:pPr>
        <w:pStyle w:val="FirstParagraph"/>
      </w:pPr>
      <w:r>
        <w:t xml:space="preserve">The filter bar offers seven binary toggles (including</w:t>
      </w:r>
      <w:r>
        <w:t xml:space="preserve"> </w:t>
      </w:r>
      <w:r>
        <w:t xml:space="preserve">“</w:t>
      </w:r>
      <w:r>
        <w:t xml:space="preserve">🧠 SMART PICKS,</w:t>
      </w:r>
      <w:r>
        <w:t xml:space="preserve">”</w:t>
      </w:r>
      <w:r>
        <w:t xml:space="preserve"> </w:t>
      </w:r>
      <w:r>
        <w:t xml:space="preserve">“</w:t>
      </w:r>
      <w:r>
        <w:t xml:space="preserve">Verified Alpha,</w:t>
      </w:r>
      <w:r>
        <w:t xml:space="preserve">”</w:t>
      </w:r>
      <w:r>
        <w:t xml:space="preserve"> </w:t>
      </w:r>
      <w:r>
        <w:t xml:space="preserve">and</w:t>
      </w:r>
      <w:r>
        <w:t xml:space="preserve"> </w:t>
      </w:r>
      <w:r>
        <w:t xml:space="preserve">“</w:t>
      </w:r>
      <w:r>
        <w:t xml:space="preserve">🔥 HIGH CONVICTION ⭐</w:t>
      </w:r>
      <w:r>
        <w:t xml:space="preserve">”</w:t>
      </w:r>
      <w:r>
        <w:t xml:space="preserve">) plus five preset categories. Testing logical pairings and triplets against the live database produces a clear hierarchy. The single-filter baseline shows</w:t>
      </w:r>
      <w:r>
        <w:t xml:space="preserve"> </w:t>
      </w:r>
      <w:r>
        <w:t xml:space="preserve">“</w:t>
      </w:r>
      <w:r>
        <w:t xml:space="preserve">Verified Alpha</w:t>
      </w:r>
      <w:r>
        <w:t xml:space="preserve">”</w:t>
      </w:r>
      <w:r>
        <w:t xml:space="preserve"> </w:t>
      </w:r>
      <w:r>
        <w:t xml:space="preserve">and</w:t>
      </w:r>
      <w:r>
        <w:t xml:space="preserve"> </w:t>
      </w:r>
      <w:r>
        <w:t xml:space="preserve">“</w:t>
      </w:r>
      <w:r>
        <w:t xml:space="preserve">🔥 HIGH CONVICTION ⭐</w:t>
      </w:r>
      <w:r>
        <w:t xml:space="preserve">”</w:t>
      </w:r>
      <w:r>
        <w:t xml:space="preserve"> </w:t>
      </w:r>
      <w:r>
        <w:t xml:space="preserve">each isolating picks with projected WR of approximately 62–64%, a 14–19 percentage-point lift over the unfiltered feed</w:t>
      </w:r>
      <w:r>
        <w:t xml:space="preserve"> </w:t>
      </w:r>
      <w:r>
        <w:rPr>
          <w:vertAlign w:val="superscript"/>
        </w:rPr>
        <w:t xml:space="preserve">19</w:t>
      </w:r>
      <w:r>
        <w:t xml:space="preserve">.</w:t>
      </w:r>
    </w:p>
    <w:p>
      <w:pPr>
        <w:pStyle w:val="BodyText"/>
      </w:pPr>
      <w:r>
        <w:rPr>
          <w:bCs/>
          <w:b/>
        </w:rPr>
        <w:t xml:space="preserve">Table 1: Filter Combination Matrix — Projected WR and Pick Count</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Filter Set</w:t>
            </w:r>
          </w:p>
        </w:tc>
        <w:tc>
          <w:tcPr/>
          <w:p>
            <w:pPr>
              <w:pStyle w:val="Compact"/>
              <w:jc w:val="center"/>
            </w:pPr>
            <w:r>
              <w:t xml:space="preserve">Projected WR</w:t>
            </w:r>
          </w:p>
        </w:tc>
        <w:tc>
          <w:tcPr/>
          <w:p>
            <w:pPr>
              <w:pStyle w:val="Compact"/>
              <w:jc w:val="center"/>
            </w:pPr>
            <w:r>
              <w:t xml:space="preserve">Pick Count</w:t>
            </w:r>
          </w:p>
        </w:tc>
        <w:tc>
          <w:tcPr/>
          <w:p>
            <w:pPr>
              <w:pStyle w:val="Compact"/>
              <w:jc w:val="center"/>
            </w:pPr>
            <w:r>
              <w:t xml:space="preserve">PF (est.)</w:t>
            </w:r>
          </w:p>
        </w:tc>
        <w:tc>
          <w:tcPr/>
          <w:p>
            <w:pPr>
              <w:pStyle w:val="Compact"/>
              <w:jc w:val="left"/>
            </w:pPr>
            <w:r>
              <w:t xml:space="preserve">Usability</w:t>
            </w:r>
          </w:p>
        </w:tc>
      </w:tr>
      <w:tr>
        <w:tc>
          <w:tcPr/>
          <w:p>
            <w:pPr>
              <w:pStyle w:val="Compact"/>
              <w:jc w:val="left"/>
            </w:pPr>
            <w:r>
              <w:t xml:space="preserve">All picks (baseline)</w:t>
            </w:r>
          </w:p>
        </w:tc>
        <w:tc>
          <w:tcPr/>
          <w:p>
            <w:pPr>
              <w:pStyle w:val="Compact"/>
              <w:jc w:val="center"/>
            </w:pPr>
            <w:r>
              <w:t xml:space="preserve">45–50%</w:t>
            </w:r>
          </w:p>
        </w:tc>
        <w:tc>
          <w:tcPr/>
          <w:p>
            <w:pPr>
              <w:pStyle w:val="Compact"/>
              <w:jc w:val="center"/>
            </w:pPr>
            <w:r>
              <w:t xml:space="preserve">~210</w:t>
            </w:r>
          </w:p>
        </w:tc>
        <w:tc>
          <w:tcPr/>
          <w:p>
            <w:pPr>
              <w:pStyle w:val="Compact"/>
              <w:jc w:val="center"/>
            </w:pPr>
            <w:r>
              <w:t xml:space="preserve">1.0</w:t>
            </w:r>
          </w:p>
        </w:tc>
        <w:tc>
          <w:tcPr/>
          <w:p>
            <w:pPr>
              <w:pStyle w:val="Compact"/>
              <w:jc w:val="left"/>
            </w:pPr>
            <w:r>
              <w:t xml:space="preserve">Reference only</w:t>
            </w:r>
          </w:p>
        </w:tc>
      </w:tr>
      <w:tr>
        <w:tc>
          <w:tcPr/>
          <w:p>
            <w:pPr>
              <w:pStyle w:val="Compact"/>
              <w:jc w:val="left"/>
            </w:pPr>
            <w:r>
              <w:t xml:space="preserve">High-grade only</w:t>
            </w:r>
          </w:p>
        </w:tc>
        <w:tc>
          <w:tcPr/>
          <w:p>
            <w:pPr>
              <w:pStyle w:val="Compact"/>
              <w:jc w:val="center"/>
            </w:pPr>
            <w:r>
              <w:t xml:space="preserve">52–55%</w:t>
            </w:r>
          </w:p>
        </w:tc>
        <w:tc>
          <w:tcPr/>
          <w:p>
            <w:pPr>
              <w:pStyle w:val="Compact"/>
              <w:jc w:val="center"/>
            </w:pPr>
            <w:r>
              <w:t xml:space="preserve">~45</w:t>
            </w:r>
          </w:p>
        </w:tc>
        <w:tc>
          <w:tcPr/>
          <w:p>
            <w:pPr>
              <w:pStyle w:val="Compact"/>
              <w:jc w:val="center"/>
            </w:pPr>
            <w:r>
              <w:t xml:space="preserve">1.1</w:t>
            </w:r>
          </w:p>
        </w:tc>
        <w:tc>
          <w:tcPr/>
          <w:p>
            <w:pPr>
              <w:pStyle w:val="Compact"/>
              <w:jc w:val="left"/>
            </w:pPr>
            <w:r>
              <w:t xml:space="preserve">Low lift, vague criteria</w:t>
            </w:r>
          </w:p>
        </w:tc>
      </w:tr>
      <w:tr>
        <w:tc>
          <w:tcPr/>
          <w:p>
            <w:pPr>
              <w:pStyle w:val="Compact"/>
              <w:jc w:val="left"/>
            </w:pPr>
            <w:r>
              <w:t xml:space="preserve">Trusted only</w:t>
            </w:r>
          </w:p>
        </w:tc>
        <w:tc>
          <w:tcPr/>
          <w:p>
            <w:pPr>
              <w:pStyle w:val="Compact"/>
              <w:jc w:val="center"/>
            </w:pPr>
            <w:r>
              <w:t xml:space="preserve">55–58%</w:t>
            </w:r>
          </w:p>
        </w:tc>
        <w:tc>
          <w:tcPr/>
          <w:p>
            <w:pPr>
              <w:pStyle w:val="Compact"/>
              <w:jc w:val="center"/>
            </w:pPr>
            <w:r>
              <w:t xml:space="preserve">~18</w:t>
            </w:r>
          </w:p>
        </w:tc>
        <w:tc>
          <w:tcPr/>
          <w:p>
            <w:pPr>
              <w:pStyle w:val="Compact"/>
              <w:jc w:val="center"/>
            </w:pPr>
            <w:r>
              <w:t xml:space="preserve">1.3</w:t>
            </w:r>
          </w:p>
        </w:tc>
        <w:tc>
          <w:tcPr/>
          <w:p>
            <w:pPr>
              <w:pStyle w:val="Compact"/>
              <w:jc w:val="left"/>
            </w:pPr>
            <w:r>
              <w:t xml:space="preserve">Source-based, not quality-based</w:t>
            </w:r>
          </w:p>
        </w:tc>
      </w:tr>
      <w:tr>
        <w:tc>
          <w:tcPr/>
          <w:p>
            <w:pPr>
              <w:pStyle w:val="Compact"/>
              <w:jc w:val="left"/>
            </w:pPr>
            <w:r>
              <w:t xml:space="preserve">R:R 1.5+ only</w:t>
            </w:r>
          </w:p>
        </w:tc>
        <w:tc>
          <w:tcPr/>
          <w:p>
            <w:pPr>
              <w:pStyle w:val="Compact"/>
              <w:jc w:val="center"/>
            </w:pPr>
            <w:r>
              <w:t xml:space="preserve">50–52%</w:t>
            </w:r>
          </w:p>
        </w:tc>
        <w:tc>
          <w:tcPr/>
          <w:p>
            <w:pPr>
              <w:pStyle w:val="Compact"/>
              <w:jc w:val="center"/>
            </w:pPr>
            <w:r>
              <w:t xml:space="preserve">~67</w:t>
            </w:r>
          </w:p>
        </w:tc>
        <w:tc>
          <w:tcPr/>
          <w:p>
            <w:pPr>
              <w:pStyle w:val="Compact"/>
              <w:jc w:val="center"/>
            </w:pPr>
            <w:r>
              <w:t xml:space="preserve">1.4</w:t>
            </w:r>
          </w:p>
        </w:tc>
        <w:tc>
          <w:tcPr/>
          <w:p>
            <w:pPr>
              <w:pStyle w:val="Compact"/>
              <w:jc w:val="left"/>
            </w:pPr>
            <w:r>
              <w:t xml:space="preserve">Underperforms baseline on non-crypto</w:t>
            </w:r>
          </w:p>
        </w:tc>
      </w:tr>
      <w:tr>
        <w:tc>
          <w:tcPr/>
          <w:p>
            <w:pPr>
              <w:pStyle w:val="Compact"/>
              <w:jc w:val="left"/>
            </w:pPr>
            <w:r>
              <w:t xml:space="preserve">🧠 SMART PICKS (filter)</w:t>
            </w:r>
          </w:p>
        </w:tc>
        <w:tc>
          <w:tcPr/>
          <w:p>
            <w:pPr>
              <w:pStyle w:val="Compact"/>
              <w:jc w:val="center"/>
            </w:pPr>
            <w:r>
              <w:t xml:space="preserve">58–60%</w:t>
            </w:r>
          </w:p>
        </w:tc>
        <w:tc>
          <w:tcPr/>
          <w:p>
            <w:pPr>
              <w:pStyle w:val="Compact"/>
              <w:jc w:val="center"/>
            </w:pPr>
            <w:r>
              <w:t xml:space="preserve">~12</w:t>
            </w:r>
          </w:p>
        </w:tc>
        <w:tc>
          <w:tcPr/>
          <w:p>
            <w:pPr>
              <w:pStyle w:val="Compact"/>
              <w:jc w:val="center"/>
            </w:pPr>
            <w:r>
              <w:t xml:space="preserve">1.6</w:t>
            </w:r>
          </w:p>
        </w:tc>
        <w:tc>
          <w:tcPr/>
          <w:p>
            <w:pPr>
              <w:pStyle w:val="Compact"/>
              <w:jc w:val="left"/>
            </w:pPr>
            <w:r>
              <w:t xml:space="preserve">Per-asset gates, composable</w:t>
            </w:r>
          </w:p>
        </w:tc>
      </w:tr>
      <w:tr>
        <w:tc>
          <w:tcPr/>
          <w:p>
            <w:pPr>
              <w:pStyle w:val="Compact"/>
              <w:jc w:val="left"/>
            </w:pPr>
            <w:r>
              <w:t xml:space="preserve">🔥 HIGH CONVICTION ⭐</w:t>
            </w:r>
          </w:p>
        </w:tc>
        <w:tc>
          <w:tcPr/>
          <w:p>
            <w:pPr>
              <w:pStyle w:val="Compact"/>
              <w:jc w:val="center"/>
            </w:pPr>
            <w:r>
              <w:t xml:space="preserve">60–64%</w:t>
            </w:r>
          </w:p>
        </w:tc>
        <w:tc>
          <w:tcPr/>
          <w:p>
            <w:pPr>
              <w:pStyle w:val="Compact"/>
              <w:jc w:val="center"/>
            </w:pPr>
            <w:r>
              <w:t xml:space="preserve">~8</w:t>
            </w:r>
          </w:p>
        </w:tc>
        <w:tc>
          <w:tcPr/>
          <w:p>
            <w:pPr>
              <w:pStyle w:val="Compact"/>
              <w:jc w:val="center"/>
            </w:pPr>
            <w:r>
              <w:t xml:space="preserve">1.8</w:t>
            </w:r>
          </w:p>
        </w:tc>
        <w:tc>
          <w:tcPr/>
          <w:p>
            <w:pPr>
              <w:pStyle w:val="Compact"/>
              <w:jc w:val="left"/>
            </w:pPr>
            <w:r>
              <w:t xml:space="preserve">Best single quality gate</w:t>
            </w:r>
          </w:p>
        </w:tc>
      </w:tr>
      <w:tr>
        <w:tc>
          <w:tcPr/>
          <w:p>
            <w:pPr>
              <w:pStyle w:val="Compact"/>
              <w:jc w:val="left"/>
            </w:pPr>
            <w:r>
              <w:t xml:space="preserve">Verified Alpha only</w:t>
            </w:r>
          </w:p>
        </w:tc>
        <w:tc>
          <w:tcPr/>
          <w:p>
            <w:pPr>
              <w:pStyle w:val="Compact"/>
              <w:jc w:val="center"/>
            </w:pPr>
            <w:r>
              <w:t xml:space="preserve">62–64%</w:t>
            </w:r>
          </w:p>
        </w:tc>
        <w:tc>
          <w:tcPr/>
          <w:p>
            <w:pPr>
              <w:pStyle w:val="Compact"/>
              <w:jc w:val="center"/>
            </w:pPr>
            <w:r>
              <w:t xml:space="preserve">~13</w:t>
            </w:r>
          </w:p>
        </w:tc>
        <w:tc>
          <w:tcPr/>
          <w:p>
            <w:pPr>
              <w:pStyle w:val="Compact"/>
              <w:jc w:val="center"/>
            </w:pPr>
            <w:r>
              <w:t xml:space="preserve">1.9</w:t>
            </w:r>
          </w:p>
        </w:tc>
        <w:tc>
          <w:tcPr/>
          <w:p>
            <w:pPr>
              <w:pStyle w:val="Compact"/>
              <w:jc w:val="left"/>
            </w:pPr>
            <w:r>
              <w:t xml:space="preserve">Best single trust gate</w:t>
            </w:r>
          </w:p>
        </w:tc>
      </w:tr>
      <w:tr>
        <w:tc>
          <w:tcPr/>
          <w:p>
            <w:pPr>
              <w:pStyle w:val="Compact"/>
              <w:jc w:val="left"/>
            </w:pPr>
            <w:r>
              <w:t xml:space="preserve">Verified Alpha + High Conviction</w:t>
            </w:r>
          </w:p>
        </w:tc>
        <w:tc>
          <w:tcPr/>
          <w:p>
            <w:pPr>
              <w:pStyle w:val="Compact"/>
              <w:jc w:val="center"/>
            </w:pPr>
            <w:r>
              <w:rPr>
                <w:bCs/>
                <w:b/>
              </w:rPr>
              <w:t xml:space="preserve">65–68%</w:t>
            </w:r>
          </w:p>
        </w:tc>
        <w:tc>
          <w:tcPr/>
          <w:p>
            <w:pPr>
              <w:pStyle w:val="Compact"/>
              <w:jc w:val="center"/>
            </w:pPr>
            <w:r>
              <w:rPr>
                <w:bCs/>
                <w:b/>
              </w:rPr>
              <w:t xml:space="preserve">3–8</w:t>
            </w:r>
          </w:p>
        </w:tc>
        <w:tc>
          <w:tcPr/>
          <w:p>
            <w:pPr>
              <w:pStyle w:val="Compact"/>
              <w:jc w:val="center"/>
            </w:pPr>
            <w:r>
              <w:rPr>
                <w:bCs/>
                <w:b/>
              </w:rPr>
              <w:t xml:space="preserve">2.1</w:t>
            </w:r>
          </w:p>
        </w:tc>
        <w:tc>
          <w:tcPr/>
          <w:p>
            <w:pPr>
              <w:pStyle w:val="Compact"/>
              <w:jc w:val="left"/>
            </w:pPr>
            <w:r>
              <w:rPr>
                <w:bCs/>
                <w:b/>
              </w:rPr>
              <w:t xml:space="preserve">Best daily driver</w:t>
            </w:r>
            <w:r>
              <w:t xml:space="preserve"> </w:t>
            </w:r>
            <w:r>
              <w:rPr>
                <w:vertAlign w:val="superscript"/>
              </w:rPr>
              <w:t xml:space="preserve">19</w:t>
            </w:r>
          </w:p>
        </w:tc>
      </w:tr>
      <w:tr>
        <w:tc>
          <w:tcPr/>
          <w:p>
            <w:pPr>
              <w:pStyle w:val="Compact"/>
              <w:jc w:val="left"/>
            </w:pPr>
            <w:r>
              <w:t xml:space="preserve">Verified Alpha + R:R 1.5+</w:t>
            </w:r>
          </w:p>
        </w:tc>
        <w:tc>
          <w:tcPr/>
          <w:p>
            <w:pPr>
              <w:pStyle w:val="Compact"/>
              <w:jc w:val="center"/>
            </w:pPr>
            <w:r>
              <w:t xml:space="preserve">63–65%</w:t>
            </w:r>
          </w:p>
        </w:tc>
        <w:tc>
          <w:tcPr/>
          <w:p>
            <w:pPr>
              <w:pStyle w:val="Compact"/>
              <w:jc w:val="center"/>
            </w:pPr>
            <w:r>
              <w:t xml:space="preserve">2–5</w:t>
            </w:r>
          </w:p>
        </w:tc>
        <w:tc>
          <w:tcPr/>
          <w:p>
            <w:pPr>
              <w:pStyle w:val="Compact"/>
              <w:jc w:val="center"/>
            </w:pPr>
            <w:r>
              <w:t xml:space="preserve">1.9</w:t>
            </w:r>
          </w:p>
        </w:tc>
        <w:tc>
          <w:tcPr/>
          <w:p>
            <w:pPr>
              <w:pStyle w:val="Compact"/>
              <w:jc w:val="left"/>
            </w:pPr>
            <w:r>
              <w:t xml:space="preserve">Loses forward validation</w:t>
            </w:r>
          </w:p>
        </w:tc>
      </w:tr>
      <w:tr>
        <w:tc>
          <w:tcPr/>
          <w:p>
            <w:pPr>
              <w:pStyle w:val="Compact"/>
              <w:jc w:val="left"/>
            </w:pPr>
            <w:r>
              <w:t xml:space="preserve">High Conviction + Trusted</w:t>
            </w:r>
          </w:p>
        </w:tc>
        <w:tc>
          <w:tcPr/>
          <w:p>
            <w:pPr>
              <w:pStyle w:val="Compact"/>
              <w:jc w:val="center"/>
            </w:pPr>
            <w:r>
              <w:t xml:space="preserve">60–63%</w:t>
            </w:r>
          </w:p>
        </w:tc>
        <w:tc>
          <w:tcPr/>
          <w:p>
            <w:pPr>
              <w:pStyle w:val="Compact"/>
              <w:jc w:val="center"/>
            </w:pPr>
            <w:r>
              <w:t xml:space="preserve">3–6</w:t>
            </w:r>
          </w:p>
        </w:tc>
        <w:tc>
          <w:tcPr/>
          <w:p>
            <w:pPr>
              <w:pStyle w:val="Compact"/>
              <w:jc w:val="center"/>
            </w:pPr>
            <w:r>
              <w:t xml:space="preserve">1.8</w:t>
            </w:r>
          </w:p>
        </w:tc>
        <w:tc>
          <w:tcPr/>
          <w:p>
            <w:pPr>
              <w:pStyle w:val="Compact"/>
              <w:jc w:val="left"/>
            </w:pPr>
            <w:r>
              <w:t xml:space="preserve">Redundant overlap</w:t>
            </w:r>
          </w:p>
        </w:tc>
      </w:tr>
      <w:tr>
        <w:tc>
          <w:tcPr/>
          <w:p>
            <w:pPr>
              <w:pStyle w:val="Compact"/>
              <w:jc w:val="left"/>
            </w:pPr>
            <w:r>
              <w:t xml:space="preserve">SMART PICKS + R:R 1.5+</w:t>
            </w:r>
          </w:p>
        </w:tc>
        <w:tc>
          <w:tcPr/>
          <w:p>
            <w:pPr>
              <w:pStyle w:val="Compact"/>
              <w:jc w:val="center"/>
            </w:pPr>
            <w:r>
              <w:t xml:space="preserve">58–60%</w:t>
            </w:r>
          </w:p>
        </w:tc>
        <w:tc>
          <w:tcPr/>
          <w:p>
            <w:pPr>
              <w:pStyle w:val="Compact"/>
              <w:jc w:val="center"/>
            </w:pPr>
            <w:r>
              <w:t xml:space="preserve">1–3</w:t>
            </w:r>
          </w:p>
        </w:tc>
        <w:tc>
          <w:tcPr/>
          <w:p>
            <w:pPr>
              <w:pStyle w:val="Compact"/>
              <w:jc w:val="center"/>
            </w:pPr>
            <w:r>
              <w:t xml:space="preserve">1.7</w:t>
            </w:r>
          </w:p>
        </w:tc>
        <w:tc>
          <w:tcPr/>
          <w:p>
            <w:pPr>
              <w:pStyle w:val="Compact"/>
              <w:jc w:val="left"/>
            </w:pPr>
            <w:r>
              <w:t xml:space="preserve">Too restrictive</w:t>
            </w:r>
          </w:p>
        </w:tc>
      </w:tr>
      <w:tr>
        <w:tc>
          <w:tcPr/>
          <w:p>
            <w:pPr>
              <w:pStyle w:val="Compact"/>
              <w:jc w:val="left"/>
            </w:pPr>
            <w:r>
              <w:rPr>
                <w:bCs/>
                <w:b/>
              </w:rPr>
              <w:t xml:space="preserve">VA + HC + R:R 1.5+</w:t>
            </w:r>
          </w:p>
        </w:tc>
        <w:tc>
          <w:tcPr/>
          <w:p>
            <w:pPr>
              <w:pStyle w:val="Compact"/>
              <w:jc w:val="center"/>
            </w:pPr>
            <w:r>
              <w:rPr>
                <w:bCs/>
                <w:b/>
              </w:rPr>
              <w:t xml:space="preserve">66–70%</w:t>
            </w:r>
          </w:p>
        </w:tc>
        <w:tc>
          <w:tcPr/>
          <w:p>
            <w:pPr>
              <w:pStyle w:val="Compact"/>
              <w:jc w:val="center"/>
            </w:pPr>
            <w:r>
              <w:rPr>
                <w:bCs/>
                <w:b/>
              </w:rPr>
              <w:t xml:space="preserve">0–2</w:t>
            </w:r>
          </w:p>
        </w:tc>
        <w:tc>
          <w:tcPr/>
          <w:p>
            <w:pPr>
              <w:pStyle w:val="Compact"/>
              <w:jc w:val="center"/>
            </w:pPr>
            <w:r>
              <w:rPr>
                <w:bCs/>
                <w:b/>
              </w:rPr>
              <w:t xml:space="preserve">2.3</w:t>
            </w:r>
          </w:p>
        </w:tc>
        <w:tc>
          <w:tcPr/>
          <w:p>
            <w:pPr>
              <w:pStyle w:val="Compact"/>
              <w:jc w:val="left"/>
            </w:pPr>
            <w:r>
              <w:rPr>
                <w:bCs/>
                <w:b/>
              </w:rPr>
              <w:t xml:space="preserve">Best WR; often empty</w:t>
            </w:r>
            <w:r>
              <w:t xml:space="preserve"> </w:t>
            </w:r>
            <w:r>
              <w:rPr>
                <w:vertAlign w:val="superscript"/>
              </w:rPr>
              <w:t xml:space="preserve">19</w:t>
            </w:r>
          </w:p>
        </w:tc>
      </w:tr>
      <w:tr>
        <w:tc>
          <w:tcPr/>
          <w:p>
            <w:pPr>
              <w:pStyle w:val="Compact"/>
              <w:jc w:val="left"/>
            </w:pPr>
            <w:r>
              <w:t xml:space="preserve">High-grade + Trusted + R:R 1.5+ + Recent</w:t>
            </w:r>
          </w:p>
        </w:tc>
        <w:tc>
          <w:tcPr/>
          <w:p>
            <w:pPr>
              <w:pStyle w:val="Compact"/>
              <w:jc w:val="center"/>
            </w:pPr>
            <w:r>
              <w:t xml:space="preserve">55–58%</w:t>
            </w:r>
          </w:p>
        </w:tc>
        <w:tc>
          <w:tcPr/>
          <w:p>
            <w:pPr>
              <w:pStyle w:val="Compact"/>
              <w:jc w:val="center"/>
            </w:pPr>
            <w:r>
              <w:t xml:space="preserve">5–10</w:t>
            </w:r>
          </w:p>
        </w:tc>
        <w:tc>
          <w:tcPr/>
          <w:p>
            <w:pPr>
              <w:pStyle w:val="Compact"/>
              <w:jc w:val="center"/>
            </w:pPr>
            <w:r>
              <w:t xml:space="preserve">1.5</w:t>
            </w:r>
          </w:p>
        </w:tc>
        <w:tc>
          <w:tcPr/>
          <w:p>
            <w:pPr>
              <w:pStyle w:val="Compact"/>
              <w:jc w:val="left"/>
            </w:pPr>
            <w:r>
              <w:t xml:space="preserve">Volume-quality tradeoff</w:t>
            </w:r>
          </w:p>
        </w:tc>
      </w:tr>
    </w:tbl>
    <w:p>
      <w:pPr>
        <w:pStyle w:val="BodyText"/>
      </w:pPr>
      <w:r>
        <w:t xml:space="preserve">The triple-filter combination gates out 192 of 210 picks (91%), leaving an empty table on most sessions</w:t>
      </w:r>
      <w:r>
        <w:t xml:space="preserve"> </w:t>
      </w:r>
      <w:r>
        <w:rPr>
          <w:vertAlign w:val="superscript"/>
        </w:rPr>
        <w:t xml:space="preserve">19</w:t>
      </w:r>
      <w:r>
        <w:t xml:space="preserve">. The UI treats this as a failure state rather than a protective one. For practical use,</w:t>
      </w:r>
      <w:r>
        <w:t xml:space="preserve"> </w:t>
      </w:r>
      <w:r>
        <w:t xml:space="preserve">“</w:t>
      </w:r>
      <w:r>
        <w:t xml:space="preserve">Verified Alpha + High Conviction</w:t>
      </w:r>
      <w:r>
        <w:t xml:space="preserve">”</w:t>
      </w:r>
      <w:r>
        <w:t xml:space="preserve"> </w:t>
      </w:r>
      <w:r>
        <w:t xml:space="preserve">is the optimal daily driver — 3–8 picks with projected WR above 65%. The triple-filter variant suits high-conviction sizing decisions where capital preservation outweighs frequency.</w:t>
      </w:r>
    </w:p>
    <w:bookmarkEnd w:id="45"/>
    <w:bookmarkStart w:id="46" w:name="the-smart-picks-naming-crisis"/>
    <w:p>
      <w:pPr>
        <w:pStyle w:val="Heading3"/>
      </w:pPr>
      <w:r>
        <w:t xml:space="preserve">4.2 The</w:t>
      </w:r>
      <w:r>
        <w:t xml:space="preserve"> </w:t>
      </w:r>
      <w:r>
        <w:t xml:space="preserve">“</w:t>
      </w:r>
      <w:r>
        <w:t xml:space="preserve">Smart Picks</w:t>
      </w:r>
      <w:r>
        <w:t xml:space="preserve">”</w:t>
      </w:r>
      <w:r>
        <w:t xml:space="preserve"> </w:t>
      </w:r>
      <w:r>
        <w:t xml:space="preserve">Naming Crisis</w:t>
      </w:r>
    </w:p>
    <w:p>
      <w:pPr>
        <w:pStyle w:val="FirstParagraph"/>
      </w:pPr>
      <w:r>
        <w:t xml:space="preserve">The UI contains</w:t>
      </w:r>
      <w:r>
        <w:t xml:space="preserve"> </w:t>
      </w:r>
      <w:r>
        <w:rPr>
          <w:bCs/>
          <w:b/>
        </w:rPr>
        <w:t xml:space="preserve">three distinct elements</w:t>
      </w:r>
      <w:r>
        <w:t xml:space="preserve"> </w:t>
      </w:r>
      <w:r>
        <w:t xml:space="preserve">carrying the label</w:t>
      </w:r>
      <w:r>
        <w:t xml:space="preserve"> </w:t>
      </w:r>
      <w:r>
        <w:t xml:space="preserve">“</w:t>
      </w:r>
      <w:r>
        <w:t xml:space="preserve">Smart Picks,</w:t>
      </w:r>
      <w:r>
        <w:t xml:space="preserve">”</w:t>
      </w:r>
      <w:r>
        <w:t xml:space="preserve"> </w:t>
      </w:r>
      <w:r>
        <w:t xml:space="preserve">each with a different behavioral contract. This violates Nielsen’s heuristic #2 (system-real-world match) and heuristic #4 (consistency)</w:t>
      </w:r>
      <w:r>
        <w:t xml:space="preserve"> </w:t>
      </w:r>
      <w:r>
        <w:rPr>
          <w:vertAlign w:val="superscript"/>
        </w:rPr>
        <w:t xml:space="preserve">36</w:t>
      </w:r>
      <w:r>
        <w:t xml:space="preserve">.</w:t>
      </w:r>
    </w:p>
    <w:p>
      <w:pPr>
        <w:pStyle w:val="BodyText"/>
      </w:pPr>
      <w:r>
        <w:rPr>
          <w:bCs/>
          <w:b/>
        </w:rPr>
        <w:t xml:space="preserve">Table 2: Three UI Elements Named</w:t>
      </w:r>
      <w:r>
        <w:rPr>
          <w:bCs/>
          <w:b/>
        </w:rPr>
        <w:t xml:space="preserve"> </w:t>
      </w:r>
      <w:r>
        <w:rPr>
          <w:bCs/>
          <w:b/>
        </w:rPr>
        <w:t xml:space="preserve">“</w:t>
      </w:r>
      <w:r>
        <w:rPr>
          <w:bCs/>
          <w:b/>
        </w:rPr>
        <w:t xml:space="preserve">Smart Picks</w:t>
      </w:r>
      <w:r>
        <w:rPr>
          <w:bCs/>
          <w:b/>
        </w:rPr>
        <w:t xml:space="preserve">”</w:t>
      </w:r>
      <w:r>
        <w:rPr>
          <w:bCs/>
          <w:b/>
        </w:rPr>
        <w:t xml:space="preserve"> </w:t>
      </w:r>
      <w:r>
        <w:rPr>
          <w:bCs/>
          <w:b/>
        </w:rPr>
        <w:t xml:space="preserve">— Behavioral Divergence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Visual Location</w:t>
            </w:r>
          </w:p>
        </w:tc>
        <w:tc>
          <w:tcPr/>
          <w:p>
            <w:pPr>
              <w:pStyle w:val="Compact"/>
              <w:jc w:val="left"/>
            </w:pPr>
            <w:r>
              <w:t xml:space="preserve">Behavioral Contract</w:t>
            </w:r>
          </w:p>
        </w:tc>
        <w:tc>
          <w:tcPr/>
          <w:p>
            <w:pPr>
              <w:pStyle w:val="Compact"/>
              <w:jc w:val="left"/>
            </w:pPr>
            <w:r>
              <w:t xml:space="preserve">Interaction Model</w:t>
            </w:r>
          </w:p>
        </w:tc>
      </w:tr>
      <w:tr>
        <w:tc>
          <w:tcPr/>
          <w:p>
            <w:pPr>
              <w:pStyle w:val="Compact"/>
              <w:jc w:val="left"/>
            </w:pPr>
            <w:r>
              <w:t xml:space="preserve">“</w:t>
            </w:r>
            <w:r>
              <w:t xml:space="preserve">🧠 SMART PICKS</w:t>
            </w:r>
            <w:r>
              <w:t xml:space="preserve">”</w:t>
            </w:r>
            <w:r>
              <w:t xml:space="preserve"> </w:t>
            </w:r>
            <w:r>
              <w:t xml:space="preserve">button</w:t>
            </w:r>
          </w:p>
        </w:tc>
        <w:tc>
          <w:tcPr/>
          <w:p>
            <w:pPr>
              <w:pStyle w:val="Compact"/>
              <w:jc w:val="left"/>
            </w:pPr>
            <w:r>
              <w:t xml:space="preserve">Filter bar</w:t>
            </w:r>
          </w:p>
        </w:tc>
        <w:tc>
          <w:tcPr/>
          <w:p>
            <w:pPr>
              <w:pStyle w:val="Compact"/>
              <w:jc w:val="left"/>
            </w:pPr>
            <w:r>
              <w:t xml:space="preserve">Composable toggle; applies per-asset gates (min score, R:R ≥1.5, forward WR ≥50%, regime alignment)</w:t>
            </w:r>
          </w:p>
        </w:tc>
        <w:tc>
          <w:tcPr/>
          <w:p>
            <w:pPr>
              <w:pStyle w:val="Compact"/>
              <w:jc w:val="left"/>
            </w:pPr>
            <w:r>
              <w:t xml:space="preserve">Toggle on/off; stacks with other filters</w:t>
            </w:r>
          </w:p>
        </w:tc>
      </w:tr>
      <w:tr>
        <w:tc>
          <w:tcPr/>
          <w:p>
            <w:pPr>
              <w:pStyle w:val="Compact"/>
              <w:jc w:val="left"/>
            </w:pPr>
            <w:r>
              <w:t xml:space="preserve">“</w:t>
            </w:r>
            <w:r>
              <w:t xml:space="preserve">🧠 Smart Picks</w:t>
            </w:r>
            <w:r>
              <w:t xml:space="preserve">”</w:t>
            </w:r>
            <w:r>
              <w:t xml:space="preserve"> </w:t>
            </w:r>
            <w:r>
              <w:t xml:space="preserve">tab</w:t>
            </w:r>
          </w:p>
        </w:tc>
        <w:tc>
          <w:tcPr/>
          <w:p>
            <w:pPr>
              <w:pStyle w:val="Compact"/>
              <w:jc w:val="left"/>
            </w:pPr>
            <w:r>
              <w:t xml:space="preserve">Top navigation (4th tab)</w:t>
            </w:r>
          </w:p>
        </w:tc>
        <w:tc>
          <w:tcPr/>
          <w:p>
            <w:pPr>
              <w:pStyle w:val="Compact"/>
              <w:jc w:val="left"/>
            </w:pPr>
            <w:r>
              <w:t xml:space="preserve">Standalone page showing pre-filtered results</w:t>
            </w:r>
          </w:p>
        </w:tc>
        <w:tc>
          <w:tcPr/>
          <w:p>
            <w:pPr>
              <w:pStyle w:val="Compact"/>
              <w:jc w:val="left"/>
            </w:pPr>
            <w:r>
              <w:t xml:space="preserve">Switches page context; may alter columns</w:t>
            </w:r>
          </w:p>
        </w:tc>
      </w:tr>
      <w:tr>
        <w:tc>
          <w:tcPr/>
          <w:p>
            <w:pPr>
              <w:pStyle w:val="Compact"/>
              <w:jc w:val="left"/>
            </w:pPr>
            <w:r>
              <w:t xml:space="preserve">“</w:t>
            </w:r>
            <w:r>
              <w:t xml:space="preserve">Smart Picks</w:t>
            </w:r>
            <w:r>
              <w:t xml:space="preserve">”</w:t>
            </w:r>
            <w:r>
              <w:t xml:space="preserve"> </w:t>
            </w:r>
            <w:r>
              <w:t xml:space="preserve">reference</w:t>
            </w:r>
          </w:p>
        </w:tc>
        <w:tc>
          <w:tcPr/>
          <w:p>
            <w:pPr>
              <w:pStyle w:val="Compact"/>
              <w:jc w:val="left"/>
            </w:pPr>
            <w:r>
              <w:t xml:space="preserve">?Guide modal, feed descriptions</w:t>
            </w:r>
          </w:p>
        </w:tc>
        <w:tc>
          <w:tcPr/>
          <w:p>
            <w:pPr>
              <w:pStyle w:val="Compact"/>
              <w:jc w:val="left"/>
            </w:pPr>
            <w:r>
              <w:t xml:space="preserve">Non-interactive conceptual tier label</w:t>
            </w:r>
          </w:p>
        </w:tc>
        <w:tc>
          <w:tcPr/>
          <w:p>
            <w:pPr>
              <w:pStyle w:val="Compact"/>
              <w:jc w:val="left"/>
            </w:pPr>
            <w:r>
              <w:t xml:space="preserve">Defines scoring methodology only</w:t>
            </w:r>
          </w:p>
        </w:tc>
      </w:tr>
    </w:tbl>
    <w:p>
      <w:pPr>
        <w:pStyle w:val="BodyText"/>
      </w:pPr>
      <w:r>
        <w:t xml:space="preserve">The collision creates concrete errors. A trader clicking the filter button expects the same outcome as clicking the tab, yet the former is composable within the current view while the latter is a dedicated page that may reset filter context</w:t>
      </w:r>
      <w:r>
        <w:t xml:space="preserve"> </w:t>
      </w:r>
      <w:r>
        <w:rPr>
          <w:vertAlign w:val="superscript"/>
        </w:rPr>
        <w:t xml:space="preserve">36</w:t>
      </w:r>
      <w:r>
        <w:t xml:space="preserve">. The fix: rename the tab to</w:t>
      </w:r>
      <w:r>
        <w:t xml:space="preserve"> </w:t>
      </w:r>
      <w:r>
        <w:t xml:space="preserve">“</w:t>
      </w:r>
      <w:r>
        <w:t xml:space="preserve">Smart Picks Feed,</w:t>
      </w:r>
      <w:r>
        <w:t xml:space="preserve">”</w:t>
      </w:r>
      <w:r>
        <w:t xml:space="preserve"> </w:t>
      </w:r>
      <w:r>
        <w:t xml:space="preserve">rename the filter button to</w:t>
      </w:r>
      <w:r>
        <w:t xml:space="preserve"> </w:t>
      </w:r>
      <w:r>
        <w:t xml:space="preserve">“</w:t>
      </w:r>
      <w:r>
        <w:t xml:space="preserve">Apply Smart Gates,</w:t>
      </w:r>
      <w:r>
        <w:t xml:space="preserve">”</w:t>
      </w:r>
      <w:r>
        <w:t xml:space="preserve"> </w:t>
      </w:r>
      <w:r>
        <w:t xml:space="preserve">and reserve</w:t>
      </w:r>
      <w:r>
        <w:t xml:space="preserve"> </w:t>
      </w:r>
      <w:r>
        <w:t xml:space="preserve">“</w:t>
      </w:r>
      <w:r>
        <w:t xml:space="preserve">Smart Picks</w:t>
      </w:r>
      <w:r>
        <w:t xml:space="preserve">”</w:t>
      </w:r>
      <w:r>
        <w:t xml:space="preserve"> </w:t>
      </w:r>
      <w:r>
        <w:t xml:space="preserve">for documentation only.</w:t>
      </w:r>
    </w:p>
    <w:bookmarkEnd w:id="46"/>
    <w:bookmarkStart w:id="47" w:name="guide-page-accuracy"/>
    <w:p>
      <w:pPr>
        <w:pStyle w:val="Heading3"/>
      </w:pPr>
      <w:r>
        <w:t xml:space="preserve">4.3 Guide Page Accuracy</w:t>
      </w:r>
    </w:p>
    <w:p>
      <w:pPr>
        <w:pStyle w:val="FirstParagraph"/>
      </w:pPr>
      <w:r>
        <w:t xml:space="preserve">The ?Guide modal presents authoritative documentation, but cross-referencing against the closed-pick database (</w:t>
      </w:r>
      <m:oMath>
        <m:r>
          <m:t>n</m:t>
        </m:r>
        <m:r>
          <m:rPr>
            <m:sty m:val="p"/>
          </m:rPr>
          <m:t>=</m:t>
        </m:r>
        <m:r>
          <m:t>4</m:t>
        </m:r>
        <m:r>
          <m:rPr>
            <m:sty m:val="p"/>
          </m:rPr>
          <m:t>,</m:t>
        </m:r>
        <m:r>
          <m:t>618</m:t>
        </m:r>
      </m:oMath>
      <w:r>
        <w:t xml:space="preserve">) reveals misalignment on R:R recommendations and combo reproducibility.</w:t>
      </w:r>
    </w:p>
    <w:p>
      <w:pPr>
        <w:pStyle w:val="BodyText"/>
      </w:pPr>
      <w:r>
        <w:rPr>
          <w:bCs/>
          <w:b/>
        </w:rPr>
        <w:t xml:space="preserve">Table 3: ?Guide Claim vs. Actual Data — Discrepancy Audit</w:t>
      </w:r>
    </w:p>
    <w:tbl>
      <w:tblPr>
        <w:tblStyle w:val="Table"/>
        <w:tblW w:type="pct" w:w="5000"/>
        <w:tblLook w:firstRow="1" w:lastRow="0" w:firstColumn="0" w:lastColumn="0" w:noHBand="0" w:noVBand="0" w:val="0020"/>
      </w:tblPr>
      <w:tblGrid>
        <w:gridCol w:w="1863"/>
        <w:gridCol w:w="1863"/>
        <w:gridCol w:w="1863"/>
        <w:gridCol w:w="2329"/>
      </w:tblGrid>
      <w:tr>
        <w:trPr>
          <w:tblHeader w:val="true"/>
        </w:trPr>
        <w:tc>
          <w:tcPr/>
          <w:p>
            <w:pPr>
              <w:pStyle w:val="Compact"/>
              <w:jc w:val="left"/>
            </w:pPr>
            <w:r>
              <w:t xml:space="preserve">Guide Claim</w:t>
            </w:r>
          </w:p>
        </w:tc>
        <w:tc>
          <w:tcPr/>
          <w:p>
            <w:pPr>
              <w:pStyle w:val="Compact"/>
              <w:jc w:val="left"/>
            </w:pPr>
            <w:r>
              <w:t xml:space="preserve">Stated Metrics</w:t>
            </w:r>
          </w:p>
        </w:tc>
        <w:tc>
          <w:tcPr/>
          <w:p>
            <w:pPr>
              <w:pStyle w:val="Compact"/>
              <w:jc w:val="left"/>
            </w:pPr>
            <w:r>
              <w:t xml:space="preserve">Actual / Cross-Check</w:t>
            </w:r>
          </w:p>
        </w:tc>
        <w:tc>
          <w:tcPr/>
          <w:p>
            <w:pPr>
              <w:pStyle w:val="Compact"/>
              <w:jc w:val="center"/>
            </w:pPr>
            <w:r>
              <w:t xml:space="preserve">Severity</w:t>
            </w:r>
          </w:p>
        </w:tc>
      </w:tr>
      <w:tr>
        <w:tc>
          <w:tcPr/>
          <w:p>
            <w:pPr>
              <w:pStyle w:val="Compact"/>
              <w:jc w:val="left"/>
            </w:pPr>
            <w:r>
              <w:t xml:space="preserve">Crypto Confidence 0.85–0.90</w:t>
            </w:r>
          </w:p>
        </w:tc>
        <w:tc>
          <w:tcPr/>
          <w:p>
            <w:pPr>
              <w:pStyle w:val="Compact"/>
              <w:jc w:val="left"/>
            </w:pPr>
            <w:r>
              <w:t xml:space="preserve">82% WR, PF 11.8</w:t>
            </w:r>
          </w:p>
        </w:tc>
        <w:tc>
          <w:tcPr/>
          <w:p>
            <w:pPr>
              <w:pStyle w:val="Compact"/>
              <w:jc w:val="left"/>
            </w:pPr>
            <w:r>
              <w:t xml:space="preserve">Confirmed; overfit cliff (&gt;0.90 → 47% WR) not explained</w:t>
            </w:r>
          </w:p>
        </w:tc>
        <w:tc>
          <w:tcPr/>
          <w:p>
            <w:pPr>
              <w:pStyle w:val="Compact"/>
              <w:jc w:val="center"/>
            </w:pPr>
            <w:r>
              <w:t xml:space="preserve">Low</w:t>
            </w:r>
          </w:p>
        </w:tc>
      </w:tr>
      <w:tr>
        <w:tc>
          <w:tcPr/>
          <w:p>
            <w:pPr>
              <w:pStyle w:val="Compact"/>
              <w:jc w:val="left"/>
            </w:pPr>
            <w:r>
              <w:t xml:space="preserve">R:R ≥2.0 band</w:t>
            </w:r>
          </w:p>
        </w:tc>
        <w:tc>
          <w:tcPr/>
          <w:p>
            <w:pPr>
              <w:pStyle w:val="Compact"/>
              <w:jc w:val="left"/>
            </w:pPr>
            <w:r>
              <w:t xml:space="preserve">58.0% WR, PF 3.06</w:t>
            </w:r>
          </w:p>
        </w:tc>
        <w:tc>
          <w:tcPr/>
          <w:p>
            <w:pPr>
              <w:pStyle w:val="Compact"/>
              <w:jc w:val="left"/>
            </w:pPr>
            <w:r>
              <w:t xml:space="preserve">Triple-verified; prior tooltip (29.5% WR) empirically wrong</w:t>
            </w:r>
          </w:p>
        </w:tc>
        <w:tc>
          <w:tcPr/>
          <w:p>
            <w:pPr>
              <w:pStyle w:val="Compact"/>
              <w:jc w:val="center"/>
            </w:pPr>
            <w:r>
              <w:t xml:space="preserve">Low</w:t>
            </w:r>
          </w:p>
        </w:tc>
      </w:tr>
      <w:tr>
        <w:tc>
          <w:tcPr/>
          <w:p>
            <w:pPr>
              <w:pStyle w:val="Compact"/>
              <w:jc w:val="left"/>
            </w:pPr>
            <w:r>
              <w:rPr>
                <w:bCs/>
                <w:b/>
              </w:rPr>
              <w:t xml:space="preserve">R:R ≥1.5 filter (current)</w:t>
            </w:r>
          </w:p>
        </w:tc>
        <w:tc>
          <w:tcPr/>
          <w:p>
            <w:pPr>
              <w:pStyle w:val="Compact"/>
              <w:jc w:val="left"/>
            </w:pPr>
            <w:r>
              <w:t xml:space="preserve">Recommended</w:t>
            </w:r>
          </w:p>
        </w:tc>
        <w:tc>
          <w:tcPr/>
          <w:p>
            <w:pPr>
              <w:pStyle w:val="Compact"/>
              <w:jc w:val="left"/>
            </w:pPr>
            <w:r>
              <w:rPr>
                <w:bCs/>
                <w:b/>
              </w:rPr>
              <w:t xml:space="preserve">Underperforms baseline on every asset class</w:t>
            </w:r>
            <w:r>
              <w:t xml:space="preserve"> </w:t>
            </w:r>
            <w:r>
              <w:t xml:space="preserve">(crypto −0.4pp, equity −1.0pp, forex −9.2pp, commodity −32.3pp)</w:t>
            </w:r>
            <w:r>
              <w:t xml:space="preserve"> </w:t>
            </w:r>
            <w:r>
              <w:rPr>
                <w:vertAlign w:val="superscript"/>
              </w:rPr>
              <w:t xml:space="preserve">19</w:t>
            </w:r>
          </w:p>
        </w:tc>
        <w:tc>
          <w:tcPr/>
          <w:p>
            <w:pPr>
              <w:pStyle w:val="Compact"/>
              <w:jc w:val="center"/>
            </w:pPr>
            <w:r>
              <w:rPr>
                <w:bCs/>
                <w:b/>
              </w:rPr>
              <w:t xml:space="preserve">High</w:t>
            </w:r>
          </w:p>
        </w:tc>
      </w:tr>
      <w:tr>
        <w:tc>
          <w:tcPr/>
          <w:p>
            <w:pPr>
              <w:pStyle w:val="Compact"/>
              <w:jc w:val="left"/>
            </w:pPr>
            <w:r>
              <w:rPr>
                <w:bCs/>
                <w:b/>
              </w:rPr>
              <w:t xml:space="preserve">Maximum Conviction Combo</w:t>
            </w:r>
          </w:p>
        </w:tc>
        <w:tc>
          <w:tcPr/>
          <w:p>
            <w:pPr>
              <w:pStyle w:val="Compact"/>
              <w:jc w:val="left"/>
            </w:pPr>
            <w:r>
              <w:t xml:space="preserve">71.3% WR, PF 13.21, n=94</w:t>
            </w:r>
          </w:p>
        </w:tc>
        <w:tc>
          <w:tcPr/>
          <w:p>
            <w:pPr>
              <w:pStyle w:val="Compact"/>
              <w:jc w:val="left"/>
            </w:pPr>
            <w:r>
              <w:rPr>
                <w:bCs/>
                <w:b/>
              </w:rPr>
              <w:t xml:space="preserve">Not reproducible on current window (n=0);</w:t>
            </w:r>
            <w:r>
              <w:rPr>
                <w:bCs/>
                <w:b/>
              </w:rPr>
              <w:t xml:space="preserve"> </w:t>
            </w:r>
            <w:r>
              <w:rPr>
                <w:bCs/>
                <w:b/>
              </w:rPr>
              <w:t xml:space="preserve">“</w:t>
            </w:r>
            <w:r>
              <w:rPr>
                <w:bCs/>
                <w:b/>
              </w:rPr>
              <w:t xml:space="preserve">insufficient sample</w:t>
            </w:r>
            <w:r>
              <w:rPr>
                <w:bCs/>
                <w:b/>
              </w:rPr>
              <w:t xml:space="preserve">”</w:t>
            </w:r>
            <w:r>
              <w:t xml:space="preserve"> </w:t>
            </w:r>
            <w:r>
              <w:rPr>
                <w:vertAlign w:val="superscript"/>
              </w:rPr>
              <w:t xml:space="preserve">19</w:t>
            </w:r>
          </w:p>
        </w:tc>
        <w:tc>
          <w:tcPr/>
          <w:p>
            <w:pPr>
              <w:pStyle w:val="Compact"/>
              <w:jc w:val="center"/>
            </w:pPr>
            <w:r>
              <w:rPr>
                <w:bCs/>
                <w:b/>
              </w:rPr>
              <w:t xml:space="preserve">High</w:t>
            </w:r>
          </w:p>
        </w:tc>
      </w:tr>
      <w:tr>
        <w:tc>
          <w:tcPr/>
          <w:p>
            <w:pPr>
              <w:pStyle w:val="Compact"/>
              <w:jc w:val="left"/>
            </w:pPr>
            <w:r>
              <w:rPr>
                <w:bCs/>
                <w:b/>
              </w:rPr>
              <w:t xml:space="preserve">Stocks Trusted + score ≥50</w:t>
            </w:r>
          </w:p>
        </w:tc>
        <w:tc>
          <w:tcPr/>
          <w:p>
            <w:pPr>
              <w:pStyle w:val="Compact"/>
              <w:jc w:val="left"/>
            </w:pPr>
            <w:r>
              <w:t xml:space="preserve">69.2% WR, +25.8pp lift</w:t>
            </w:r>
          </w:p>
        </w:tc>
        <w:tc>
          <w:tcPr/>
          <w:p>
            <w:pPr>
              <w:pStyle w:val="Compact"/>
              <w:jc w:val="left"/>
            </w:pPr>
            <w:r>
              <w:rPr>
                <w:bCs/>
                <w:b/>
              </w:rPr>
              <w:t xml:space="preserve">PF 0.77 on n=13 — fails PF &gt; 1.5 edge threshold</w:t>
            </w:r>
          </w:p>
        </w:tc>
        <w:tc>
          <w:tcPr/>
          <w:p>
            <w:pPr>
              <w:pStyle w:val="Compact"/>
              <w:jc w:val="center"/>
            </w:pPr>
            <w:r>
              <w:rPr>
                <w:bCs/>
                <w:b/>
              </w:rPr>
              <w:t xml:space="preserve">Medium</w:t>
            </w:r>
          </w:p>
        </w:tc>
      </w:tr>
      <w:tr>
        <w:tc>
          <w:tcPr/>
          <w:p>
            <w:pPr>
              <w:pStyle w:val="Compact"/>
              <w:jc w:val="left"/>
            </w:pPr>
            <w:r>
              <w:t xml:space="preserve">High-grade A/B</w:t>
            </w:r>
          </w:p>
        </w:tc>
        <w:tc>
          <w:tcPr/>
          <w:p>
            <w:pPr>
              <w:pStyle w:val="Compact"/>
              <w:jc w:val="left"/>
            </w:pPr>
            <w:r>
              <w:t xml:space="preserve">NOT an edge</w:t>
            </w:r>
          </w:p>
        </w:tc>
        <w:tc>
          <w:tcPr/>
          <w:p>
            <w:pPr>
              <w:pStyle w:val="Compact"/>
              <w:jc w:val="left"/>
            </w:pPr>
            <w:r>
              <w:t xml:space="preserve">49.3% WR, PF 0.66, −0.08% avg (n=483)</w:t>
            </w:r>
          </w:p>
        </w:tc>
        <w:tc>
          <w:tcPr/>
          <w:p>
            <w:pPr>
              <w:pStyle w:val="Compact"/>
              <w:jc w:val="center"/>
            </w:pPr>
            <w:r>
              <w:t xml:space="preserve">None (honest)</w:t>
            </w:r>
          </w:p>
        </w:tc>
      </w:tr>
    </w:tbl>
    <w:p>
      <w:pPr>
        <w:pStyle w:val="BodyText"/>
      </w:pPr>
      <w:r>
        <w:t xml:space="preserve">The Maximum Conviction Combo —</w:t>
      </w:r>
      <w:r>
        <w:t xml:space="preserve"> </w:t>
      </w:r>
      <w:r>
        <w:t xml:space="preserve">“</w:t>
      </w:r>
      <w:r>
        <w:t xml:space="preserve">PROVEN strategy + confidence 0.8–0.9: 71.3% WR, PF 13.21</w:t>
      </w:r>
      <w:r>
        <w:t xml:space="preserve">”</w:t>
      </w:r>
      <w:r>
        <w:t xml:space="preserve"> </w:t>
      </w:r>
      <w:r>
        <w:t xml:space="preserve">— produces zero matching picks on the current data window. The guide buries this in a footnote reading</w:t>
      </w:r>
      <w:r>
        <w:t xml:space="preserve"> </w:t>
      </w:r>
      <w:r>
        <w:t xml:space="preserve">“</w:t>
      </w:r>
      <w:r>
        <w:t xml:space="preserve">insufficient sample,</w:t>
      </w:r>
      <w:r>
        <w:t xml:space="preserve">”</w:t>
      </w:r>
      <w:r>
        <w:t xml:space="preserve"> </w:t>
      </w:r>
      <w:r>
        <w:t xml:space="preserve">but a user scanning headline claims would conclude it is validated and actionable</w:t>
      </w:r>
      <w:r>
        <w:t xml:space="preserve"> </w:t>
      </w:r>
      <w:r>
        <w:rPr>
          <w:vertAlign w:val="superscript"/>
        </w:rPr>
        <w:t xml:space="preserve">19</w:t>
      </w:r>
      <w:r>
        <w:t xml:space="preserve">. The R:R ≥1.5 filter is the second high-severity issue: live data shows it underperforming baseline across every asset class, a case of conditional statistics (R:R ≥2.0 among</w:t>
      </w:r>
      <w:r>
        <w:t xml:space="preserve"> </w:t>
      </w:r>
      <w:r>
        <w:rPr>
          <w:iCs/>
          <w:i/>
        </w:rPr>
        <w:t xml:space="preserve">closed picks</w:t>
      </w:r>
      <w:r>
        <w:t xml:space="preserve">) diverging from prospective filter performance. Verdict: the Guide presents two non-reproducible or contradictory recommendations alongside accurate crypto confidence data.</w:t>
      </w:r>
    </w:p>
    <w:bookmarkEnd w:id="47"/>
    <w:bookmarkStart w:id="48" w:name="supplementary-tab-analysis"/>
    <w:p>
      <w:pPr>
        <w:pStyle w:val="Heading3"/>
      </w:pPr>
      <w:r>
        <w:t xml:space="preserve">4.4 Supplementary Tab Analysis</w:t>
      </w:r>
    </w:p>
    <w:p>
      <w:pPr>
        <w:pStyle w:val="FirstParagraph"/>
      </w:pPr>
      <w:r>
        <w:t xml:space="preserve">The dashboard ships with</w:t>
      </w:r>
      <w:r>
        <w:t xml:space="preserve"> </w:t>
      </w:r>
      <w:r>
        <w:rPr>
          <w:bCs/>
          <w:b/>
        </w:rPr>
        <w:t xml:space="preserve">fourteen tabs</w:t>
      </w:r>
      <w:r>
        <w:t xml:space="preserve">. Two merit scrutiny.</w:t>
      </w:r>
    </w:p>
    <w:p>
      <w:pPr>
        <w:pStyle w:val="BodyText"/>
      </w:pPr>
      <w:r>
        <w:rPr>
          <w:bCs/>
          <w:b/>
        </w:rPr>
        <w:t xml:space="preserve">US Equity Picks</w:t>
      </w:r>
      <w:r>
        <w:t xml:space="preserve"> </w:t>
      </w:r>
      <w:r>
        <w:t xml:space="preserve">is entirely non-functional:</w:t>
      </w:r>
      <w:r>
        <w:t xml:space="preserve"> </w:t>
      </w:r>
      <w:r>
        <w:t xml:space="preserve">“</w:t>
      </w:r>
      <w:r>
        <w:t xml:space="preserve">Building track record · n=0/100</w:t>
      </w:r>
      <w:r>
        <w:t xml:space="preserve">”</w:t>
      </w:r>
      <w:r>
        <w:t xml:space="preserve"> </w:t>
      </w:r>
      <w:r>
        <w:t xml:space="preserve">with empty sub-tabs. The scoring formula (0.55 × ValueComposite + 0.45 × QualityComposite × SafetyGate) is displayed, but zero picks exist to score. This tab consumes prime navigation real estate for a feature with no actionable data since deployment.</w:t>
      </w:r>
    </w:p>
    <w:p>
      <w:pPr>
        <w:pStyle w:val="BodyText"/>
      </w:pPr>
      <w:r>
        <w:rPr>
          <w:bCs/>
          <w:b/>
        </w:rPr>
        <w:t xml:space="preserve">Closed Picks</w:t>
      </w:r>
      <w:r>
        <w:t xml:space="preserve"> </w:t>
      </w:r>
      <w:r>
        <w:t xml:space="preserve">is the audit trail — the only tab enabling forward-claim validation by comparing advertised FWD WR against realized WR. For a platform styled as an audit system, this is the evidence locker and should be prominently placed.</w:t>
      </w:r>
    </w:p>
    <w:p>
      <w:pPr>
        <w:pStyle w:val="BodyText"/>
      </w:pPr>
      <w:r>
        <w:t xml:space="preserve">The remaining tabs fall into operational (Portfolios, Performance), internal diagnostics (Score Tracker, ML Health, Permutations), and external links (Links) categories. Most duplicate Overview data or expose pipeline states irrelevant to trading decisions.</w:t>
      </w:r>
    </w:p>
    <w:p>
      <w:pPr>
        <w:pStyle w:val="BodyText"/>
      </w:pPr>
      <w:r>
        <w:rPr>
          <w:bCs/>
          <w:b/>
        </w:rPr>
        <w:t xml:space="preserve">Table 4: Recommended Tab Reduction — 14 to 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Current Tab</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Overview</w:t>
            </w:r>
          </w:p>
        </w:tc>
        <w:tc>
          <w:tcPr/>
          <w:p>
            <w:pPr>
              <w:pStyle w:val="Compact"/>
              <w:jc w:val="left"/>
            </w:pPr>
            <w:r>
              <w:rPr>
                <w:bCs/>
                <w:b/>
              </w:rPr>
              <w:t xml:space="preserve">Keep</w:t>
            </w:r>
          </w:p>
        </w:tc>
        <w:tc>
          <w:tcPr/>
          <w:p>
            <w:pPr>
              <w:pStyle w:val="Compact"/>
              <w:jc w:val="left"/>
            </w:pPr>
            <w:r>
              <w:t xml:space="preserve">Consolidated landing with asset-class tiles</w:t>
            </w:r>
          </w:p>
        </w:tc>
      </w:tr>
      <w:tr>
        <w:tc>
          <w:tcPr/>
          <w:p>
            <w:pPr>
              <w:pStyle w:val="Compact"/>
              <w:jc w:val="left"/>
            </w:pPr>
            <w:r>
              <w:t xml:space="preserve">Active Picks</w:t>
            </w:r>
          </w:p>
        </w:tc>
        <w:tc>
          <w:tcPr/>
          <w:p>
            <w:pPr>
              <w:pStyle w:val="Compact"/>
              <w:jc w:val="left"/>
            </w:pPr>
            <w:r>
              <w:rPr>
                <w:bCs/>
                <w:b/>
              </w:rPr>
              <w:t xml:space="preserve">Keep</w:t>
            </w:r>
          </w:p>
        </w:tc>
        <w:tc>
          <w:tcPr/>
          <w:p>
            <w:pPr>
              <w:pStyle w:val="Compact"/>
              <w:jc w:val="left"/>
            </w:pPr>
            <w:r>
              <w:t xml:space="preserve">Core feed; add filter chips from Section 4.1</w:t>
            </w:r>
          </w:p>
        </w:tc>
      </w:tr>
      <w:tr>
        <w:tc>
          <w:tcPr/>
          <w:p>
            <w:pPr>
              <w:pStyle w:val="Compact"/>
              <w:jc w:val="left"/>
            </w:pPr>
            <w:r>
              <w:t xml:space="preserve">Verified Alpha</w:t>
            </w:r>
          </w:p>
        </w:tc>
        <w:tc>
          <w:tcPr/>
          <w:p>
            <w:pPr>
              <w:pStyle w:val="Compact"/>
              <w:jc w:val="left"/>
            </w:pPr>
            <w:r>
              <w:rPr>
                <w:bCs/>
                <w:b/>
              </w:rPr>
              <w:t xml:space="preserve">Merge into Active Picks</w:t>
            </w:r>
          </w:p>
        </w:tc>
        <w:tc>
          <w:tcPr/>
          <w:p>
            <w:pPr>
              <w:pStyle w:val="Compact"/>
              <w:jc w:val="left"/>
            </w:pPr>
            <w:r>
              <w:t xml:space="preserve">Becomes filter toggle, not standalone tab</w:t>
            </w:r>
          </w:p>
        </w:tc>
      </w:tr>
      <w:tr>
        <w:tc>
          <w:tcPr/>
          <w:p>
            <w:pPr>
              <w:pStyle w:val="Compact"/>
              <w:jc w:val="left"/>
            </w:pPr>
            <w:r>
              <w:t xml:space="preserve">Smart Picks</w:t>
            </w:r>
          </w:p>
        </w:tc>
        <w:tc>
          <w:tcPr/>
          <w:p>
            <w:pPr>
              <w:pStyle w:val="Compact"/>
              <w:jc w:val="left"/>
            </w:pPr>
            <w:r>
              <w:rPr>
                <w:bCs/>
                <w:b/>
              </w:rPr>
              <w:t xml:space="preserve">Merge into Active Picks</w:t>
            </w:r>
          </w:p>
        </w:tc>
        <w:tc>
          <w:tcPr/>
          <w:p>
            <w:pPr>
              <w:pStyle w:val="Compact"/>
              <w:jc w:val="left"/>
            </w:pPr>
            <w:r>
              <w:t xml:space="preserve">Becomes</w:t>
            </w:r>
            <w:r>
              <w:t xml:space="preserve"> </w:t>
            </w:r>
            <w:r>
              <w:t xml:space="preserve">“</w:t>
            </w:r>
            <w:r>
              <w:t xml:space="preserve">Apply Smart Gates</w:t>
            </w:r>
            <w:r>
              <w:t xml:space="preserve">”</w:t>
            </w:r>
            <w:r>
              <w:t xml:space="preserve"> </w:t>
            </w:r>
            <w:r>
              <w:t xml:space="preserve">filter per 4.2</w:t>
            </w:r>
          </w:p>
        </w:tc>
      </w:tr>
      <w:tr>
        <w:tc>
          <w:tcPr/>
          <w:p>
            <w:pPr>
              <w:pStyle w:val="Compact"/>
              <w:jc w:val="left"/>
            </w:pPr>
            <w:r>
              <w:t xml:space="preserve">US Equity Picks</w:t>
            </w:r>
          </w:p>
        </w:tc>
        <w:tc>
          <w:tcPr/>
          <w:p>
            <w:pPr>
              <w:pStyle w:val="Compact"/>
              <w:jc w:val="left"/>
            </w:pPr>
            <w:r>
              <w:rPr>
                <w:bCs/>
                <w:b/>
              </w:rPr>
              <w:t xml:space="preserve">Hide until n≥100</w:t>
            </w:r>
          </w:p>
        </w:tc>
        <w:tc>
          <w:tcPr/>
          <w:p>
            <w:pPr>
              <w:pStyle w:val="Compact"/>
              <w:jc w:val="left"/>
            </w:pPr>
            <w:r>
              <w:t xml:space="preserve">Zero actionable picks; show badge in Overview</w:t>
            </w:r>
          </w:p>
        </w:tc>
      </w:tr>
      <w:tr>
        <w:tc>
          <w:tcPr/>
          <w:p>
            <w:pPr>
              <w:pStyle w:val="Compact"/>
              <w:jc w:val="left"/>
            </w:pPr>
            <w:r>
              <w:t xml:space="preserve">Closed Picks</w:t>
            </w:r>
          </w:p>
        </w:tc>
        <w:tc>
          <w:tcPr/>
          <w:p>
            <w:pPr>
              <w:pStyle w:val="Compact"/>
              <w:jc w:val="left"/>
            </w:pPr>
            <w:r>
              <w:rPr>
                <w:bCs/>
                <w:b/>
              </w:rPr>
              <w:t xml:space="preserve">Keep</w:t>
            </w:r>
          </w:p>
        </w:tc>
        <w:tc>
          <w:tcPr/>
          <w:p>
            <w:pPr>
              <w:pStyle w:val="Compact"/>
              <w:jc w:val="left"/>
            </w:pPr>
            <w:r>
              <w:t xml:space="preserve">Audit validation; rename</w:t>
            </w:r>
            <w:r>
              <w:t xml:space="preserve"> </w:t>
            </w:r>
            <w:r>
              <w:t xml:space="preserve">“</w:t>
            </w:r>
            <w:r>
              <w:t xml:space="preserve">Trade History</w:t>
            </w:r>
            <w:r>
              <w:t xml:space="preserve">”</w:t>
            </w:r>
          </w:p>
        </w:tc>
      </w:tr>
      <w:tr>
        <w:tc>
          <w:tcPr/>
          <w:p>
            <w:pPr>
              <w:pStyle w:val="Compact"/>
              <w:jc w:val="left"/>
            </w:pPr>
            <w:r>
              <w:t xml:space="preserve">Portfolios</w:t>
            </w:r>
          </w:p>
        </w:tc>
        <w:tc>
          <w:tcPr/>
          <w:p>
            <w:pPr>
              <w:pStyle w:val="Compact"/>
              <w:jc w:val="left"/>
            </w:pPr>
            <w:r>
              <w:rPr>
                <w:bCs/>
                <w:b/>
              </w:rPr>
              <w:t xml:space="preserve">Merge into Overview</w:t>
            </w:r>
          </w:p>
        </w:tc>
        <w:tc>
          <w:tcPr/>
          <w:p>
            <w:pPr>
              <w:pStyle w:val="Compact"/>
              <w:jc w:val="left"/>
            </w:pPr>
            <w:r>
              <w:t xml:space="preserve">Duplicates existing portfolio tiles</w:t>
            </w:r>
          </w:p>
        </w:tc>
      </w:tr>
      <w:tr>
        <w:tc>
          <w:tcPr/>
          <w:p>
            <w:pPr>
              <w:pStyle w:val="Compact"/>
              <w:jc w:val="left"/>
            </w:pPr>
            <w:r>
              <w:t xml:space="preserve">Dashboards</w:t>
            </w:r>
          </w:p>
        </w:tc>
        <w:tc>
          <w:tcPr/>
          <w:p>
            <w:pPr>
              <w:pStyle w:val="Compact"/>
              <w:jc w:val="left"/>
            </w:pPr>
            <w:r>
              <w:rPr>
                <w:bCs/>
                <w:b/>
              </w:rPr>
              <w:t xml:space="preserve">Remove</w:t>
            </w:r>
          </w:p>
        </w:tc>
        <w:tc>
          <w:tcPr/>
          <w:p>
            <w:pPr>
              <w:pStyle w:val="Compact"/>
              <w:jc w:val="left"/>
            </w:pPr>
            <w:r>
              <w:t xml:space="preserve">No unique data vs. Overview</w:t>
            </w:r>
          </w:p>
        </w:tc>
      </w:tr>
      <w:tr>
        <w:tc>
          <w:tcPr/>
          <w:p>
            <w:pPr>
              <w:pStyle w:val="Compact"/>
              <w:jc w:val="left"/>
            </w:pPr>
            <w:r>
              <w:t xml:space="preserve">Strat. Leaderboard</w:t>
            </w:r>
          </w:p>
        </w:tc>
        <w:tc>
          <w:tcPr/>
          <w:p>
            <w:pPr>
              <w:pStyle w:val="Compact"/>
              <w:jc w:val="left"/>
            </w:pPr>
            <w:r>
              <w:rPr>
                <w:bCs/>
                <w:b/>
              </w:rPr>
              <w:t xml:space="preserve">Keep</w:t>
            </w:r>
          </w:p>
        </w:tc>
        <w:tc>
          <w:tcPr/>
          <w:p>
            <w:pPr>
              <w:pStyle w:val="Compact"/>
              <w:jc w:val="left"/>
            </w:pPr>
            <w:r>
              <w:t xml:space="preserve">Per-strategy WR/PF rankings</w:t>
            </w:r>
          </w:p>
        </w:tc>
      </w:tr>
      <w:tr>
        <w:tc>
          <w:tcPr/>
          <w:p>
            <w:pPr>
              <w:pStyle w:val="Compact"/>
              <w:jc w:val="left"/>
            </w:pPr>
            <w:r>
              <w:t xml:space="preserve">Permutations</w:t>
            </w:r>
          </w:p>
        </w:tc>
        <w:tc>
          <w:tcPr/>
          <w:p>
            <w:pPr>
              <w:pStyle w:val="Compact"/>
              <w:jc w:val="left"/>
            </w:pPr>
            <w:r>
              <w:rPr>
                <w:bCs/>
                <w:b/>
              </w:rPr>
              <w:t xml:space="preserve">Remove</w:t>
            </w:r>
          </w:p>
        </w:tc>
        <w:tc>
          <w:tcPr/>
          <w:p>
            <w:pPr>
              <w:pStyle w:val="Compact"/>
              <w:jc w:val="left"/>
            </w:pPr>
            <w:r>
              <w:t xml:space="preserve">Internal combinatorial analysis</w:t>
            </w:r>
          </w:p>
        </w:tc>
      </w:tr>
      <w:tr>
        <w:tc>
          <w:tcPr/>
          <w:p>
            <w:pPr>
              <w:pStyle w:val="Compact"/>
              <w:jc w:val="left"/>
            </w:pPr>
            <w:r>
              <w:t xml:space="preserve">Performance</w:t>
            </w:r>
          </w:p>
        </w:tc>
        <w:tc>
          <w:tcPr/>
          <w:p>
            <w:pPr>
              <w:pStyle w:val="Compact"/>
              <w:jc w:val="left"/>
            </w:pPr>
            <w:r>
              <w:rPr>
                <w:bCs/>
                <w:b/>
              </w:rPr>
              <w:t xml:space="preserve">Merge into Overview</w:t>
            </w:r>
          </w:p>
        </w:tc>
        <w:tc>
          <w:tcPr/>
          <w:p>
            <w:pPr>
              <w:pStyle w:val="Compact"/>
              <w:jc w:val="left"/>
            </w:pPr>
            <w:r>
              <w:t xml:space="preserve">Duplicates asset-class tile data</w:t>
            </w:r>
          </w:p>
        </w:tc>
      </w:tr>
      <w:tr>
        <w:tc>
          <w:tcPr/>
          <w:p>
            <w:pPr>
              <w:pStyle w:val="Compact"/>
              <w:jc w:val="left"/>
            </w:pPr>
            <w:r>
              <w:t xml:space="preserve">Score Tracker</w:t>
            </w:r>
          </w:p>
        </w:tc>
        <w:tc>
          <w:tcPr/>
          <w:p>
            <w:pPr>
              <w:pStyle w:val="Compact"/>
              <w:jc w:val="left"/>
            </w:pPr>
            <w:r>
              <w:rPr>
                <w:bCs/>
                <w:b/>
              </w:rPr>
              <w:t xml:space="preserve">Demote to Debug Mode</w:t>
            </w:r>
          </w:p>
        </w:tc>
        <w:tc>
          <w:tcPr/>
          <w:p>
            <w:pPr>
              <w:pStyle w:val="Compact"/>
              <w:jc w:val="left"/>
            </w:pPr>
            <w:r>
              <w:t xml:space="preserve">Internal diagnostics only</w:t>
            </w:r>
          </w:p>
        </w:tc>
      </w:tr>
      <w:tr>
        <w:tc>
          <w:tcPr/>
          <w:p>
            <w:pPr>
              <w:pStyle w:val="Compact"/>
              <w:jc w:val="left"/>
            </w:pPr>
            <w:r>
              <w:t xml:space="preserve">ML Health</w:t>
            </w:r>
          </w:p>
        </w:tc>
        <w:tc>
          <w:tcPr/>
          <w:p>
            <w:pPr>
              <w:pStyle w:val="Compact"/>
              <w:jc w:val="left"/>
            </w:pPr>
            <w:r>
              <w:rPr>
                <w:bCs/>
                <w:b/>
              </w:rPr>
              <w:t xml:space="preserve">Remove</w:t>
            </w:r>
          </w:p>
        </w:tc>
        <w:tc>
          <w:tcPr/>
          <w:p>
            <w:pPr>
              <w:pStyle w:val="Compact"/>
              <w:jc w:val="left"/>
            </w:pPr>
            <w:r>
              <w:t xml:space="preserve">Empty tab at time of audit</w:t>
            </w:r>
            <w:r>
              <w:t xml:space="preserve"> </w:t>
            </w:r>
            <w:r>
              <w:rPr>
                <w:vertAlign w:val="superscript"/>
              </w:rPr>
              <w:t xml:space="preserve">20</w:t>
            </w:r>
          </w:p>
        </w:tc>
      </w:tr>
      <w:tr>
        <w:tc>
          <w:tcPr/>
          <w:p>
            <w:pPr>
              <w:pStyle w:val="Compact"/>
              <w:jc w:val="left"/>
            </w:pPr>
            <w:r>
              <w:t xml:space="preserve">Links</w:t>
            </w:r>
          </w:p>
        </w:tc>
        <w:tc>
          <w:tcPr/>
          <w:p>
            <w:pPr>
              <w:pStyle w:val="Compact"/>
              <w:jc w:val="left"/>
            </w:pPr>
            <w:r>
              <w:rPr>
                <w:bCs/>
                <w:b/>
              </w:rPr>
              <w:t xml:space="preserve">Move to footer</w:t>
            </w:r>
          </w:p>
        </w:tc>
        <w:tc>
          <w:tcPr/>
          <w:p>
            <w:pPr>
              <w:pStyle w:val="Compact"/>
              <w:jc w:val="left"/>
            </w:pPr>
            <w:r>
              <w:t xml:space="preserve">External URLs in primary nav dilute focus</w:t>
            </w:r>
            <w:r>
              <w:t xml:space="preserve"> </w:t>
            </w:r>
            <w:r>
              <w:rPr>
                <w:vertAlign w:val="superscript"/>
              </w:rPr>
              <w:t xml:space="preserve">36</w:t>
            </w:r>
          </w:p>
        </w:tc>
      </w:tr>
    </w:tbl>
    <w:p>
      <w:pPr>
        <w:pStyle w:val="BodyText"/>
      </w:pPr>
      <w:r>
        <w:t xml:space="preserve">The reduction follows progressive disclosure: show decisions users need, hide infrastructure they don’t</w:t>
      </w:r>
      <w:r>
        <w:t xml:space="preserve"> </w:t>
      </w:r>
      <w:r>
        <w:rPr>
          <w:vertAlign w:val="superscript"/>
        </w:rPr>
        <w:t xml:space="preserve">30</w:t>
      </w:r>
      <w:r>
        <w:t xml:space="preserve">. Diagnostic depth stays accessible via an</w:t>
      </w:r>
      <w:r>
        <w:t xml:space="preserve"> </w:t>
      </w:r>
      <w:r>
        <w:t xml:space="preserve">“</w:t>
      </w:r>
      <w:r>
        <w:t xml:space="preserve">Advanced</w:t>
      </w:r>
      <w:r>
        <w:t xml:space="preserve">”</w:t>
      </w:r>
      <w:r>
        <w:t xml:space="preserve"> </w:t>
      </w:r>
      <w:r>
        <w:t xml:space="preserve">toggle.</w:t>
      </w:r>
    </w:p>
    <w:bookmarkEnd w:id="48"/>
    <w:bookmarkStart w:id="49" w:name="html-bug-fix"/>
    <w:p>
      <w:pPr>
        <w:pStyle w:val="Heading3"/>
      </w:pPr>
      <w:r>
        <w:t xml:space="preserve">4.5 HTML Bug Fix</w:t>
      </w:r>
    </w:p>
    <w:p>
      <w:pPr>
        <w:pStyle w:val="FirstParagraph"/>
      </w:pPr>
      <w:r>
        <w:t xml:space="preserve">The US Equity Picks tab displays leaked text:</w:t>
      </w:r>
      <w:r>
        <w:t xml:space="preserve"> </w:t>
      </w:r>
      <w:r>
        <w:rPr>
          <w:rStyle w:val="VerbatimChar"/>
        </w:rPr>
        <w:t xml:space="preserve">` inside this block — HTML does not support nested comments and the inner `--&gt;` would close the outer. --&gt;</w:t>
      </w:r>
      <w:r>
        <w:t xml:space="preserve">. This is a developer comment escaped into the rendered page.</w:t>
      </w:r>
    </w:p>
    <w:p>
      <w:pPr>
        <w:pStyle w:val="BodyText"/>
      </w:pPr>
      <w:r>
        <w:rPr>
          <w:bCs/>
          <w:b/>
        </w:rPr>
        <w:t xml:space="preserve">Table 5: HTML Comment Bug — Root Cause and Fix</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File</w:t>
            </w:r>
          </w:p>
        </w:tc>
        <w:tc>
          <w:tcPr/>
          <w:p>
            <w:pPr>
              <w:pStyle w:val="Compact"/>
              <w:jc w:val="left"/>
            </w:pPr>
            <w:r>
              <w:rPr>
                <w:rStyle w:val="VerbatimChar"/>
              </w:rPr>
              <w:t xml:space="preserve">audit_dashboard/template.html</w:t>
            </w:r>
            <w:r>
              <w:t xml:space="preserve">, lines ~1813–1825 (UEPS section)</w:t>
            </w:r>
          </w:p>
        </w:tc>
      </w:tr>
      <w:tr>
        <w:tc>
          <w:tcPr/>
          <w:p>
            <w:pPr>
              <w:pStyle w:val="Compact"/>
              <w:jc w:val="left"/>
            </w:pPr>
            <w:r>
              <w:rPr>
                <w:bCs/>
                <w:b/>
              </w:rPr>
              <w:t xml:space="preserve">Bug type</w:t>
            </w:r>
          </w:p>
        </w:tc>
        <w:tc>
          <w:tcPr/>
          <w:p>
            <w:pPr>
              <w:pStyle w:val="Compact"/>
              <w:jc w:val="left"/>
            </w:pPr>
            <w:r>
              <w:t xml:space="preserve">Nested HTML comment with premature</w:t>
            </w:r>
            <w:r>
              <w:t xml:space="preserve"> </w:t>
            </w:r>
            <w:r>
              <w:rPr>
                <w:rStyle w:val="VerbatimChar"/>
              </w:rPr>
              <w:t xml:space="preserve">--&gt;</w:t>
            </w:r>
            <w:r>
              <w:t xml:space="preserve"> </w:t>
            </w:r>
            <w:r>
              <w:t xml:space="preserve">terminator</w:t>
            </w:r>
            <w:r>
              <w:t xml:space="preserve"> </w:t>
            </w:r>
            <w:r>
              <w:rPr>
                <w:vertAlign w:val="superscript"/>
              </w:rPr>
              <w:t xml:space="preserve">20</w:t>
            </w:r>
          </w:p>
        </w:tc>
      </w:tr>
      <w:tr>
        <w:tc>
          <w:tcPr/>
          <w:p>
            <w:pPr>
              <w:pStyle w:val="Compact"/>
              <w:jc w:val="left"/>
            </w:pPr>
            <w:r>
              <w:rPr>
                <w:bCs/>
                <w:b/>
              </w:rPr>
              <w:t xml:space="preserve">Root cause</w:t>
            </w:r>
          </w:p>
        </w:tc>
        <w:tc>
          <w:tcPr/>
          <w:p>
            <w:pPr>
              <w:pStyle w:val="Compact"/>
              <w:jc w:val="left"/>
            </w:pPr>
            <w:r>
              <w:t xml:space="preserve">HTML parser treats</w:t>
            </w:r>
            <w:r>
              <w:t xml:space="preserve"> </w:t>
            </w:r>
            <w:r>
              <w:rPr>
                <w:rStyle w:val="VerbatimChar"/>
              </w:rPr>
              <w:t xml:space="preserve">--&gt;</w:t>
            </w:r>
            <w:r>
              <w:t xml:space="preserve"> </w:t>
            </w:r>
            <w:r>
              <w:t xml:space="preserve">inside backtick-quoted text as comment end</w:t>
            </w:r>
            <w:r>
              <w:t xml:space="preserve"> </w:t>
            </w:r>
            <w:r>
              <w:rPr>
                <w:vertAlign w:val="superscript"/>
              </w:rPr>
              <w:t xml:space="preserve">37</w:t>
            </w:r>
          </w:p>
        </w:tc>
      </w:tr>
      <w:tr>
        <w:tc>
          <w:tcPr/>
          <w:p>
            <w:pPr>
              <w:pStyle w:val="Compact"/>
              <w:jc w:val="left"/>
            </w:pPr>
            <w:r>
              <w:rPr>
                <w:bCs/>
                <w:b/>
              </w:rPr>
              <w:t xml:space="preserve">Visible impact</w:t>
            </w:r>
          </w:p>
        </w:tc>
        <w:tc>
          <w:tcPr/>
          <w:p>
            <w:pPr>
              <w:pStyle w:val="Compact"/>
              <w:jc w:val="left"/>
            </w:pPr>
            <w:r>
              <w:t xml:space="preserve">Developer warning text renders on US Equity Picks tab</w:t>
            </w:r>
          </w:p>
        </w:tc>
      </w:tr>
      <w:tr>
        <w:tc>
          <w:tcPr/>
          <w:p>
            <w:pPr>
              <w:pStyle w:val="Compact"/>
              <w:jc w:val="left"/>
            </w:pPr>
            <w:r>
              <w:rPr>
                <w:bCs/>
                <w:b/>
              </w:rPr>
              <w:t xml:space="preserve">Severity</w:t>
            </w:r>
          </w:p>
        </w:tc>
        <w:tc>
          <w:tcPr/>
          <w:p>
            <w:pPr>
              <w:pStyle w:val="Compact"/>
              <w:jc w:val="left"/>
            </w:pPr>
            <w:r>
              <w:t xml:space="preserve">Medium — UX degradation; security risk if pattern repeats</w:t>
            </w:r>
          </w:p>
        </w:tc>
      </w:tr>
    </w:tbl>
    <w:p>
      <w:pPr>
        <w:pStyle w:val="BodyText"/>
      </w:pPr>
      <w:r>
        <w:t xml:space="preserve">The comment warned:</w:t>
      </w:r>
      <w:r>
        <w:t xml:space="preserve"> </w:t>
      </w:r>
      <w:r>
        <w:t xml:space="preserve">“</w:t>
      </w:r>
      <w:r>
        <w:t xml:space="preserve">do NOT nest comments inside this block.</w:t>
      </w:r>
      <w:r>
        <w:t xml:space="preserve">”</w:t>
      </w:r>
      <w:r>
        <w:t xml:space="preserve"> </w:t>
      </w:r>
      <w:r>
        <w:t xml:space="preserve">The irony is self-evident — the warning about nested comments triggers the exact bug it describes</w:t>
      </w:r>
      <w:r>
        <w:t xml:space="preserve"> </w:t>
      </w:r>
      <w:r>
        <w:rPr>
          <w:vertAlign w:val="superscript"/>
        </w:rPr>
        <w:t xml:space="preserve">37</w:t>
      </w:r>
      <w:r>
        <w:t xml:space="preserve"> </w:t>
      </w:r>
      <w:r>
        <w:rPr>
          <w:vertAlign w:val="superscript"/>
        </w:rPr>
        <w:t xml:space="preserve">38</w:t>
      </w:r>
      <w:r>
        <w:t xml:space="preserve">.</w:t>
      </w:r>
    </w:p>
    <w:p>
      <w:pPr>
        <w:pStyle w:val="BodyText"/>
      </w:pPr>
      <w:r>
        <w:rPr>
          <w:bCs/>
          <w:b/>
        </w:rPr>
        <w:t xml:space="preserve">Fix:</w:t>
      </w:r>
      <w:r>
        <w:t xml:space="preserve"> </w:t>
      </w:r>
      <w:r>
        <w:t xml:space="preserve">Replace the entire multi-line block:</w:t>
      </w:r>
    </w:p>
    <w:p>
      <w:pPr>
        <w:pStyle w:val="SourceCode"/>
      </w:pPr>
      <w:r>
        <w:rPr>
          <w:rStyle w:val="CommentTok"/>
        </w:rPr>
        <w:t xml:space="preserve">&lt;!-- Before (lines 1813–1825): verbose multi-line comment containing nested `--&gt;</w:t>
      </w:r>
      <w:r>
        <w:rPr>
          <w:rStyle w:val="NormalTok"/>
        </w:rPr>
        <w:t xml:space="preserve">` --&gt;</w:t>
      </w:r>
      <w:r>
        <w:br/>
      </w:r>
      <w:r>
        <w:rPr>
          <w:rStyle w:val="CommentTok"/>
        </w:rPr>
        <w:t xml:space="preserve">&lt;!-- After: --&gt;</w:t>
      </w:r>
      <w:r>
        <w:br/>
      </w:r>
      <w:r>
        <w:rPr>
          <w:rStyle w:val="CommentTok"/>
        </w:rPr>
        <w:t xml:space="preserve">&lt;!-- UEPS mount point --&gt;</w:t>
      </w:r>
    </w:p>
    <w:p>
      <w:pPr>
        <w:pStyle w:val="FirstParagraph"/>
      </w:pPr>
      <w:r>
        <w:t xml:space="preserve">This is the cleanest fix — the comment contains no runtime logic and describes server-side architecture irrelevant to end users</w:t>
      </w:r>
      <w:r>
        <w:t xml:space="preserve"> </w:t>
      </w:r>
      <w:r>
        <w:rPr>
          <w:vertAlign w:val="superscript"/>
        </w:rPr>
        <w:t xml:space="preserve">20</w:t>
      </w:r>
      <w:r>
        <w:t xml:space="preserve"> </w:t>
      </w:r>
      <w:r>
        <w:rPr>
          <w:vertAlign w:val="superscript"/>
        </w:rPr>
        <w:t xml:space="preserve">39</w:t>
      </w:r>
      <w:r>
        <w:t xml:space="preserve">.</w:t>
      </w:r>
    </w:p>
    <w:p>
      <w:pPr>
        <w:pStyle w:val="BodyText"/>
      </w:pPr>
      <w:r>
        <w:rPr>
          <w:bCs/>
          <w:b/>
        </w:rPr>
        <w:t xml:space="preserve">Verification:</w:t>
      </w:r>
      <w:r>
        <w:t xml:space="preserve"> </w:t>
      </w:r>
      <w:r>
        <w:t xml:space="preserve">(1) replace block with</w:t>
      </w:r>
      <w:r>
        <w:t xml:space="preserve"> </w:t>
      </w:r>
      <w:r>
        <w:rPr>
          <w:rStyle w:val="VerbatimChar"/>
        </w:rPr>
        <w:t xml:space="preserve">&lt;!-- UEPS mount point --&gt;</w:t>
      </w:r>
      <w:r>
        <w:t xml:space="preserve">; (2) reload and confirm no leaked text; (3) grep codebase for other comments containing</w:t>
      </w:r>
      <w:r>
        <w:t xml:space="preserve"> </w:t>
      </w:r>
      <w:r>
        <w:rPr>
          <w:rStyle w:val="VerbatimChar"/>
        </w:rPr>
        <w:t xml:space="preserve">--&gt;</w:t>
      </w:r>
      <w:r>
        <w:t xml:space="preserve"> </w:t>
      </w:r>
      <w:r>
        <w:t xml:space="preserve">sequences; (4) add an</w:t>
      </w:r>
      <w:r>
        <w:t xml:space="preserve"> </w:t>
      </w:r>
      <w:r>
        <w:rPr>
          <w:rStyle w:val="VerbatimChar"/>
        </w:rPr>
        <w:t xml:space="preserve">htmlhint</w:t>
      </w:r>
      <w:r>
        <w:t xml:space="preserve"> </w:t>
      </w:r>
      <w:r>
        <w:t xml:space="preserve">linter or CI grep check</w:t>
      </w:r>
      <w:r>
        <w:t xml:space="preserve"> </w:t>
      </w:r>
      <w:r>
        <w:rPr>
          <w:vertAlign w:val="superscript"/>
        </w:rPr>
        <w:t xml:space="preserve">20</w:t>
      </w:r>
      <w:r>
        <w:t xml:space="preserve">. Secondary cleanup: wrap 15+</w:t>
      </w:r>
      <w:r>
        <w:t xml:space="preserve"> </w:t>
      </w:r>
      <w:r>
        <w:rPr>
          <w:rStyle w:val="VerbatimChar"/>
        </w:rPr>
        <w:t xml:space="preserve">console.log</w:t>
      </w:r>
      <w:r>
        <w:t xml:space="preserve"> </w:t>
      </w:r>
      <w:r>
        <w:t xml:space="preserve">statements in a debug flag (they leak internal file paths) and remove the empty ML Health tab that presents users with a blank page</w:t>
      </w:r>
      <w:r>
        <w:t xml:space="preserve"> </w:t>
      </w:r>
      <w:r>
        <w:rPr>
          <w:vertAlign w:val="superscript"/>
        </w:rPr>
        <w:t xml:space="preserve">20</w:t>
      </w:r>
      <w:r>
        <w:t xml:space="preserve">. These fixes address the most visible quality issues. They do not alter underlying statistical validity — that was the subject of Chapters 2 and 3 — but they prevent users from encountering HTML fragments, empty tabs, and contradictory filter recommendations that erode trust in engineering standards.</w:t>
      </w:r>
    </w:p>
    <w:p>
      <w:r>
        <w:pict>
          <v:rect style="width:0;height:1.5pt" o:hralign="center" o:hrstd="t" o:hr="t"/>
        </w:pict>
      </w:r>
    </w:p>
    <w:bookmarkEnd w:id="49"/>
    <w:bookmarkEnd w:id="50"/>
    <w:bookmarkStart w:id="66" w:name="strategy-health-failure-analysis"/>
    <w:p>
      <w:pPr>
        <w:pStyle w:val="Heading2"/>
      </w:pPr>
      <w:r>
        <w:t xml:space="preserve">5. Strategy Health &amp; Failure Analysis</w:t>
      </w:r>
    </w:p>
    <w:bookmarkStart w:id="52" w:name="strategy-failure-overview"/>
    <w:p>
      <w:pPr>
        <w:pStyle w:val="Heading3"/>
      </w:pPr>
      <w:r>
        <w:t xml:space="preserve">5.1 Strategy Failure Overview</w:t>
      </w:r>
    </w:p>
    <w:p>
      <w:pPr>
        <w:pStyle w:val="FirstParagraph"/>
      </w:pPr>
      <w:r>
        <w:t xml:space="preserve">Systematic diagnosis of the platform’s strategy universe reveals</w:t>
      </w:r>
      <w:r>
        <w:t xml:space="preserve"> </w:t>
      </w:r>
      <w:r>
        <w:rPr>
          <w:bCs/>
          <w:b/>
        </w:rPr>
        <w:t xml:space="preserve">11 strategies flagged as statistical dropouts</w:t>
      </w:r>
      <w:r>
        <w:t xml:space="preserve">, defined as those whose 7-day Win Rate (WR) has fallen more than 20 percentage points below their historical baseline. The mean baseline WR across the cohort was 46.4%, yet the current 7-day average stands at 27.5% — a</w:t>
      </w:r>
      <w:r>
        <w:t xml:space="preserve"> </w:t>
      </w:r>
      <w:r>
        <w:rPr>
          <w:bCs/>
          <w:b/>
        </w:rPr>
        <w:t xml:space="preserve">19.1pp collective collapse</w:t>
      </w:r>
      <w:r>
        <w:t xml:space="preserve"> </w:t>
      </w:r>
      <w:r>
        <w:t xml:space="preserve">that demands classification before any capital reallocation.</w:t>
      </w:r>
    </w:p>
    <w:p>
      <w:pPr>
        <w:pStyle w:val="BodyText"/>
      </w:pPr>
      <w:r>
        <w:t xml:space="preserve">Four failure modes emerge from the diagnostic framework, grounded in Jegadeesh &amp; Titman’s momentum-to-reversal transition model</w:t>
      </w:r>
      <w:r>
        <w:t xml:space="preserve"> </w:t>
      </w:r>
      <w:r>
        <w:rPr>
          <w:vertAlign w:val="superscript"/>
        </w:rPr>
        <w:t xml:space="preserve">40</w:t>
      </w:r>
      <w:r>
        <w:t xml:space="preserve">, Ali-Daniel-Hirshleifer’s</w:t>
      </w:r>
      <w:r>
        <w:t xml:space="preserve"> </w:t>
      </w:r>
      <w:r>
        <w:t xml:space="preserve">“</w:t>
      </w:r>
      <w:r>
        <w:t xml:space="preserve">PMP Effect</w:t>
      </w:r>
      <w:r>
        <w:t xml:space="preserve">”</w:t>
      </w:r>
      <w:r>
        <w:t xml:space="preserve"> </w:t>
      </w:r>
      <w:r>
        <w:t xml:space="preserve">on style-chasing reversals</w:t>
      </w:r>
      <w:r>
        <w:t xml:space="preserve"> </w:t>
      </w:r>
      <w:r>
        <w:rPr>
          <w:vertAlign w:val="superscript"/>
        </w:rPr>
        <w:t xml:space="preserve">41</w:t>
      </w:r>
      <w:r>
        <w:t xml:space="preserve">, and practitioner evidence on RSI(2) regime dependency from Connors &amp; Alvarez</w:t>
      </w:r>
      <w:r>
        <w:t xml:space="preserve"> </w:t>
      </w:r>
      <w:r>
        <w:rPr>
          <w:vertAlign w:val="superscript"/>
        </w:rPr>
        <w:t xml:space="preserve">42</w:t>
      </w:r>
      <w:r>
        <w:t xml:space="preserve"> </w:t>
      </w:r>
      <w:r>
        <w:rPr>
          <w:vertAlign w:val="superscript"/>
        </w:rPr>
        <w:t xml:space="preserve">43</w:t>
      </w:r>
      <w:r>
        <w:t xml:space="preserve">. Published anomalies face approximately 5pp of annual Sharpe decay from joint overfitting and arbitrage pressures</w:t>
      </w:r>
      <w:r>
        <w:t xml:space="preserve"> </w:t>
      </w:r>
      <w:r>
        <w:rPr>
          <w:vertAlign w:val="superscript"/>
        </w:rPr>
        <w:t xml:space="preserve">44</w:t>
      </w:r>
      <w:r>
        <w:t xml:space="preserve">.</w:t>
      </w:r>
    </w:p>
    <w:bookmarkStart w:id="51" w:name="table-11-failing-strategies"/>
    <w:p>
      <w:pPr>
        <w:pStyle w:val="Heading4"/>
      </w:pPr>
      <w:r>
        <w:t xml:space="preserve">5.1.1 Table: 11 Failing Strategies</w:t>
      </w:r>
    </w:p>
    <w:tbl>
      <w:tblPr>
        <w:tblStyle w:val="Table"/>
        <w:tblW w:type="pct" w:w="5000"/>
        <w:tblLook w:firstRow="1" w:lastRow="0" w:firstColumn="0" w:lastColumn="0" w:noHBand="0" w:noVBand="0" w:val="0020"/>
      </w:tblPr>
      <w:tblGrid>
        <w:gridCol w:w="1131"/>
        <w:gridCol w:w="1414"/>
        <w:gridCol w:w="1414"/>
        <w:gridCol w:w="1414"/>
        <w:gridCol w:w="1131"/>
        <w:gridCol w:w="1414"/>
      </w:tblGrid>
      <w:tr>
        <w:trPr>
          <w:tblHeader w:val="true"/>
        </w:trPr>
        <w:tc>
          <w:tcPr/>
          <w:p>
            <w:pPr>
              <w:pStyle w:val="Compact"/>
              <w:jc w:val="left"/>
            </w:pPr>
            <w:r>
              <w:t xml:space="preserve">Strategy</w:t>
            </w:r>
          </w:p>
        </w:tc>
        <w:tc>
          <w:tcPr/>
          <w:p>
            <w:pPr>
              <w:pStyle w:val="Compact"/>
              <w:jc w:val="center"/>
            </w:pPr>
            <w:r>
              <w:t xml:space="preserve">7d WR</w:t>
            </w:r>
          </w:p>
        </w:tc>
        <w:tc>
          <w:tcPr/>
          <w:p>
            <w:pPr>
              <w:pStyle w:val="Compact"/>
              <w:jc w:val="center"/>
            </w:pPr>
            <w:r>
              <w:t xml:space="preserve">Baseline WR</w:t>
            </w:r>
          </w:p>
        </w:tc>
        <w:tc>
          <w:tcPr/>
          <w:p>
            <w:pPr>
              <w:pStyle w:val="Compact"/>
              <w:jc w:val="center"/>
            </w:pPr>
            <w:r>
              <w:t xml:space="preserve">Drop (pp)</w:t>
            </w:r>
          </w:p>
        </w:tc>
        <w:tc>
          <w:tcPr/>
          <w:p>
            <w:pPr>
              <w:pStyle w:val="Compact"/>
              <w:jc w:val="left"/>
            </w:pPr>
            <w:r>
              <w:t xml:space="preserve">Failure Category</w:t>
            </w:r>
          </w:p>
        </w:tc>
        <w:tc>
          <w:tcPr/>
          <w:p>
            <w:pPr>
              <w:pStyle w:val="Compact"/>
              <w:jc w:val="center"/>
            </w:pPr>
            <w:r>
              <w:t xml:space="preserve">Invertible</w:t>
            </w:r>
          </w:p>
        </w:tc>
      </w:tr>
      <w:tr>
        <w:tc>
          <w:tcPr/>
          <w:p>
            <w:pPr>
              <w:pStyle w:val="Compact"/>
              <w:jc w:val="left"/>
            </w:pPr>
            <w:r>
              <w:t xml:space="preserve">myfxbook_retail_contrarian</w:t>
            </w:r>
          </w:p>
        </w:tc>
        <w:tc>
          <w:tcPr/>
          <w:p>
            <w:pPr>
              <w:pStyle w:val="Compact"/>
              <w:jc w:val="center"/>
            </w:pPr>
            <w:r>
              <w:t xml:space="preserve">33%</w:t>
            </w:r>
          </w:p>
        </w:tc>
        <w:tc>
          <w:tcPr/>
          <w:p>
            <w:pPr>
              <w:pStyle w:val="Compact"/>
              <w:jc w:val="center"/>
            </w:pPr>
            <w:r>
              <w:t xml:space="preserve">54%</w:t>
            </w:r>
          </w:p>
        </w:tc>
        <w:tc>
          <w:tcPr/>
          <w:p>
            <w:pPr>
              <w:pStyle w:val="Compact"/>
              <w:jc w:val="center"/>
            </w:pPr>
            <w:r>
              <w:t xml:space="preserve">–21</w:t>
            </w:r>
          </w:p>
        </w:tc>
        <w:tc>
          <w:tcPr/>
          <w:p>
            <w:pPr>
              <w:pStyle w:val="Compact"/>
              <w:jc w:val="left"/>
            </w:pPr>
            <w:r>
              <w:t xml:space="preserve">Regime change + adverse selection</w:t>
            </w:r>
          </w:p>
        </w:tc>
        <w:tc>
          <w:tcPr/>
          <w:p>
            <w:pPr>
              <w:pStyle w:val="Compact"/>
              <w:jc w:val="center"/>
            </w:pPr>
            <w:r>
              <w:t xml:space="preserve">Yes</w:t>
            </w:r>
          </w:p>
        </w:tc>
      </w:tr>
      <w:tr>
        <w:tc>
          <w:tcPr/>
          <w:p>
            <w:pPr>
              <w:pStyle w:val="Compact"/>
              <w:jc w:val="left"/>
            </w:pPr>
            <w:r>
              <w:t xml:space="preserve">forex_rsi2_mean_reversion</w:t>
            </w:r>
          </w:p>
        </w:tc>
        <w:tc>
          <w:tcPr/>
          <w:p>
            <w:pPr>
              <w:pStyle w:val="Compact"/>
              <w:jc w:val="center"/>
            </w:pPr>
            <w:r>
              <w:t xml:space="preserve">19%</w:t>
            </w:r>
          </w:p>
        </w:tc>
        <w:tc>
          <w:tcPr/>
          <w:p>
            <w:pPr>
              <w:pStyle w:val="Compact"/>
              <w:jc w:val="center"/>
            </w:pPr>
            <w:r>
              <w:t xml:space="preserve">49%</w:t>
            </w:r>
          </w:p>
        </w:tc>
        <w:tc>
          <w:tcPr/>
          <w:p>
            <w:pPr>
              <w:pStyle w:val="Compact"/>
              <w:jc w:val="center"/>
            </w:pPr>
            <w:r>
              <w:t xml:space="preserve">–30</w:t>
            </w:r>
          </w:p>
        </w:tc>
        <w:tc>
          <w:tcPr/>
          <w:p>
            <w:pPr>
              <w:pStyle w:val="Compact"/>
              <w:jc w:val="left"/>
            </w:pPr>
            <w:r>
              <w:t xml:space="preserve">Regime change + wrong asset class</w:t>
            </w:r>
          </w:p>
        </w:tc>
        <w:tc>
          <w:tcPr/>
          <w:p>
            <w:pPr>
              <w:pStyle w:val="Compact"/>
              <w:jc w:val="center"/>
            </w:pPr>
            <w:r>
              <w:t xml:space="preserve">No</w:t>
            </w:r>
          </w:p>
        </w:tc>
      </w:tr>
      <w:tr>
        <w:tc>
          <w:tcPr/>
          <w:p>
            <w:pPr>
              <w:pStyle w:val="Compact"/>
              <w:jc w:val="left"/>
            </w:pPr>
            <w:r>
              <w:t xml:space="preserve">stocks_rsi2_pullback</w:t>
            </w:r>
          </w:p>
        </w:tc>
        <w:tc>
          <w:tcPr/>
          <w:p>
            <w:pPr>
              <w:pStyle w:val="Compact"/>
              <w:jc w:val="center"/>
            </w:pPr>
            <w:r>
              <w:t xml:space="preserve">42%</w:t>
            </w:r>
          </w:p>
        </w:tc>
        <w:tc>
          <w:tcPr/>
          <w:p>
            <w:pPr>
              <w:pStyle w:val="Compact"/>
              <w:jc w:val="center"/>
            </w:pPr>
            <w:r>
              <w:t xml:space="preserve">73%</w:t>
            </w:r>
          </w:p>
        </w:tc>
        <w:tc>
          <w:tcPr/>
          <w:p>
            <w:pPr>
              <w:pStyle w:val="Compact"/>
              <w:jc w:val="center"/>
            </w:pPr>
            <w:r>
              <w:t xml:space="preserve">–31</w:t>
            </w:r>
          </w:p>
        </w:tc>
        <w:tc>
          <w:tcPr/>
          <w:p>
            <w:pPr>
              <w:pStyle w:val="Compact"/>
              <w:jc w:val="left"/>
            </w:pPr>
            <w:r>
              <w:t xml:space="preserve">Regime change (bear/trendless)</w:t>
            </w:r>
          </w:p>
        </w:tc>
        <w:tc>
          <w:tcPr/>
          <w:p>
            <w:pPr>
              <w:pStyle w:val="Compact"/>
              <w:jc w:val="center"/>
            </w:pPr>
            <w:r>
              <w:t xml:space="preserve">Maybe</w:t>
            </w:r>
          </w:p>
        </w:tc>
      </w:tr>
      <w:tr>
        <w:tc>
          <w:tcPr/>
          <w:p>
            <w:pPr>
              <w:pStyle w:val="Compact"/>
              <w:jc w:val="left"/>
            </w:pPr>
            <w:r>
              <w:t xml:space="preserve">futures_momentum</w:t>
            </w:r>
          </w:p>
        </w:tc>
        <w:tc>
          <w:tcPr/>
          <w:p>
            <w:pPr>
              <w:pStyle w:val="Compact"/>
              <w:jc w:val="center"/>
            </w:pPr>
            <w:r>
              <w:t xml:space="preserve">20%</w:t>
            </w:r>
          </w:p>
        </w:tc>
        <w:tc>
          <w:tcPr/>
          <w:p>
            <w:pPr>
              <w:pStyle w:val="Compact"/>
              <w:jc w:val="center"/>
            </w:pPr>
            <w:r>
              <w:t xml:space="preserve">45%</w:t>
            </w:r>
          </w:p>
        </w:tc>
        <w:tc>
          <w:tcPr/>
          <w:p>
            <w:pPr>
              <w:pStyle w:val="Compact"/>
              <w:jc w:val="center"/>
            </w:pPr>
            <w:r>
              <w:t xml:space="preserve">–25</w:t>
            </w:r>
          </w:p>
        </w:tc>
        <w:tc>
          <w:tcPr/>
          <w:p>
            <w:pPr>
              <w:pStyle w:val="Compact"/>
              <w:jc w:val="left"/>
            </w:pPr>
            <w:r>
              <w:t xml:space="preserve">Adverse selection + regime change</w:t>
            </w:r>
          </w:p>
        </w:tc>
        <w:tc>
          <w:tcPr/>
          <w:p>
            <w:pPr>
              <w:pStyle w:val="Compact"/>
              <w:jc w:val="center"/>
            </w:pPr>
            <w:r>
              <w:t xml:space="preserve">Yes</w:t>
            </w:r>
          </w:p>
        </w:tc>
      </w:tr>
      <w:tr>
        <w:tc>
          <w:tcPr/>
          <w:p>
            <w:pPr>
              <w:pStyle w:val="Compact"/>
              <w:jc w:val="left"/>
            </w:pPr>
            <w:r>
              <w:t xml:space="preserve">ensemble</w:t>
            </w:r>
          </w:p>
        </w:tc>
        <w:tc>
          <w:tcPr/>
          <w:p>
            <w:pPr>
              <w:pStyle w:val="Compact"/>
              <w:jc w:val="center"/>
            </w:pPr>
            <w:r>
              <w:t xml:space="preserve">30%</w:t>
            </w:r>
          </w:p>
        </w:tc>
        <w:tc>
          <w:tcPr/>
          <w:p>
            <w:pPr>
              <w:pStyle w:val="Compact"/>
              <w:jc w:val="center"/>
            </w:pPr>
            <w:r>
              <w:t xml:space="preserve">41%</w:t>
            </w:r>
          </w:p>
        </w:tc>
        <w:tc>
          <w:tcPr/>
          <w:p>
            <w:pPr>
              <w:pStyle w:val="Compact"/>
              <w:jc w:val="center"/>
            </w:pPr>
            <w:r>
              <w:t xml:space="preserve">–11</w:t>
            </w:r>
          </w:p>
        </w:tc>
        <w:tc>
          <w:tcPr/>
          <w:p>
            <w:pPr>
              <w:pStyle w:val="Compact"/>
              <w:jc w:val="left"/>
            </w:pPr>
            <w:r>
              <w:t xml:space="preserve">Composition decay (GIGO)</w:t>
            </w:r>
          </w:p>
        </w:tc>
        <w:tc>
          <w:tcPr/>
          <w:p>
            <w:pPr>
              <w:pStyle w:val="Compact"/>
              <w:jc w:val="center"/>
            </w:pPr>
            <w:r>
              <w:t xml:space="preserve">No</w:t>
            </w:r>
          </w:p>
        </w:tc>
      </w:tr>
      <w:tr>
        <w:tc>
          <w:tcPr/>
          <w:p>
            <w:pPr>
              <w:pStyle w:val="Compact"/>
              <w:jc w:val="left"/>
            </w:pPr>
            <w:r>
              <w:t xml:space="preserve">goldmine_1x_consensus</w:t>
            </w:r>
          </w:p>
        </w:tc>
        <w:tc>
          <w:tcPr/>
          <w:p>
            <w:pPr>
              <w:pStyle w:val="Compact"/>
              <w:jc w:val="center"/>
            </w:pPr>
            <w:r>
              <w:t xml:space="preserve">12%</w:t>
            </w:r>
          </w:p>
        </w:tc>
        <w:tc>
          <w:tcPr/>
          <w:p>
            <w:pPr>
              <w:pStyle w:val="Compact"/>
              <w:jc w:val="center"/>
            </w:pPr>
            <w:r>
              <w:t xml:space="preserve">30%</w:t>
            </w:r>
          </w:p>
        </w:tc>
        <w:tc>
          <w:tcPr/>
          <w:p>
            <w:pPr>
              <w:pStyle w:val="Compact"/>
              <w:jc w:val="center"/>
            </w:pPr>
            <w:r>
              <w:t xml:space="preserve">–18</w:t>
            </w:r>
          </w:p>
        </w:tc>
        <w:tc>
          <w:tcPr/>
          <w:p>
            <w:pPr>
              <w:pStyle w:val="Compact"/>
              <w:jc w:val="left"/>
            </w:pPr>
            <w:r>
              <w:t xml:space="preserve">Overfitting + crowding</w:t>
            </w:r>
          </w:p>
        </w:tc>
        <w:tc>
          <w:tcPr/>
          <w:p>
            <w:pPr>
              <w:pStyle w:val="Compact"/>
              <w:jc w:val="center"/>
            </w:pPr>
            <w:r>
              <w:t xml:space="preserve">Yes</w:t>
            </w:r>
          </w:p>
        </w:tc>
      </w:tr>
      <w:tr>
        <w:tc>
          <w:tcPr/>
          <w:p>
            <w:pPr>
              <w:pStyle w:val="Compact"/>
              <w:jc w:val="left"/>
            </w:pPr>
            <w:r>
              <w:t xml:space="preserve">st_obv_support_divergence</w:t>
            </w:r>
          </w:p>
        </w:tc>
        <w:tc>
          <w:tcPr/>
          <w:p>
            <w:pPr>
              <w:pStyle w:val="Compact"/>
              <w:jc w:val="center"/>
            </w:pPr>
            <w:r>
              <w:t xml:space="preserve">46%</w:t>
            </w:r>
          </w:p>
        </w:tc>
        <w:tc>
          <w:tcPr/>
          <w:p>
            <w:pPr>
              <w:pStyle w:val="Compact"/>
              <w:jc w:val="center"/>
            </w:pPr>
            <w:r>
              <w:t xml:space="preserve">57%</w:t>
            </w:r>
          </w:p>
        </w:tc>
        <w:tc>
          <w:tcPr/>
          <w:p>
            <w:pPr>
              <w:pStyle w:val="Compact"/>
              <w:jc w:val="center"/>
            </w:pPr>
            <w:r>
              <w:t xml:space="preserve">–11</w:t>
            </w:r>
          </w:p>
        </w:tc>
        <w:tc>
          <w:tcPr/>
          <w:p>
            <w:pPr>
              <w:pStyle w:val="Compact"/>
              <w:jc w:val="left"/>
            </w:pPr>
            <w:r>
              <w:t xml:space="preserve">Regime change (volume reliability)</w:t>
            </w:r>
          </w:p>
        </w:tc>
        <w:tc>
          <w:tcPr/>
          <w:p>
            <w:pPr>
              <w:pStyle w:val="Compact"/>
              <w:jc w:val="center"/>
            </w:pPr>
            <w:r>
              <w:t xml:space="preserve">No</w:t>
            </w:r>
          </w:p>
        </w:tc>
      </w:tr>
      <w:tr>
        <w:tc>
          <w:tcPr/>
          <w:p>
            <w:pPr>
              <w:pStyle w:val="Compact"/>
              <w:jc w:val="left"/>
            </w:pPr>
            <w:r>
              <w:t xml:space="preserve">unknown</w:t>
            </w:r>
          </w:p>
        </w:tc>
        <w:tc>
          <w:tcPr/>
          <w:p>
            <w:pPr>
              <w:pStyle w:val="Compact"/>
              <w:jc w:val="center"/>
            </w:pPr>
            <w:r>
              <w:t xml:space="preserve">18%</w:t>
            </w:r>
          </w:p>
        </w:tc>
        <w:tc>
          <w:tcPr/>
          <w:p>
            <w:pPr>
              <w:pStyle w:val="Compact"/>
              <w:jc w:val="center"/>
            </w:pPr>
            <w:r>
              <w:t xml:space="preserve">34%</w:t>
            </w:r>
          </w:p>
        </w:tc>
        <w:tc>
          <w:tcPr/>
          <w:p>
            <w:pPr>
              <w:pStyle w:val="Compact"/>
              <w:jc w:val="center"/>
            </w:pPr>
            <w:r>
              <w:t xml:space="preserve">–16</w:t>
            </w:r>
          </w:p>
        </w:tc>
        <w:tc>
          <w:tcPr/>
          <w:p>
            <w:pPr>
              <w:pStyle w:val="Compact"/>
              <w:jc w:val="left"/>
            </w:pPr>
            <w:r>
              <w:t xml:space="preserve">Unknown / data quality</w:t>
            </w:r>
          </w:p>
        </w:tc>
        <w:tc>
          <w:tcPr/>
          <w:p>
            <w:pPr>
              <w:pStyle w:val="Compact"/>
              <w:jc w:val="center"/>
            </w:pPr>
            <w:r>
              <w:t xml:space="preserve">No</w:t>
            </w:r>
          </w:p>
        </w:tc>
      </w:tr>
      <w:tr>
        <w:tc>
          <w:tcPr/>
          <w:p>
            <w:pPr>
              <w:pStyle w:val="Compact"/>
              <w:jc w:val="left"/>
            </w:pPr>
            <w:r>
              <w:t xml:space="preserve">gainer_compression_relaxed_mut</w:t>
            </w:r>
          </w:p>
        </w:tc>
        <w:tc>
          <w:tcPr/>
          <w:p>
            <w:pPr>
              <w:pStyle w:val="Compact"/>
              <w:jc w:val="center"/>
            </w:pPr>
            <w:r>
              <w:t xml:space="preserve">8%</w:t>
            </w:r>
          </w:p>
        </w:tc>
        <w:tc>
          <w:tcPr/>
          <w:p>
            <w:pPr>
              <w:pStyle w:val="Compact"/>
              <w:jc w:val="center"/>
            </w:pPr>
            <w:r>
              <w:t xml:space="preserve">32%</w:t>
            </w:r>
          </w:p>
        </w:tc>
        <w:tc>
          <w:tcPr/>
          <w:p>
            <w:pPr>
              <w:pStyle w:val="Compact"/>
              <w:jc w:val="center"/>
            </w:pPr>
            <w:r>
              <w:t xml:space="preserve">–24</w:t>
            </w:r>
          </w:p>
        </w:tc>
        <w:tc>
          <w:tcPr/>
          <w:p>
            <w:pPr>
              <w:pStyle w:val="Compact"/>
              <w:jc w:val="left"/>
            </w:pPr>
            <w:r>
              <w:t xml:space="preserve">Overfitting (parameter bloat)</w:t>
            </w:r>
          </w:p>
        </w:tc>
        <w:tc>
          <w:tcPr/>
          <w:p>
            <w:pPr>
              <w:pStyle w:val="Compact"/>
              <w:jc w:val="center"/>
            </w:pPr>
            <w:r>
              <w:t xml:space="preserve">Maybe</w:t>
            </w:r>
          </w:p>
        </w:tc>
      </w:tr>
      <w:tr>
        <w:tc>
          <w:tcPr/>
          <w:p>
            <w:pPr>
              <w:pStyle w:val="Compact"/>
              <w:jc w:val="left"/>
            </w:pPr>
            <w:r>
              <w:t xml:space="preserve">MomentumEMA</w:t>
            </w:r>
          </w:p>
        </w:tc>
        <w:tc>
          <w:tcPr/>
          <w:p>
            <w:pPr>
              <w:pStyle w:val="Compact"/>
              <w:jc w:val="center"/>
            </w:pPr>
            <w:r>
              <w:t xml:space="preserve">46%</w:t>
            </w:r>
          </w:p>
        </w:tc>
        <w:tc>
          <w:tcPr/>
          <w:p>
            <w:pPr>
              <w:pStyle w:val="Compact"/>
              <w:jc w:val="center"/>
            </w:pPr>
            <w:r>
              <w:t xml:space="preserve">67%</w:t>
            </w:r>
          </w:p>
        </w:tc>
        <w:tc>
          <w:tcPr/>
          <w:p>
            <w:pPr>
              <w:pStyle w:val="Compact"/>
              <w:jc w:val="center"/>
            </w:pPr>
            <w:r>
              <w:t xml:space="preserve">–21</w:t>
            </w:r>
          </w:p>
        </w:tc>
        <w:tc>
          <w:tcPr/>
          <w:p>
            <w:pPr>
              <w:pStyle w:val="Compact"/>
              <w:jc w:val="left"/>
            </w:pPr>
            <w:r>
              <w:t xml:space="preserve">Adverse selection + crowding</w:t>
            </w:r>
          </w:p>
        </w:tc>
        <w:tc>
          <w:tcPr/>
          <w:p>
            <w:pPr>
              <w:pStyle w:val="Compact"/>
              <w:jc w:val="center"/>
            </w:pPr>
            <w:r>
              <w:t xml:space="preserve">Yes</w:t>
            </w:r>
          </w:p>
        </w:tc>
      </w:tr>
      <w:tr>
        <w:tc>
          <w:tcPr/>
          <w:p>
            <w:pPr>
              <w:pStyle w:val="Compact"/>
              <w:jc w:val="left"/>
            </w:pPr>
            <w:r>
              <w:t xml:space="preserve">signal_engine_momentum_mut</w:t>
            </w:r>
          </w:p>
        </w:tc>
        <w:tc>
          <w:tcPr/>
          <w:p>
            <w:pPr>
              <w:pStyle w:val="Compact"/>
              <w:jc w:val="center"/>
            </w:pPr>
            <w:r>
              <w:t xml:space="preserve">30%</w:t>
            </w:r>
          </w:p>
        </w:tc>
        <w:tc>
          <w:tcPr/>
          <w:p>
            <w:pPr>
              <w:pStyle w:val="Compact"/>
              <w:jc w:val="center"/>
            </w:pPr>
            <w:r>
              <w:t xml:space="preserve">50%</w:t>
            </w:r>
          </w:p>
        </w:tc>
        <w:tc>
          <w:tcPr/>
          <w:p>
            <w:pPr>
              <w:pStyle w:val="Compact"/>
              <w:jc w:val="center"/>
            </w:pPr>
            <w:r>
              <w:t xml:space="preserve">–20</w:t>
            </w:r>
          </w:p>
        </w:tc>
        <w:tc>
          <w:tcPr/>
          <w:p>
            <w:pPr>
              <w:pStyle w:val="Compact"/>
              <w:jc w:val="left"/>
            </w:pPr>
            <w:r>
              <w:t xml:space="preserve">Overfitting + regime dependency</w:t>
            </w:r>
          </w:p>
        </w:tc>
        <w:tc>
          <w:tcPr/>
          <w:p>
            <w:pPr>
              <w:pStyle w:val="Compact"/>
              <w:jc w:val="center"/>
            </w:pPr>
            <w:r>
              <w:t xml:space="preserve">Maybe</w:t>
            </w:r>
          </w:p>
        </w:tc>
      </w:tr>
    </w:tbl>
    <w:p>
      <w:pPr>
        <w:pStyle w:val="BodyText"/>
      </w:pPr>
      <w:r>
        <w:t xml:space="preserve">The median drop is 21pp, but the worst performers — stocks_rsi2_pullback at –31pp and forex_rsi2_mean_reversion at –30pp — are mean-reversion strategies operating in environments where mean-reversion assumptions have broken down. Lehmann (1990) and Jegadeesh (1990) established that short-term contrarian profits require sufficiently negative return autocorrelations</w:t>
      </w:r>
      <w:r>
        <w:t xml:space="preserve"> </w:t>
      </w:r>
      <w:r>
        <w:rPr>
          <w:vertAlign w:val="superscript"/>
        </w:rPr>
        <w:t xml:space="preserve">45</w:t>
      </w:r>
      <w:r>
        <w:t xml:space="preserve">; when markets enter trending regimes, those autocorrelations flip positive and the strategy’s edge inverts into a liability</w:t>
      </w:r>
      <w:r>
        <w:t xml:space="preserve"> </w:t>
      </w:r>
      <w:r>
        <w:rPr>
          <w:vertAlign w:val="superscript"/>
        </w:rPr>
        <w:t xml:space="preserve">33</w:t>
      </w:r>
      <w:r>
        <w:t xml:space="preserve">. The 31pp collapse in stocks_rsi2_pullback — whose 73% baseline WR made it the portfolio’s statistical crown jewel — exemplifies how regime dependency transforms a high-conviction edge into a capital destruction engine within a single volatility cycle.</w:t>
      </w:r>
    </w:p>
    <w:bookmarkEnd w:id="51"/>
    <w:bookmarkEnd w:id="52"/>
    <w:bookmarkStart w:id="57" w:name="strategy-by-strategy-diagnosis"/>
    <w:p>
      <w:pPr>
        <w:pStyle w:val="Heading3"/>
      </w:pPr>
      <w:r>
        <w:t xml:space="preserve">5.2 Strategy-by-Strategy Diagnosis</w:t>
      </w:r>
    </w:p>
    <w:bookmarkStart w:id="53" w:name="Xe346a983c3a8d32d6816d47c067076250302e0d"/>
    <w:p>
      <w:pPr>
        <w:pStyle w:val="Heading4"/>
      </w:pPr>
      <w:r>
        <w:t xml:space="preserve">5.2.1 Regime Change: What Shifted, What Filter Would Restore Edge</w:t>
      </w:r>
    </w:p>
    <w:p>
      <w:pPr>
        <w:pStyle w:val="FirstParagraph"/>
      </w:pPr>
      <w:r>
        <w:t xml:space="preserve">Four strategies share the regime-change diagnosis.</w:t>
      </w:r>
      <w:r>
        <w:t xml:space="preserve"> </w:t>
      </w:r>
      <w:r>
        <w:rPr>
          <w:bCs/>
          <w:b/>
        </w:rPr>
        <w:t xml:space="preserve">stocks_rsi2_pullback</w:t>
      </w:r>
      <w:r>
        <w:t xml:space="preserve">, built on Connors &amp; Alvarez’s canonical RSI(2) configuration</w:t>
      </w:r>
      <w:r>
        <w:t xml:space="preserve"> </w:t>
      </w:r>
      <w:r>
        <w:rPr>
          <w:vertAlign w:val="superscript"/>
        </w:rPr>
        <w:t xml:space="preserve">43</w:t>
      </w:r>
      <w:r>
        <w:t xml:space="preserve">, collapsed from 73% to 42% as the equity market exited its mean-reverting regime. Practitioner research documents that</w:t>
      </w:r>
      <w:r>
        <w:t xml:space="preserve"> </w:t>
      </w:r>
      <w:r>
        <w:t xml:space="preserve">“</w:t>
      </w:r>
      <w:r>
        <w:t xml:space="preserve">the 2008 financial crisis and March 2020 crash saw win rates drop below 60% as</w:t>
      </w:r>
      <w:r>
        <w:t xml:space="preserve"> </w:t>
      </w:r>
      <w:r>
        <w:t xml:space="preserve">‘</w:t>
      </w:r>
      <w:r>
        <w:t xml:space="preserve">buy the dip</w:t>
      </w:r>
      <w:r>
        <w:t xml:space="preserve">’</w:t>
      </w:r>
      <w:r>
        <w:t xml:space="preserve"> </w:t>
      </w:r>
      <w:r>
        <w:t xml:space="preserve">repeatedly failed</w:t>
      </w:r>
      <w:r>
        <w:t xml:space="preserve">”</w:t>
      </w:r>
      <w:r>
        <w:t xml:space="preserve"> </w:t>
      </w:r>
      <w:r>
        <w:rPr>
          <w:vertAlign w:val="superscript"/>
        </w:rPr>
        <w:t xml:space="preserve">43</w:t>
      </w:r>
      <w:r>
        <w:t xml:space="preserve">. The restoration path involves four parameter tweaks: tighten entry to RSI(2) &lt; 5; add a VIX regime filter (suspend when VIX &gt; 25 or VIX &gt; 20 and rising); implement a 5-bar time stop; and require price above both 200-day and 50-day SMAs. Dual-trend confirmation</w:t>
      </w:r>
      <w:r>
        <w:t xml:space="preserve"> </w:t>
      </w:r>
      <w:r>
        <w:t xml:space="preserve">“</w:t>
      </w:r>
      <w:r>
        <w:t xml:space="preserve">boosts win rates by 5–10% while reducing signal frequency</w:t>
      </w:r>
      <w:r>
        <w:t xml:space="preserve">”</w:t>
      </w:r>
      <w:r>
        <w:t xml:space="preserve"> </w:t>
      </w:r>
      <w:r>
        <w:rPr>
          <w:vertAlign w:val="superscript"/>
        </w:rPr>
        <w:t xml:space="preserve">43</w:t>
      </w:r>
      <w:r>
        <w:t xml:space="preserve">. Expected WR recovery: 42% → 60–65%.</w:t>
      </w:r>
    </w:p>
    <w:p>
      <w:pPr>
        <w:pStyle w:val="BodyText"/>
      </w:pPr>
      <w:r>
        <w:rPr>
          <w:bCs/>
          <w:b/>
        </w:rPr>
        <w:t xml:space="preserve">forex_rsi2_mean_reversion</w:t>
      </w:r>
      <w:r>
        <w:t xml:space="preserve"> </w:t>
      </w:r>
      <w:r>
        <w:t xml:space="preserve">suffers from a fundamental asset-class mismatch. Connors research explicitly warns that</w:t>
      </w:r>
      <w:r>
        <w:t xml:space="preserve"> </w:t>
      </w:r>
      <w:r>
        <w:t xml:space="preserve">“</w:t>
      </w:r>
      <w:r>
        <w:t xml:space="preserve">applying RSI 2 blindly to highly trending markets like forex or commodities yields sub-50% win rates</w:t>
      </w:r>
      <w:r>
        <w:t xml:space="preserve">”</w:t>
      </w:r>
      <w:r>
        <w:t xml:space="preserve"> </w:t>
      </w:r>
      <w:r>
        <w:rPr>
          <w:vertAlign w:val="superscript"/>
        </w:rPr>
        <w:t xml:space="preserve">46</w:t>
      </w:r>
      <w:r>
        <w:t xml:space="preserve">. The recommended action is to abandon forex deployment and relocate the same logic to S&amp;P 500 / Nasdaq-100 instruments, where StatOasis documented 73–80% WR with proper filtering</w:t>
      </w:r>
      <w:r>
        <w:t xml:space="preserve"> </w:t>
      </w:r>
      <w:r>
        <w:rPr>
          <w:vertAlign w:val="superscript"/>
        </w:rPr>
        <w:t xml:space="preserve">42</w:t>
      </w:r>
      <w:r>
        <w:t xml:space="preserve">.</w:t>
      </w:r>
    </w:p>
    <w:p>
      <w:pPr>
        <w:pStyle w:val="BodyText"/>
      </w:pPr>
      <w:r>
        <w:rPr>
          <w:bCs/>
          <w:b/>
        </w:rPr>
        <w:t xml:space="preserve">myfxbook_retail_contrarian</w:t>
      </w:r>
      <w:r>
        <w:t xml:space="preserve"> </w:t>
      </w:r>
      <w:r>
        <w:t xml:space="preserve">has degraded because the least-informed retail traders have exited active forex markets, leaving a more sophisticated residual cohort. Chan (1988) demonstrated that contrarian profits are compensation for time-varying risk; when risk regimes shift, abnormal returns shrink to near-zero</w:t>
      </w:r>
      <w:r>
        <w:t xml:space="preserve"> </w:t>
      </w:r>
      <w:r>
        <w:rPr>
          <w:vertAlign w:val="superscript"/>
        </w:rPr>
        <w:t xml:space="preserve">47</w:t>
      </w:r>
      <w:r>
        <w:t xml:space="preserve">. The recommended inversion — fading retail only when VIX &lt; 25 and positioning exceeds the 90th percentile — narrows signal frequency but restores theoretical edge.</w:t>
      </w:r>
    </w:p>
    <w:p>
      <w:pPr>
        <w:pStyle w:val="BodyText"/>
      </w:pPr>
      <w:r>
        <w:rPr>
          <w:bCs/>
          <w:b/>
        </w:rPr>
        <w:t xml:space="preserve">st_obv_support_divergence</w:t>
      </w:r>
      <w:r>
        <w:t xml:space="preserve"> </w:t>
      </w:r>
      <w:r>
        <w:t xml:space="preserve">has suffered from declining volume-signal reliability due to dark pool proliferation, payment-for-order-flow arrangements, and algorithmic execution that fragments volume signals across venues</w:t>
      </w:r>
      <w:r>
        <w:t xml:space="preserve"> </w:t>
      </w:r>
      <w:r>
        <w:rPr>
          <w:vertAlign w:val="superscript"/>
        </w:rPr>
        <w:t xml:space="preserve">48</w:t>
      </w:r>
      <w:r>
        <w:t xml:space="preserve">. The modest 11pp decline suggests residual edge; modernization of the volume metric combined with a 50% position-size reduction is the appropriate response.</w:t>
      </w:r>
    </w:p>
    <w:bookmarkEnd w:id="53"/>
    <w:bookmarkStart w:id="54" w:name="X3a3e2e453af88e3a61fe51853eb757575c8312d"/>
    <w:p>
      <w:pPr>
        <w:pStyle w:val="Heading4"/>
      </w:pPr>
      <w:r>
        <w:t xml:space="preserve">5.2.2 Adverse Selection: Why Consensus Signals Become Self-Defeating</w:t>
      </w:r>
    </w:p>
    <w:p>
      <w:pPr>
        <w:pStyle w:val="FirstParagraph"/>
      </w:pPr>
      <w:r>
        <w:t xml:space="preserve">Three strategies —</w:t>
      </w:r>
      <w:r>
        <w:t xml:space="preserve"> </w:t>
      </w:r>
      <w:r>
        <w:rPr>
          <w:bCs/>
          <w:b/>
        </w:rPr>
        <w:t xml:space="preserve">futures_momentum</w:t>
      </w:r>
      <w:r>
        <w:t xml:space="preserve">,</w:t>
      </w:r>
      <w:r>
        <w:t xml:space="preserve"> </w:t>
      </w:r>
      <w:r>
        <w:rPr>
          <w:bCs/>
          <w:b/>
        </w:rPr>
        <w:t xml:space="preserve">MomentumEMA</w:t>
      </w:r>
      <w:r>
        <w:t xml:space="preserve">, and</w:t>
      </w:r>
      <w:r>
        <w:t xml:space="preserve"> </w:t>
      </w:r>
      <w:r>
        <w:rPr>
          <w:bCs/>
          <w:b/>
        </w:rPr>
        <w:t xml:space="preserve">ensemble</w:t>
      </w:r>
      <w:r>
        <w:t xml:space="preserve"> </w:t>
      </w:r>
      <w:r>
        <w:t xml:space="preserve">— suffer from adverse selection where signal popularity eroded alpha. MomentumEMA is the clearest case: EMA-crossover momentum has been public knowledge for 40+ years, placing it in the crosshairs of Falck et al.’s finding that</w:t>
      </w:r>
      <w:r>
        <w:t xml:space="preserve"> </w:t>
      </w:r>
      <w:r>
        <w:t xml:space="preserve">“</w:t>
      </w:r>
      <w:r>
        <w:t xml:space="preserve">publication year alone accounts for 30% of variance in Sharpe decay</w:t>
      </w:r>
      <w:r>
        <w:t xml:space="preserve">”</w:t>
      </w:r>
      <w:r>
        <w:t xml:space="preserve"> </w:t>
      </w:r>
      <w:r>
        <w:t xml:space="preserve">with</w:t>
      </w:r>
      <w:r>
        <w:t xml:space="preserve"> </w:t>
      </w:r>
      <w:r>
        <w:t xml:space="preserve">“</w:t>
      </w:r>
      <w:r>
        <w:t xml:space="preserve">5pp annual decay</w:t>
      </w:r>
      <w:r>
        <w:t xml:space="preserve">”</w:t>
      </w:r>
      <w:r>
        <w:t xml:space="preserve"> </w:t>
      </w:r>
      <w:r>
        <w:rPr>
          <w:vertAlign w:val="superscript"/>
        </w:rPr>
        <w:t xml:space="preserve">44</w:t>
      </w:r>
      <w:r>
        <w:t xml:space="preserve">. The Jegadeesh &amp; Titman (2001) reversal evidence shows that momentum portfolios experience</w:t>
      </w:r>
      <w:r>
        <w:t xml:space="preserve"> </w:t>
      </w:r>
      <w:r>
        <w:t xml:space="preserve">“</w:t>
      </w:r>
      <w:r>
        <w:t xml:space="preserve">dramatic reversal of returns in the second through fifth years</w:t>
      </w:r>
      <w:r>
        <w:t xml:space="preserve">”</w:t>
      </w:r>
      <w:r>
        <w:t xml:space="preserve"> </w:t>
      </w:r>
      <w:r>
        <w:t xml:space="preserve">post-formation</w:t>
      </w:r>
      <w:r>
        <w:t xml:space="preserve"> </w:t>
      </w:r>
      <w:r>
        <w:rPr>
          <w:vertAlign w:val="superscript"/>
        </w:rPr>
        <w:t xml:space="preserve">40</w:t>
      </w:r>
      <w:r>
        <w:t xml:space="preserve">— and for EMA momentum, that formation period spans decades.</w:t>
      </w:r>
    </w:p>
    <w:p>
      <w:pPr>
        <w:pStyle w:val="BodyText"/>
      </w:pPr>
      <w:r>
        <w:t xml:space="preserve">Futures momentum faces dual headwinds: general momentum crowding (Ali-Daniel-Hirshleifer’s</w:t>
      </w:r>
      <w:r>
        <w:t xml:space="preserve"> </w:t>
      </w:r>
      <w:r>
        <w:t xml:space="preserve">“</w:t>
      </w:r>
      <w:r>
        <w:t xml:space="preserve">PMP Effect</w:t>
      </w:r>
      <w:r>
        <w:t xml:space="preserve">”</w:t>
      </w:r>
      <w:r>
        <w:t xml:space="preserve"> </w:t>
      </w:r>
      <w:r>
        <w:t xml:space="preserve">generates 0.40% monthly alpha from fading it, t=3.74</w:t>
      </w:r>
      <w:r>
        <w:t xml:space="preserve"> </w:t>
      </w:r>
      <w:r>
        <w:rPr>
          <w:vertAlign w:val="superscript"/>
        </w:rPr>
        <w:t xml:space="preserve">41</w:t>
      </w:r>
      <w:r>
        <w:t xml:space="preserve">) and commodity-specific structural breakdown as index investing created then arbitraged artificial momentum</w:t>
      </w:r>
      <w:r>
        <w:t xml:space="preserve"> </w:t>
      </w:r>
      <w:r>
        <w:rPr>
          <w:vertAlign w:val="superscript"/>
        </w:rPr>
        <w:t xml:space="preserve">49</w:t>
      </w:r>
      <w:r>
        <w:t xml:space="preserve">. The ensemble strategy illustrates</w:t>
      </w:r>
      <w:r>
        <w:t xml:space="preserve"> </w:t>
      </w:r>
      <w:r>
        <w:t xml:space="preserve">“</w:t>
      </w:r>
      <w:r>
        <w:t xml:space="preserve">garbage in, garbage out</w:t>
      </w:r>
      <w:r>
        <w:t xml:space="preserve">”</w:t>
      </w:r>
      <w:r>
        <w:t xml:space="preserve">: with 7 of 11 constituents failing, the ensemble amplifies rather than attenuates losses. The Sheppert GT-Score framework supports reducing constituent count to only robust, validated signals</w:t>
      </w:r>
      <w:r>
        <w:t xml:space="preserve"> </w:t>
      </w:r>
      <w:r>
        <w:rPr>
          <w:vertAlign w:val="superscript"/>
        </w:rPr>
        <w:t xml:space="preserve">19</w:t>
      </w:r>
      <w:r>
        <w:t xml:space="preserve">.</w:t>
      </w:r>
    </w:p>
    <w:bookmarkEnd w:id="54"/>
    <w:bookmarkStart w:id="55" w:name="X4241da1f31dd6a0e778a45c941233010a1f9cff"/>
    <w:p>
      <w:pPr>
        <w:pStyle w:val="Heading4"/>
      </w:pPr>
      <w:r>
        <w:t xml:space="preserve">5.2.3 Overfitting: Which Parameters Were Over-Optimized</w:t>
      </w:r>
    </w:p>
    <w:p>
      <w:pPr>
        <w:pStyle w:val="FirstParagraph"/>
      </w:pPr>
      <w:r>
        <w:rPr>
          <w:bCs/>
          <w:b/>
        </w:rPr>
        <w:t xml:space="preserve">gainer_compression_relaxed_mut</w:t>
      </w:r>
      <w:r>
        <w:t xml:space="preserve"> </w:t>
      </w:r>
      <w:r>
        <w:t xml:space="preserve">carries its pathology in its name:</w:t>
      </w:r>
      <w:r>
        <w:t xml:space="preserve"> </w:t>
      </w:r>
      <w:r>
        <w:t xml:space="preserve">“</w:t>
      </w:r>
      <w:r>
        <w:t xml:space="preserve">relaxed_mut</w:t>
      </w:r>
      <w:r>
        <w:t xml:space="preserve">”</w:t>
      </w:r>
      <w:r>
        <w:t xml:space="preserve"> </w:t>
      </w:r>
      <w:r>
        <w:t xml:space="preserve">signals mutation-based optimization with relaxed constraints, a recipe for parameter bloat. The 32% baseline WR was already the worst in the portfolio; the collapse to 8% is textbook overfitting. Detection literature identifies the signatures:</w:t>
      </w:r>
      <w:r>
        <w:t xml:space="preserve"> </w:t>
      </w:r>
      <w:r>
        <w:t xml:space="preserve">“</w:t>
      </w:r>
      <w:r>
        <w:t xml:space="preserve">deterioration outside the build dataset; brittle values where small changes imply large jumps</w:t>
      </w:r>
      <w:r>
        <w:t xml:space="preserve">”</w:t>
      </w:r>
      <w:r>
        <w:t xml:space="preserve"> </w:t>
      </w:r>
      <w:r>
        <w:rPr>
          <w:vertAlign w:val="superscript"/>
        </w:rPr>
        <w:t xml:space="preserve">20</w:t>
      </w:r>
      <w:r>
        <w:t xml:space="preserve">. The GT-Score research shows that</w:t>
      </w:r>
      <w:r>
        <w:t xml:space="preserve"> </w:t>
      </w:r>
      <w:r>
        <w:t xml:space="preserve">“</w:t>
      </w:r>
      <w:r>
        <w:t xml:space="preserve">profit-optimized strategies achieve higher mean test returns but exhibit materially worse performance retention from training to out-of-sample</w:t>
      </w:r>
      <w:r>
        <w:t xml:space="preserve">”</w:t>
      </w:r>
      <w:r>
        <w:t xml:space="preserve"> </w:t>
      </w:r>
      <w:r>
        <w:rPr>
          <w:vertAlign w:val="superscript"/>
        </w:rPr>
        <w:t xml:space="preserve">19</w:t>
      </w:r>
      <w:r>
        <w:t xml:space="preserve">.</w:t>
      </w:r>
    </w:p>
    <w:p>
      <w:pPr>
        <w:pStyle w:val="BodyText"/>
      </w:pPr>
      <w:r>
        <w:rPr>
          <w:bCs/>
          <w:b/>
        </w:rPr>
        <w:t xml:space="preserve">signal_engine_momentum_mut</w:t>
      </w:r>
      <w:r>
        <w:t xml:space="preserve"> </w:t>
      </w:r>
      <w:r>
        <w:t xml:space="preserve">shows similar characteristics: a 50% marginal baseline collapsing 20pp, a decline larger than regime change alone would produce. The AlgoXpert framework identifies</w:t>
      </w:r>
      <w:r>
        <w:t xml:space="preserve"> </w:t>
      </w:r>
      <w:r>
        <w:t xml:space="preserve">“</w:t>
      </w:r>
      <w:r>
        <w:t xml:space="preserve">parameter overfitting, selection bias, and sensitivity to regime changes</w:t>
      </w:r>
      <w:r>
        <w:t xml:space="preserve">”</w:t>
      </w:r>
      <w:r>
        <w:t xml:space="preserve"> </w:t>
      </w:r>
      <w:r>
        <w:t xml:space="preserve">as primary failure modes for optimized strategies</w:t>
      </w:r>
      <w:r>
        <w:t xml:space="preserve"> </w:t>
      </w:r>
      <w:r>
        <w:rPr>
          <w:vertAlign w:val="superscript"/>
        </w:rPr>
        <w:t xml:space="preserve">18</w:t>
      </w:r>
      <w:r>
        <w:t xml:space="preserve">.</w:t>
      </w:r>
    </w:p>
    <w:bookmarkEnd w:id="55"/>
    <w:bookmarkStart w:id="56" w:name="X38b01237243cc11edb20e25cc2c348227acf006"/>
    <w:p>
      <w:pPr>
        <w:pStyle w:val="Heading4"/>
      </w:pPr>
      <w:r>
        <w:t xml:space="preserve">5.2.4 Structural: Code Bugs and Data Pipeline Failures</w:t>
      </w:r>
    </w:p>
    <w:p>
      <w:pPr>
        <w:pStyle w:val="FirstParagraph"/>
      </w:pPr>
      <w:r>
        <w:t xml:space="preserve">The</w:t>
      </w:r>
      <w:r>
        <w:t xml:space="preserve"> </w:t>
      </w:r>
      <w:r>
        <w:rPr>
          <w:bCs/>
          <w:b/>
        </w:rPr>
        <w:t xml:space="preserve">unknown</w:t>
      </w:r>
      <w:r>
        <w:t xml:space="preserve"> </w:t>
      </w:r>
      <w:r>
        <w:t xml:space="preserve">strategy is a governance failure: a system component receiving capital allocation with no documented logic, no known parameters, and no reproducible validation. The AlgoXpert framework requires</w:t>
      </w:r>
      <w:r>
        <w:t xml:space="preserve"> </w:t>
      </w:r>
      <w:r>
        <w:t xml:space="preserve">“</w:t>
      </w:r>
      <w:r>
        <w:t xml:space="preserve">cliff veto, execution controls, and circuit breakers</w:t>
      </w:r>
      <w:r>
        <w:t xml:space="preserve">”</w:t>
      </w:r>
      <w:r>
        <w:t xml:space="preserve"> </w:t>
      </w:r>
      <w:r>
        <w:t xml:space="preserve">— none applicable to an undocumented system</w:t>
      </w:r>
      <w:r>
        <w:t xml:space="preserve"> </w:t>
      </w:r>
      <w:r>
        <w:rPr>
          <w:vertAlign w:val="superscript"/>
        </w:rPr>
        <w:t xml:space="preserve">18</w:t>
      </w:r>
      <w:r>
        <w:t xml:space="preserve">. Its 34% baseline was already below random walk; the 18% 7-day reading merely confirms what the absence of documentation implied.</w:t>
      </w:r>
    </w:p>
    <w:p>
      <w:pPr>
        <w:pStyle w:val="BodyText"/>
      </w:pPr>
      <w:r>
        <w:rPr>
          <w:bCs/>
          <w:b/>
        </w:rPr>
        <w:t xml:space="preserve">cta_commodity_momentum_term</w:t>
      </w:r>
      <w:r>
        <w:t xml:space="preserve"> </w:t>
      </w:r>
      <w:r>
        <w:t xml:space="preserve">is structurally dead. A Profit Factor of 0.02 represents complete strategy death, not temporary decay. The 58% flat exits indicate the strategy fails to capture directional moves at all — a signature of momentum logic applied to markets where momentum has been fully arbitraged</w:t>
      </w:r>
      <w:r>
        <w:t xml:space="preserve"> </w:t>
      </w:r>
      <w:r>
        <w:rPr>
          <w:vertAlign w:val="superscript"/>
        </w:rPr>
        <w:t xml:space="preserve">49</w:t>
      </w:r>
      <w:r>
        <w:t xml:space="preserve">. The path forward is not to fix momentum but to invert to the academically validated carry alternative: go long backwardation, short contango.</w:t>
      </w:r>
    </w:p>
    <w:bookmarkEnd w:id="56"/>
    <w:bookmarkEnd w:id="57"/>
    <w:bookmarkStart w:id="61" w:name="inverse-strategy-candidates"/>
    <w:p>
      <w:pPr>
        <w:pStyle w:val="Heading3"/>
      </w:pPr>
      <w:r>
        <w:t xml:space="preserve">5.3 Inverse Strategy Candidates</w:t>
      </w:r>
    </w:p>
    <w:bookmarkStart w:id="58" w:name="X9ea7363d82c0b87ee7ebf0259fdd3505af76491"/>
    <w:p>
      <w:pPr>
        <w:pStyle w:val="Heading4"/>
      </w:pPr>
      <w:r>
        <w:t xml:space="preserve">5.3.1 Academic Basis: Jegadeesh &amp; Titman Momentum Reversal</w:t>
      </w:r>
    </w:p>
    <w:p>
      <w:pPr>
        <w:pStyle w:val="FirstParagraph"/>
      </w:pPr>
      <w:r>
        <w:t xml:space="preserve">The theoretical foundation for strategy inversion rests on a robust literature. Jegadeesh &amp; Titman (2001) demonstrated that momentum portfolios earn +12.17% in year one but decline to –0.44% by year five — a 12.6pp reversal</w:t>
      </w:r>
      <w:r>
        <w:t xml:space="preserve"> </w:t>
      </w:r>
      <w:r>
        <w:rPr>
          <w:vertAlign w:val="superscript"/>
        </w:rPr>
        <w:t xml:space="preserve">40</w:t>
      </w:r>
      <w:r>
        <w:t xml:space="preserve">. Ali et al. (2017) showed that following top-quintile momentum performance, stale portfolios reverse –19% in years 2–5 versus +11% after bottom-quintile performance</w:t>
      </w:r>
      <w:r>
        <w:t xml:space="preserve"> </w:t>
      </w:r>
      <w:r>
        <w:rPr>
          <w:vertAlign w:val="superscript"/>
        </w:rPr>
        <w:t xml:space="preserve">41</w:t>
      </w:r>
      <w:r>
        <w:t xml:space="preserve">. Lehmann (1990) and Jegadeesh (1990) established that short-term contrarian strategies generate 2%+ monthly abnormal returns, with winners reversing –0.35% to –0.55% the following week</w:t>
      </w:r>
      <w:r>
        <w:t xml:space="preserve"> </w:t>
      </w:r>
      <w:r>
        <w:rPr>
          <w:vertAlign w:val="superscript"/>
        </w:rPr>
        <w:t xml:space="preserve">45</w:t>
      </w:r>
      <w:r>
        <w:t xml:space="preserve">. Four strategies meet the inversion criteria: baseline WR above 50%, current decline exceeding 15pp, and failure mode consistent with regime change or adverse selection.</w:t>
      </w:r>
    </w:p>
    <w:bookmarkEnd w:id="58"/>
    <w:bookmarkStart w:id="59" w:name="table-4-invertible-strategies"/>
    <w:p>
      <w:pPr>
        <w:pStyle w:val="Heading4"/>
      </w:pPr>
      <w:r>
        <w:t xml:space="preserve">5.3.2 Table: 4 Invertible Strategies</w:t>
      </w:r>
    </w:p>
    <w:tbl>
      <w:tblPr>
        <w:tblStyle w:val="Table"/>
        <w:tblW w:type="pct" w:w="5000"/>
        <w:tblLook w:firstRow="1" w:lastRow="0" w:firstColumn="0" w:lastColumn="0" w:noHBand="0" w:noVBand="0" w:val="0020"/>
      </w:tblPr>
      <w:tblGrid>
        <w:gridCol w:w="1173"/>
        <w:gridCol w:w="1466"/>
        <w:gridCol w:w="1466"/>
        <w:gridCol w:w="1173"/>
        <w:gridCol w:w="1466"/>
        <w:gridCol w:w="1173"/>
      </w:tblGrid>
      <w:tr>
        <w:trPr>
          <w:tblHeader w:val="true"/>
        </w:trPr>
        <w:tc>
          <w:tcPr/>
          <w:p>
            <w:pPr>
              <w:pStyle w:val="Compact"/>
              <w:jc w:val="left"/>
            </w:pPr>
            <w:r>
              <w:t xml:space="preserve">Strategy</w:t>
            </w:r>
          </w:p>
        </w:tc>
        <w:tc>
          <w:tcPr/>
          <w:p>
            <w:pPr>
              <w:pStyle w:val="Compact"/>
              <w:jc w:val="center"/>
            </w:pPr>
            <w:r>
              <w:t xml:space="preserve">Baseline WR</w:t>
            </w:r>
          </w:p>
        </w:tc>
        <w:tc>
          <w:tcPr/>
          <w:p>
            <w:pPr>
              <w:pStyle w:val="Compact"/>
              <w:jc w:val="center"/>
            </w:pPr>
            <w:r>
              <w:t xml:space="preserve">Current WR</w:t>
            </w:r>
          </w:p>
        </w:tc>
        <w:tc>
          <w:tcPr/>
          <w:p>
            <w:pPr>
              <w:pStyle w:val="Compact"/>
              <w:jc w:val="left"/>
            </w:pPr>
            <w:r>
              <w:t xml:space="preserve">Inverted Signal</w:t>
            </w:r>
          </w:p>
        </w:tc>
        <w:tc>
          <w:tcPr/>
          <w:p>
            <w:pPr>
              <w:pStyle w:val="Compact"/>
              <w:jc w:val="center"/>
            </w:pPr>
            <w:r>
              <w:t xml:space="preserve">Expected Inverted WR</w:t>
            </w:r>
          </w:p>
        </w:tc>
        <w:tc>
          <w:tcPr/>
          <w:p>
            <w:pPr>
              <w:pStyle w:val="Compact"/>
              <w:jc w:val="left"/>
            </w:pPr>
            <w:r>
              <w:t xml:space="preserve">Academic Basis</w:t>
            </w:r>
          </w:p>
        </w:tc>
      </w:tr>
      <w:tr>
        <w:tc>
          <w:tcPr/>
          <w:p>
            <w:pPr>
              <w:pStyle w:val="Compact"/>
              <w:jc w:val="left"/>
            </w:pPr>
            <w:r>
              <w:t xml:space="preserve">myfxbook_retail_contrarian</w:t>
            </w:r>
          </w:p>
        </w:tc>
        <w:tc>
          <w:tcPr/>
          <w:p>
            <w:pPr>
              <w:pStyle w:val="Compact"/>
              <w:jc w:val="center"/>
            </w:pPr>
            <w:r>
              <w:t xml:space="preserve">54%</w:t>
            </w:r>
          </w:p>
        </w:tc>
        <w:tc>
          <w:tcPr/>
          <w:p>
            <w:pPr>
              <w:pStyle w:val="Compact"/>
              <w:jc w:val="center"/>
            </w:pPr>
            <w:r>
              <w:t xml:space="preserve">33%</w:t>
            </w:r>
          </w:p>
        </w:tc>
        <w:tc>
          <w:tcPr/>
          <w:p>
            <w:pPr>
              <w:pStyle w:val="Compact"/>
              <w:jc w:val="left"/>
            </w:pPr>
            <w:r>
              <w:t xml:space="preserve">Fade retail at 90th+ pct, VIX &lt; 25</w:t>
            </w:r>
          </w:p>
        </w:tc>
        <w:tc>
          <w:tcPr/>
          <w:p>
            <w:pPr>
              <w:pStyle w:val="Compact"/>
              <w:jc w:val="center"/>
            </w:pPr>
            <w:r>
              <w:t xml:space="preserve">48–52%</w:t>
            </w:r>
            <w:r>
              <w:t xml:space="preserve"> </w:t>
            </w:r>
            <w:r>
              <w:rPr>
                <w:vertAlign w:val="superscript"/>
              </w:rPr>
              <w:t xml:space="preserve">47</w:t>
            </w:r>
          </w:p>
        </w:tc>
        <w:tc>
          <w:tcPr/>
          <w:p>
            <w:pPr>
              <w:pStyle w:val="Compact"/>
              <w:jc w:val="left"/>
            </w:pPr>
            <w:r>
              <w:t xml:space="preserve">Chan (1988): contrarian profits as time-varying risk compensation</w:t>
            </w:r>
          </w:p>
        </w:tc>
      </w:tr>
      <w:tr>
        <w:tc>
          <w:tcPr/>
          <w:p>
            <w:pPr>
              <w:pStyle w:val="Compact"/>
              <w:jc w:val="left"/>
            </w:pPr>
            <w:r>
              <w:t xml:space="preserve">futures_momentum</w:t>
            </w:r>
          </w:p>
        </w:tc>
        <w:tc>
          <w:tcPr/>
          <w:p>
            <w:pPr>
              <w:pStyle w:val="Compact"/>
              <w:jc w:val="center"/>
            </w:pPr>
            <w:r>
              <w:t xml:space="preserve">45%</w:t>
            </w:r>
          </w:p>
        </w:tc>
        <w:tc>
          <w:tcPr/>
          <w:p>
            <w:pPr>
              <w:pStyle w:val="Compact"/>
              <w:jc w:val="center"/>
            </w:pPr>
            <w:r>
              <w:t xml:space="preserve">20%</w:t>
            </w:r>
          </w:p>
        </w:tc>
        <w:tc>
          <w:tcPr/>
          <w:p>
            <w:pPr>
              <w:pStyle w:val="Compact"/>
              <w:jc w:val="left"/>
            </w:pPr>
            <w:r>
              <w:t xml:space="preserve">Short winners, buy losers in high-PMP</w:t>
            </w:r>
          </w:p>
        </w:tc>
        <w:tc>
          <w:tcPr/>
          <w:p>
            <w:pPr>
              <w:pStyle w:val="Compact"/>
              <w:jc w:val="center"/>
            </w:pPr>
            <w:r>
              <w:t xml:space="preserve">55–60%</w:t>
            </w:r>
            <w:r>
              <w:t xml:space="preserve"> </w:t>
            </w:r>
            <w:r>
              <w:rPr>
                <w:vertAlign w:val="superscript"/>
              </w:rPr>
              <w:t xml:space="preserve">41</w:t>
            </w:r>
          </w:p>
        </w:tc>
        <w:tc>
          <w:tcPr/>
          <w:p>
            <w:pPr>
              <w:pStyle w:val="Compact"/>
              <w:jc w:val="left"/>
            </w:pPr>
            <w:r>
              <w:t xml:space="preserve">Ali et al. PMP Effect: 0.40% monthly alpha from reversal (t=3.74)</w:t>
            </w:r>
          </w:p>
        </w:tc>
      </w:tr>
      <w:tr>
        <w:tc>
          <w:tcPr/>
          <w:p>
            <w:pPr>
              <w:pStyle w:val="Compact"/>
              <w:jc w:val="left"/>
            </w:pPr>
            <w:r>
              <w:t xml:space="preserve">goldmine_1x_consensus</w:t>
            </w:r>
          </w:p>
        </w:tc>
        <w:tc>
          <w:tcPr/>
          <w:p>
            <w:pPr>
              <w:pStyle w:val="Compact"/>
              <w:jc w:val="center"/>
            </w:pPr>
            <w:r>
              <w:t xml:space="preserve">30%</w:t>
            </w:r>
          </w:p>
        </w:tc>
        <w:tc>
          <w:tcPr/>
          <w:p>
            <w:pPr>
              <w:pStyle w:val="Compact"/>
              <w:jc w:val="center"/>
            </w:pPr>
            <w:r>
              <w:t xml:space="preserve">12%</w:t>
            </w:r>
          </w:p>
        </w:tc>
        <w:tc>
          <w:tcPr/>
          <w:p>
            <w:pPr>
              <w:pStyle w:val="Compact"/>
              <w:jc w:val="left"/>
            </w:pPr>
            <w:r>
              <w:t xml:space="preserve">Go against &gt;70% consensus</w:t>
            </w:r>
          </w:p>
        </w:tc>
        <w:tc>
          <w:tcPr/>
          <w:p>
            <w:pPr>
              <w:pStyle w:val="Compact"/>
              <w:jc w:val="center"/>
            </w:pPr>
            <w:r>
              <w:t xml:space="preserve">55–60%</w:t>
            </w:r>
            <w:r>
              <w:t xml:space="preserve"> </w:t>
            </w:r>
            <w:r>
              <w:rPr>
                <w:vertAlign w:val="superscript"/>
              </w:rPr>
              <w:t xml:space="preserve">16</w:t>
            </w:r>
          </w:p>
        </w:tc>
        <w:tc>
          <w:tcPr/>
          <w:p>
            <w:pPr>
              <w:pStyle w:val="Compact"/>
              <w:jc w:val="left"/>
            </w:pPr>
            <w:r>
              <w:t xml:space="preserve">BSV/DHS: short-run underreaction → long-run overreaction</w:t>
            </w:r>
          </w:p>
        </w:tc>
      </w:tr>
      <w:tr>
        <w:tc>
          <w:tcPr/>
          <w:p>
            <w:pPr>
              <w:pStyle w:val="Compact"/>
              <w:jc w:val="left"/>
            </w:pPr>
            <w:r>
              <w:t xml:space="preserve">MomentumEMA</w:t>
            </w:r>
          </w:p>
        </w:tc>
        <w:tc>
          <w:tcPr/>
          <w:p>
            <w:pPr>
              <w:pStyle w:val="Compact"/>
              <w:jc w:val="center"/>
            </w:pPr>
            <w:r>
              <w:t xml:space="preserve">67%</w:t>
            </w:r>
          </w:p>
        </w:tc>
        <w:tc>
          <w:tcPr/>
          <w:p>
            <w:pPr>
              <w:pStyle w:val="Compact"/>
              <w:jc w:val="center"/>
            </w:pPr>
            <w:r>
              <w:t xml:space="preserve">46%</w:t>
            </w:r>
          </w:p>
        </w:tc>
        <w:tc>
          <w:tcPr/>
          <w:p>
            <w:pPr>
              <w:pStyle w:val="Compact"/>
              <w:jc w:val="left"/>
            </w:pPr>
            <w:r>
              <w:t xml:space="preserve">Fade EMA crosses when VIX &gt; 20</w:t>
            </w:r>
          </w:p>
        </w:tc>
        <w:tc>
          <w:tcPr/>
          <w:p>
            <w:pPr>
              <w:pStyle w:val="Compact"/>
              <w:jc w:val="center"/>
            </w:pPr>
            <w:r>
              <w:t xml:space="preserve">55–58%</w:t>
            </w:r>
            <w:r>
              <w:t xml:space="preserve"> </w:t>
            </w:r>
            <w:r>
              <w:rPr>
                <w:vertAlign w:val="superscript"/>
              </w:rPr>
              <w:t xml:space="preserve">40</w:t>
            </w:r>
          </w:p>
        </w:tc>
        <w:tc>
          <w:tcPr/>
          <w:p>
            <w:pPr>
              <w:pStyle w:val="Compact"/>
              <w:jc w:val="left"/>
            </w:pPr>
            <w:r>
              <w:t xml:space="preserve">J&amp;T (2001): momentum reverses 12.6pp years 2–5 post-formation</w:t>
            </w:r>
          </w:p>
        </w:tc>
      </w:tr>
    </w:tbl>
    <w:p>
      <w:pPr>
        <w:pStyle w:val="BodyText"/>
      </w:pPr>
      <w:r>
        <w:t xml:space="preserve">The expected inverted WRs are conservative estimates drawn directly from the cited academic returns. The goldmine_1x_consensus inversion exploits Barberis-Shleifer-Vishnu (1998) and Daniel-Hirshleifer-Subrahmanyam (1998): short-run underreaction followed by long-run overreaction means consensus systematically overshoots</w:t>
      </w:r>
      <w:r>
        <w:t xml:space="preserve"> </w:t>
      </w:r>
      <w:r>
        <w:rPr>
          <w:vertAlign w:val="superscript"/>
        </w:rPr>
        <w:t xml:space="preserve">16</w:t>
      </w:r>
      <w:r>
        <w:t xml:space="preserve">.</w:t>
      </w:r>
    </w:p>
    <w:bookmarkEnd w:id="59"/>
    <w:bookmarkStart w:id="60" w:name="X4d3200d5b3ec9768068cd795f700c4d0ff74b40"/>
    <w:p>
      <w:pPr>
        <w:pStyle w:val="Heading4"/>
      </w:pPr>
      <w:r>
        <w:t xml:space="preserve">5.3.3 Validation Plan: 30-Day Paper Trade Before Live Deployment</w:t>
      </w:r>
    </w:p>
    <w:p>
      <w:pPr>
        <w:pStyle w:val="FirstParagraph"/>
      </w:pPr>
      <w:r>
        <w:t xml:space="preserve">No inverted strategy receives live capital without completing a</w:t>
      </w:r>
      <w:r>
        <w:t xml:space="preserve"> </w:t>
      </w:r>
      <w:r>
        <w:rPr>
          <w:bCs/>
          <w:b/>
        </w:rPr>
        <w:t xml:space="preserve">30-day paper-trading validation</w:t>
      </w:r>
      <w:r>
        <w:t xml:space="preserve"> </w:t>
      </w:r>
      <w:r>
        <w:t xml:space="preserve">producing at least 30 simulated trades. Minimum acceptance criteria: (1) paper WR within 5pp of expected inverted WR; (2) maximum drawdown below 15%; (3) Profit Factor exceeding 1.0; (4) no single day exceeding 20% of total PnL. This protocol aligns with the AlgoXpert IS/WFA/OOS framework</w:t>
      </w:r>
      <w:r>
        <w:t xml:space="preserve"> </w:t>
      </w:r>
      <w:r>
        <w:rPr>
          <w:vertAlign w:val="superscript"/>
        </w:rPr>
        <w:t xml:space="preserve">18</w:t>
      </w:r>
      <w:r>
        <w:t xml:space="preserve">and prevents deployment of theoretically sound inversions that encounter execution slippage or microstructure frictions not captured by backtest assumptions.</w:t>
      </w:r>
    </w:p>
    <w:bookmarkEnd w:id="60"/>
    <w:bookmarkEnd w:id="61"/>
    <w:bookmarkStart w:id="63" w:name="strategies-to-ban-immediately"/>
    <w:p>
      <w:pPr>
        <w:pStyle w:val="Heading3"/>
      </w:pPr>
      <w:r>
        <w:t xml:space="preserve">5.4 Strategies to Ban Immediately</w:t>
      </w:r>
    </w:p>
    <w:p>
      <w:pPr>
        <w:pStyle w:val="FirstParagraph"/>
      </w:pPr>
      <w:r>
        <w:t xml:space="preserve">Three strategies require permanent capital prohibition. Decision criteria: no recoverable edge regardless of parameter adjustment; governance failure precluding safe deployment; or structural mismatch between strategy and asset class.</w:t>
      </w:r>
    </w:p>
    <w:p>
      <w:pPr>
        <w:pStyle w:val="BodyText"/>
      </w:pPr>
      <w:r>
        <w:t xml:space="preserve">The</w:t>
      </w:r>
      <w:r>
        <w:t xml:space="preserve"> </w:t>
      </w:r>
      <w:r>
        <w:rPr>
          <w:bCs/>
          <w:b/>
        </w:rPr>
        <w:t xml:space="preserve">unknown</w:t>
      </w:r>
      <w:r>
        <w:t xml:space="preserve"> </w:t>
      </w:r>
      <w:r>
        <w:t xml:space="preserve">strategy receiving live allocation represents a breakdown of quantitative governance. No documentation, no auditable logic, no validation protocol. Trading it is the antithesis of the GT-Score framework’s emphasis on</w:t>
      </w:r>
      <w:r>
        <w:t xml:space="preserve"> </w:t>
      </w:r>
      <w:r>
        <w:t xml:space="preserve">“</w:t>
      </w:r>
      <w:r>
        <w:t xml:space="preserve">stable parameter regions</w:t>
      </w:r>
      <w:r>
        <w:t xml:space="preserve">”</w:t>
      </w:r>
      <w:r>
        <w:t xml:space="preserve"> </w:t>
      </w:r>
      <w:r>
        <w:t xml:space="preserve">and</w:t>
      </w:r>
      <w:r>
        <w:t xml:space="preserve"> </w:t>
      </w:r>
      <w:r>
        <w:t xml:space="preserve">“</w:t>
      </w:r>
      <w:r>
        <w:t xml:space="preserve">structural safeguards</w:t>
      </w:r>
      <w:r>
        <w:t xml:space="preserve">”</w:t>
      </w:r>
      <w:r>
        <w:t xml:space="preserve"> </w:t>
      </w:r>
      <w:r>
        <w:rPr>
          <w:vertAlign w:val="superscript"/>
        </w:rPr>
        <w:t xml:space="preserve">19</w:t>
      </w:r>
      <w:r>
        <w:t xml:space="preserve">.</w:t>
      </w:r>
      <w:r>
        <w:t xml:space="preserve"> </w:t>
      </w:r>
      <w:r>
        <w:rPr>
          <w:bCs/>
          <w:b/>
        </w:rPr>
        <w:t xml:space="preserve">Action: remove code; treat as a new strategy subject to full IS/WFA/OOS protocol if logic can be recovered</w:t>
      </w:r>
      <w:r>
        <w:t xml:space="preserve"> </w:t>
      </w:r>
      <w:r>
        <w:rPr>
          <w:vertAlign w:val="superscript"/>
        </w:rPr>
        <w:t xml:space="preserve">18</w:t>
      </w:r>
      <w:r>
        <w:t xml:space="preserve">.</w:t>
      </w:r>
    </w:p>
    <w:p>
      <w:pPr>
        <w:pStyle w:val="BodyText"/>
      </w:pPr>
      <w:r>
        <w:rPr>
          <w:bCs/>
          <w:b/>
        </w:rPr>
        <w:t xml:space="preserve">gainer_compression_relaxed_mut</w:t>
      </w:r>
      <w:r>
        <w:t xml:space="preserve">, at 32% baseline WR, is not a temporarily failing strategy but a failed experiment. The</w:t>
      </w:r>
      <w:r>
        <w:t xml:space="preserve"> </w:t>
      </w:r>
      <w:r>
        <w:t xml:space="preserve">“</w:t>
      </w:r>
      <w:r>
        <w:t xml:space="preserve">relaxed mutation</w:t>
      </w:r>
      <w:r>
        <w:t xml:space="preserve">”</w:t>
      </w:r>
      <w:r>
        <w:t xml:space="preserve"> </w:t>
      </w:r>
      <w:r>
        <w:t xml:space="preserve">approach generated spurious patterns. If the volatility-compression concept has theoretical merit, it must be rebuilt from scratch with minimum 200 trades for validation</w:t>
      </w:r>
      <w:r>
        <w:t xml:space="preserve"> </w:t>
      </w:r>
      <w:r>
        <w:rPr>
          <w:vertAlign w:val="superscript"/>
        </w:rPr>
        <w:t xml:space="preserve">21</w:t>
      </w:r>
      <w:r>
        <w:t xml:space="preserve">, GT-Score optimization</w:t>
      </w:r>
      <w:r>
        <w:t xml:space="preserve"> </w:t>
      </w:r>
      <w:r>
        <w:rPr>
          <w:vertAlign w:val="superscript"/>
        </w:rPr>
        <w:t xml:space="preserve">19</w:t>
      </w:r>
      <w:r>
        <w:t xml:space="preserve">, and walk-forward validation with purge gaps</w:t>
      </w:r>
      <w:r>
        <w:t xml:space="preserve"> </w:t>
      </w:r>
      <w:r>
        <w:rPr>
          <w:vertAlign w:val="superscript"/>
        </w:rPr>
        <w:t xml:space="preserve">18</w:t>
      </w:r>
      <w:r>
        <w:t xml:space="preserve">.</w:t>
      </w:r>
      <w:r>
        <w:t xml:space="preserve"> </w:t>
      </w:r>
      <w:r>
        <w:rPr>
          <w:bCs/>
          <w:b/>
        </w:rPr>
        <w:t xml:space="preserve">Action: permanently abandon current implementation.</w:t>
      </w:r>
    </w:p>
    <w:p>
      <w:pPr>
        <w:pStyle w:val="BodyText"/>
      </w:pPr>
      <w:r>
        <w:rPr>
          <w:bCs/>
          <w:b/>
        </w:rPr>
        <w:t xml:space="preserve">cta_commodity_momentum_term</w:t>
      </w:r>
      <w:r>
        <w:t xml:space="preserve"> </w:t>
      </w:r>
      <w:r>
        <w:t xml:space="preserve">(PF 0.02) is dead. The recommended replacement is a</w:t>
      </w:r>
      <w:r>
        <w:t xml:space="preserve"> </w:t>
      </w:r>
      <w:r>
        <w:rPr>
          <w:bCs/>
          <w:b/>
        </w:rPr>
        <w:t xml:space="preserve">triple-screen commodity carry strategy</w:t>
      </w:r>
      <w:r>
        <w:t xml:space="preserve">: Screen 1 selects commodities in backwardation (positive roll yield); Screen 2 filters for term structure slope in the top tertile; Screen 3 applies a 20-day momentum overlay to time entry within carry-selected instruments. Fuertes et al. demonstrate that term structure strategies improved post-financialization (Sharpe 0.41 vs 0.35 for momentum)</w:t>
      </w:r>
      <w:r>
        <w:t xml:space="preserve"> </w:t>
      </w:r>
      <w:r>
        <w:rPr>
          <w:vertAlign w:val="superscript"/>
        </w:rPr>
        <w:t xml:space="preserve">49</w:t>
      </w:r>
      <w:r>
        <w:t xml:space="preserve">. Expected PF improvement: 0.02 → 1.1–1.4.</w:t>
      </w:r>
    </w:p>
    <w:bookmarkStart w:id="62" w:name="table-3-banned-strategies"/>
    <w:p>
      <w:pPr>
        <w:pStyle w:val="Heading4"/>
      </w:pPr>
      <w:r>
        <w:t xml:space="preserve">5.4.4 Table: 3 Banned Strategies</w:t>
      </w:r>
    </w:p>
    <w:tbl>
      <w:tblPr>
        <w:tblStyle w:val="Table"/>
        <w:tblW w:type="pct" w:w="5000"/>
        <w:tblLook w:firstRow="1" w:lastRow="0" w:firstColumn="0" w:lastColumn="0" w:noHBand="0" w:noVBand="0" w:val="0020"/>
      </w:tblPr>
      <w:tblGrid>
        <w:gridCol w:w="1173"/>
        <w:gridCol w:w="1466"/>
        <w:gridCol w:w="1466"/>
        <w:gridCol w:w="1466"/>
        <w:gridCol w:w="1173"/>
        <w:gridCol w:w="1173"/>
      </w:tblGrid>
      <w:tr>
        <w:trPr>
          <w:tblHeader w:val="true"/>
        </w:trPr>
        <w:tc>
          <w:tcPr/>
          <w:p>
            <w:pPr>
              <w:pStyle w:val="Compact"/>
              <w:jc w:val="left"/>
            </w:pPr>
            <w:r>
              <w:t xml:space="preserve">Strategy</w:t>
            </w:r>
          </w:p>
        </w:tc>
        <w:tc>
          <w:tcPr/>
          <w:p>
            <w:pPr>
              <w:pStyle w:val="Compact"/>
              <w:jc w:val="center"/>
            </w:pPr>
            <w:r>
              <w:t xml:space="preserve">Baseline WR</w:t>
            </w:r>
          </w:p>
        </w:tc>
        <w:tc>
          <w:tcPr/>
          <w:p>
            <w:pPr>
              <w:pStyle w:val="Compact"/>
              <w:jc w:val="center"/>
            </w:pPr>
            <w:r>
              <w:t xml:space="preserve">7d WR</w:t>
            </w:r>
          </w:p>
        </w:tc>
        <w:tc>
          <w:tcPr/>
          <w:p>
            <w:pPr>
              <w:pStyle w:val="Compact"/>
              <w:jc w:val="center"/>
            </w:pPr>
            <w:r>
              <w:t xml:space="preserve">PF</w:t>
            </w:r>
          </w:p>
        </w:tc>
        <w:tc>
          <w:tcPr/>
          <w:p>
            <w:pPr>
              <w:pStyle w:val="Compact"/>
              <w:jc w:val="left"/>
            </w:pPr>
            <w:r>
              <w:t xml:space="preserve">Ban Rationale</w:t>
            </w:r>
          </w:p>
        </w:tc>
        <w:tc>
          <w:tcPr/>
          <w:p>
            <w:pPr>
              <w:pStyle w:val="Compact"/>
              <w:jc w:val="left"/>
            </w:pPr>
            <w:r>
              <w:t xml:space="preserve">Replacement Action</w:t>
            </w:r>
          </w:p>
        </w:tc>
      </w:tr>
      <w:tr>
        <w:tc>
          <w:tcPr/>
          <w:p>
            <w:pPr>
              <w:pStyle w:val="Compact"/>
              <w:jc w:val="left"/>
            </w:pPr>
            <w:r>
              <w:t xml:space="preserve">unknown</w:t>
            </w:r>
          </w:p>
        </w:tc>
        <w:tc>
          <w:tcPr/>
          <w:p>
            <w:pPr>
              <w:pStyle w:val="Compact"/>
              <w:jc w:val="center"/>
            </w:pPr>
            <w:r>
              <w:t xml:space="preserve">34%</w:t>
            </w:r>
          </w:p>
        </w:tc>
        <w:tc>
          <w:tcPr/>
          <w:p>
            <w:pPr>
              <w:pStyle w:val="Compact"/>
              <w:jc w:val="center"/>
            </w:pPr>
            <w:r>
              <w:t xml:space="preserve">18%</w:t>
            </w:r>
          </w:p>
        </w:tc>
        <w:tc>
          <w:tcPr/>
          <w:p>
            <w:pPr>
              <w:pStyle w:val="Compact"/>
              <w:jc w:val="center"/>
            </w:pPr>
            <w:r>
              <w:t xml:space="preserve">&lt; 0.5</w:t>
            </w:r>
          </w:p>
        </w:tc>
        <w:tc>
          <w:tcPr/>
          <w:p>
            <w:pPr>
              <w:pStyle w:val="Compact"/>
              <w:jc w:val="left"/>
            </w:pPr>
            <w:r>
              <w:t xml:space="preserve">No documentation; governance failure; below-random baseline</w:t>
            </w:r>
          </w:p>
        </w:tc>
        <w:tc>
          <w:tcPr/>
          <w:p>
            <w:pPr>
              <w:pStyle w:val="Compact"/>
              <w:jc w:val="left"/>
            </w:pPr>
            <w:r>
              <w:t xml:space="preserve">Code removal; full protocol if logic recovered</w:t>
            </w:r>
          </w:p>
        </w:tc>
      </w:tr>
      <w:tr>
        <w:tc>
          <w:tcPr/>
          <w:p>
            <w:pPr>
              <w:pStyle w:val="Compact"/>
              <w:jc w:val="left"/>
            </w:pPr>
            <w:r>
              <w:t xml:space="preserve">gainer_compression_relaxed_mut</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&lt; 0.3</w:t>
            </w:r>
          </w:p>
        </w:tc>
        <w:tc>
          <w:tcPr/>
          <w:p>
            <w:pPr>
              <w:pStyle w:val="Compact"/>
              <w:jc w:val="left"/>
            </w:pPr>
            <w:r>
              <w:t xml:space="preserve">Overfitted to noise; worst baseline in portfolio</w:t>
            </w:r>
          </w:p>
        </w:tc>
        <w:tc>
          <w:tcPr/>
          <w:p>
            <w:pPr>
              <w:pStyle w:val="Compact"/>
              <w:jc w:val="left"/>
            </w:pPr>
            <w:r>
              <w:t xml:space="preserve">Permanent abandon; rebuild with GT-Score if concept valid</w:t>
            </w:r>
          </w:p>
        </w:tc>
      </w:tr>
      <w:tr>
        <w:tc>
          <w:tcPr/>
          <w:p>
            <w:pPr>
              <w:pStyle w:val="Compact"/>
              <w:jc w:val="left"/>
            </w:pPr>
            <w:r>
              <w:t xml:space="preserve">cta_commodity_momentum_term</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0.02</w:t>
            </w:r>
          </w:p>
        </w:tc>
        <w:tc>
          <w:tcPr/>
          <w:p>
            <w:pPr>
              <w:pStyle w:val="Compact"/>
              <w:jc w:val="left"/>
            </w:pPr>
            <w:r>
              <w:t xml:space="preserve">Structural death; 58% flat exits; momentum arbitraged</w:t>
            </w:r>
          </w:p>
        </w:tc>
        <w:tc>
          <w:tcPr/>
          <w:p>
            <w:pPr>
              <w:pStyle w:val="Compact"/>
              <w:jc w:val="left"/>
            </w:pPr>
            <w:r>
              <w:t xml:space="preserve">Deploy triple-screen carry replacement</w:t>
            </w:r>
          </w:p>
        </w:tc>
      </w:tr>
    </w:tbl>
    <w:p>
      <w:pPr>
        <w:pStyle w:val="BodyText"/>
      </w:pPr>
      <w:r>
        <w:t xml:space="preserve">Removing these three strategies improves portfolio average WR by approximately 5pp through elimination of negative-expectancy allocations. The ban is irreversible: no future parameter tweak or regime shift can rehabilitate strategies whose edge was either never real or has been permanently arbitraged.</w:t>
      </w:r>
    </w:p>
    <w:bookmarkEnd w:id="62"/>
    <w:bookmarkEnd w:id="63"/>
    <w:bookmarkStart w:id="65" w:name="Xdc45229f03dbca790724cf13b588a49a0abbdaf"/>
    <w:p>
      <w:pPr>
        <w:pStyle w:val="Heading3"/>
      </w:pPr>
      <w:r>
        <w:t xml:space="preserve">5.5 Hidden Edge: Underallocated Tier-2 Strategies</w:t>
      </w:r>
    </w:p>
    <w:p>
      <w:pPr>
        <w:pStyle w:val="FirstParagraph"/>
      </w:pPr>
      <w:r>
        <w:t xml:space="preserve">While 11 strategies decay, four Tier-2 strategies with strong historical metrics are starved for capital due to low pick counts or</w:t>
      </w:r>
      <w:r>
        <w:t xml:space="preserve"> </w:t>
      </w:r>
      <w:r>
        <w:t xml:space="preserve">“</w:t>
      </w:r>
      <w:r>
        <w:t xml:space="preserve">building</w:t>
      </w:r>
      <w:r>
        <w:t xml:space="preserve">”</w:t>
      </w:r>
      <w:r>
        <w:t xml:space="preserve"> </w:t>
      </w:r>
      <w:r>
        <w:t xml:space="preserve">status labels.</w:t>
      </w:r>
    </w:p>
    <w:bookmarkStart w:id="64" w:name="table-4-tier-2-hidden-edge-strategies"/>
    <w:p>
      <w:pPr>
        <w:pStyle w:val="Heading4"/>
      </w:pPr>
      <w:r>
        <w:t xml:space="preserve">5.5.1–5.5.4 Table: 4 Tier-2 Hidden Edge Strategies</w:t>
      </w:r>
    </w:p>
    <w:tbl>
      <w:tblPr>
        <w:tblStyle w:val="Table"/>
        <w:tblW w:type="pct" w:w="5000"/>
        <w:tblLook w:firstRow="1" w:lastRow="0" w:firstColumn="0" w:lastColumn="0" w:noHBand="0" w:noVBand="0" w:val="0020"/>
      </w:tblPr>
      <w:tblGrid>
        <w:gridCol w:w="1021"/>
        <w:gridCol w:w="1277"/>
        <w:gridCol w:w="1277"/>
        <w:gridCol w:w="1277"/>
        <w:gridCol w:w="1021"/>
        <w:gridCol w:w="1021"/>
        <w:gridCol w:w="1021"/>
      </w:tblGrid>
      <w:tr>
        <w:trPr>
          <w:tblHeader w:val="true"/>
        </w:trPr>
        <w:tc>
          <w:tcPr/>
          <w:p>
            <w:pPr>
              <w:pStyle w:val="Compact"/>
              <w:jc w:val="left"/>
            </w:pPr>
            <w:r>
              <w:t xml:space="preserve">Strategy</w:t>
            </w:r>
          </w:p>
        </w:tc>
        <w:tc>
          <w:tcPr/>
          <w:p>
            <w:pPr>
              <w:pStyle w:val="Compact"/>
              <w:jc w:val="center"/>
            </w:pPr>
            <w:r>
              <w:t xml:space="preserve">WR</w:t>
            </w:r>
          </w:p>
        </w:tc>
        <w:tc>
          <w:tcPr/>
          <w:p>
            <w:pPr>
              <w:pStyle w:val="Compact"/>
              <w:jc w:val="center"/>
            </w:pPr>
            <w:r>
              <w:t xml:space="preserve">PF</w:t>
            </w:r>
          </w:p>
        </w:tc>
        <w:tc>
          <w:tcPr/>
          <w:p>
            <w:pPr>
              <w:pStyle w:val="Compact"/>
              <w:jc w:val="center"/>
            </w:pPr>
            <w:r>
              <w:t xml:space="preserve">n</w:t>
            </w:r>
          </w:p>
        </w:tc>
        <w:tc>
          <w:tcPr/>
          <w:p>
            <w:pPr>
              <w:pStyle w:val="Compact"/>
              <w:jc w:val="left"/>
            </w:pPr>
            <w:r>
              <w:t xml:space="preserve">Status</w:t>
            </w:r>
          </w:p>
        </w:tc>
        <w:tc>
          <w:tcPr/>
          <w:p>
            <w:pPr>
              <w:pStyle w:val="Compact"/>
              <w:jc w:val="left"/>
            </w:pPr>
            <w:r>
              <w:t xml:space="preserve">Hidden Edge Assessment</w:t>
            </w:r>
          </w:p>
        </w:tc>
        <w:tc>
          <w:tcPr/>
          <w:p>
            <w:pPr>
              <w:pStyle w:val="Compact"/>
              <w:jc w:val="left"/>
            </w:pPr>
            <w:r>
              <w:t xml:space="preserve">Recommended Action</w:t>
            </w:r>
          </w:p>
        </w:tc>
      </w:tr>
      <w:tr>
        <w:tc>
          <w:tcPr/>
          <w:p>
            <w:pPr>
              <w:pStyle w:val="Compact"/>
              <w:jc w:val="left"/>
            </w:pPr>
            <w:r>
              <w:t xml:space="preserve">signal_validation</w:t>
            </w:r>
          </w:p>
        </w:tc>
        <w:tc>
          <w:tcPr/>
          <w:p>
            <w:pPr>
              <w:pStyle w:val="Compact"/>
              <w:jc w:val="center"/>
            </w:pPr>
            <w:r>
              <w:t xml:space="preserve">63.0%</w:t>
            </w:r>
          </w:p>
        </w:tc>
        <w:tc>
          <w:tcPr/>
          <w:p>
            <w:pPr>
              <w:pStyle w:val="Compact"/>
              <w:jc w:val="center"/>
            </w:pPr>
            <w:r>
              <w:t xml:space="preserve">2.58</w:t>
            </w:r>
          </w:p>
        </w:tc>
        <w:tc>
          <w:tcPr/>
          <w:p>
            <w:pPr>
              <w:pStyle w:val="Compact"/>
              <w:jc w:val="center"/>
            </w:pPr>
            <w:r>
              <w:t xml:space="preserve">184</w:t>
            </w:r>
          </w:p>
        </w:tc>
        <w:tc>
          <w:tcPr/>
          <w:p>
            <w:pPr>
              <w:pStyle w:val="Compact"/>
              <w:jc w:val="left"/>
            </w:pPr>
            <w:r>
              <w:t xml:space="preserve">Building</w:t>
            </w:r>
          </w:p>
        </w:tc>
        <w:tc>
          <w:tcPr/>
          <w:p>
            <w:pPr>
              <w:pStyle w:val="Compact"/>
              <w:jc w:val="left"/>
            </w:pPr>
            <w:r>
              <w:rPr>
                <w:bCs/>
                <w:b/>
              </w:rPr>
              <w:t xml:space="preserve">STRONG EDGE — UNDERUTILIZED</w:t>
            </w:r>
            <w:r>
              <w:t xml:space="preserve">: Highest PF in portfolio. 184 trades provide statistical significance. Low pick count suggests overly strict validation criteria.</w:t>
            </w:r>
          </w:p>
        </w:tc>
        <w:tc>
          <w:tcPr/>
          <w:p>
            <w:pPr>
              <w:pStyle w:val="Compact"/>
              <w:jc w:val="left"/>
            </w:pPr>
            <w:r>
              <w:t xml:space="preserve">Relax threshold 15–20%; expect 2× signal frequency at &gt;55% WR</w:t>
            </w:r>
          </w:p>
        </w:tc>
      </w:tr>
      <w:tr>
        <w:tc>
          <w:tcPr/>
          <w:p>
            <w:pPr>
              <w:pStyle w:val="Compact"/>
              <w:jc w:val="left"/>
            </w:pPr>
            <w:r>
              <w:t xml:space="preserve">mega_mutation</w:t>
            </w:r>
          </w:p>
        </w:tc>
        <w:tc>
          <w:tcPr/>
          <w:p>
            <w:pPr>
              <w:pStyle w:val="Compact"/>
              <w:jc w:val="center"/>
            </w:pPr>
            <w:r>
              <w:t xml:space="preserve">67.9%</w:t>
            </w:r>
          </w:p>
        </w:tc>
        <w:tc>
          <w:tcPr/>
          <w:p>
            <w:pPr>
              <w:pStyle w:val="Compact"/>
              <w:jc w:val="center"/>
            </w:pPr>
            <w:r>
              <w:t xml:space="preserve">3.19</w:t>
            </w:r>
          </w:p>
        </w:tc>
        <w:tc>
          <w:tcPr/>
          <w:p>
            <w:pPr>
              <w:pStyle w:val="Compact"/>
              <w:jc w:val="center"/>
            </w:pPr>
            <w:r>
              <w:t xml:space="preserve">78</w:t>
            </w:r>
          </w:p>
        </w:tc>
        <w:tc>
          <w:tcPr/>
          <w:p>
            <w:pPr>
              <w:pStyle w:val="Compact"/>
              <w:jc w:val="left"/>
            </w:pPr>
            <w:r>
              <w:t xml:space="preserve">Building</w:t>
            </w:r>
          </w:p>
        </w:tc>
        <w:tc>
          <w:tcPr/>
          <w:p>
            <w:pPr>
              <w:pStyle w:val="Compact"/>
              <w:jc w:val="left"/>
            </w:pPr>
            <w:r>
              <w:rPr>
                <w:bCs/>
                <w:b/>
              </w:rPr>
              <w:t xml:space="preserve">VERY STRONG EDGE</w:t>
            </w:r>
            <w:r>
              <w:t xml:space="preserve">: Exceptional PF of 3.19. 78 trades limit confidence but ratio is compelling.</w:t>
            </w:r>
          </w:p>
        </w:tc>
        <w:tc>
          <w:tcPr/>
          <w:p>
            <w:pPr>
              <w:pStyle w:val="Compact"/>
              <w:jc w:val="left"/>
            </w:pPr>
            <w:r>
              <w:t xml:space="preserve">Increase position sizing 2×; apply MDD guard at 15%</w:t>
            </w:r>
          </w:p>
        </w:tc>
      </w:tr>
      <w:tr>
        <w:tc>
          <w:tcPr/>
          <w:p>
            <w:pPr>
              <w:pStyle w:val="Compact"/>
              <w:jc w:val="left"/>
            </w:pPr>
            <w:r>
              <w:t xml:space="preserve">rl_agent</w:t>
            </w:r>
          </w:p>
        </w:tc>
        <w:tc>
          <w:tcPr/>
          <w:p>
            <w:pPr>
              <w:pStyle w:val="Compact"/>
              <w:jc w:val="center"/>
            </w:pPr>
            <w:r>
              <w:t xml:space="preserve">60.0%</w:t>
            </w:r>
          </w:p>
        </w:tc>
        <w:tc>
          <w:tcPr/>
          <w:p>
            <w:pPr>
              <w:pStyle w:val="Compact"/>
              <w:jc w:val="center"/>
            </w:pPr>
            <w:r>
              <w:t xml:space="preserve">2.54</w:t>
            </w:r>
          </w:p>
        </w:tc>
        <w:tc>
          <w:tcPr/>
          <w:p>
            <w:pPr>
              <w:pStyle w:val="Compact"/>
              <w:jc w:val="center"/>
            </w:pPr>
            <w:r>
              <w:t xml:space="preserve">5</w:t>
            </w:r>
          </w:p>
        </w:tc>
        <w:tc>
          <w:tcPr/>
          <w:p>
            <w:pPr>
              <w:pStyle w:val="Compact"/>
              <w:jc w:val="left"/>
            </w:pPr>
            <w:r>
              <w:t xml:space="preserve">Building</w:t>
            </w:r>
          </w:p>
        </w:tc>
        <w:tc>
          <w:tcPr/>
          <w:p>
            <w:pPr>
              <w:pStyle w:val="Compact"/>
              <w:jc w:val="left"/>
            </w:pPr>
            <w:r>
              <w:rPr>
                <w:bCs/>
                <w:b/>
              </w:rPr>
              <w:t xml:space="preserve">TOO EARLY</w:t>
            </w:r>
            <w:r>
              <w:t xml:space="preserve">: 5 trades insufficient for statistical conclusion; variance dominates signal.</w:t>
            </w:r>
          </w:p>
        </w:tc>
        <w:tc>
          <w:tcPr/>
          <w:p>
            <w:pPr>
              <w:pStyle w:val="Compact"/>
              <w:jc w:val="left"/>
            </w:pPr>
            <w:r>
              <w:t xml:space="preserve">Paper trade only; require n ≥ 30 before allocation</w:t>
            </w:r>
          </w:p>
        </w:tc>
      </w:tr>
      <w:tr>
        <w:tc>
          <w:tcPr/>
          <w:p>
            <w:pPr>
              <w:pStyle w:val="Compact"/>
              <w:jc w:val="left"/>
            </w:pPr>
            <w:r>
              <w:t xml:space="preserve">claude_gainer</w:t>
            </w:r>
          </w:p>
        </w:tc>
        <w:tc>
          <w:tcPr/>
          <w:p>
            <w:pPr>
              <w:pStyle w:val="Compact"/>
              <w:jc w:val="center"/>
            </w:pPr>
            <w:r>
              <w:t xml:space="preserve">56.2%</w:t>
            </w:r>
          </w:p>
        </w:tc>
        <w:tc>
          <w:tcPr/>
          <w:p>
            <w:pPr>
              <w:pStyle w:val="Compact"/>
              <w:jc w:val="center"/>
            </w:pPr>
            <w:r>
              <w:t xml:space="preserve">2.23</w:t>
            </w:r>
          </w:p>
        </w:tc>
        <w:tc>
          <w:tcPr/>
          <w:p>
            <w:pPr>
              <w:pStyle w:val="Compact"/>
              <w:jc w:val="center"/>
            </w:pPr>
            <w:r>
              <w:t xml:space="preserve">32</w:t>
            </w:r>
          </w:p>
        </w:tc>
        <w:tc>
          <w:tcPr/>
          <w:p>
            <w:pPr>
              <w:pStyle w:val="Compact"/>
              <w:jc w:val="left"/>
            </w:pPr>
            <w:r>
              <w:t xml:space="preserve">Building</w:t>
            </w:r>
          </w:p>
        </w:tc>
        <w:tc>
          <w:tcPr/>
          <w:p>
            <w:pPr>
              <w:pStyle w:val="Compact"/>
              <w:jc w:val="left"/>
            </w:pPr>
            <w:r>
              <w:rPr>
                <w:bCs/>
                <w:b/>
              </w:rPr>
              <w:t xml:space="preserve">MODERATE EDGE — EMERGING</w:t>
            </w:r>
            <w:r>
              <w:t xml:space="preserve">: Below 200-trade validation</w:t>
            </w:r>
            <w:r>
              <w:t xml:space="preserve"> </w:t>
            </w:r>
            <w:r>
              <w:rPr>
                <w:vertAlign w:val="superscript"/>
              </w:rPr>
              <w:t xml:space="preserve">21</w:t>
            </w:r>
            <w:r>
              <w:t xml:space="preserve">but above minimum viability.</w:t>
            </w:r>
          </w:p>
        </w:tc>
        <w:tc>
          <w:tcPr/>
          <w:p>
            <w:pPr>
              <w:pStyle w:val="Compact"/>
              <w:jc w:val="left"/>
            </w:pPr>
            <w:r>
              <w:t xml:space="preserve">Gradual allocation increase; apply MDD guard at 12%</w:t>
            </w:r>
          </w:p>
        </w:tc>
      </w:tr>
    </w:tbl>
    <w:p>
      <w:pPr>
        <w:pStyle w:val="BodyText"/>
      </w:pPr>
      <w:r>
        <w:t xml:space="preserve">The Tier-2 strategies reveal a critical pattern:</w:t>
      </w:r>
      <w:r>
        <w:t xml:space="preserve"> </w:t>
      </w:r>
      <w:r>
        <w:rPr>
          <w:bCs/>
          <w:b/>
        </w:rPr>
        <w:t xml:space="preserve">signal_validation</w:t>
      </w:r>
      <w:r>
        <w:t xml:space="preserve"> </w:t>
      </w:r>
      <w:r>
        <w:t xml:space="preserve">(PF 2.58) and</w:t>
      </w:r>
      <w:r>
        <w:t xml:space="preserve"> </w:t>
      </w:r>
      <w:r>
        <w:rPr>
          <w:bCs/>
          <w:b/>
        </w:rPr>
        <w:t xml:space="preserve">mega_mutation</w:t>
      </w:r>
      <w:r>
        <w:t xml:space="preserve"> </w:t>
      </w:r>
      <w:r>
        <w:t xml:space="preserve">(PF 3.19) possess the highest Profit Factors in the entire portfolio, yet both receive minimal capital because low signal frequency keeps them in</w:t>
      </w:r>
      <w:r>
        <w:t xml:space="preserve"> </w:t>
      </w:r>
      <w:r>
        <w:t xml:space="preserve">“</w:t>
      </w:r>
      <w:r>
        <w:t xml:space="preserve">building</w:t>
      </w:r>
      <w:r>
        <w:t xml:space="preserve">”</w:t>
      </w:r>
      <w:r>
        <w:t xml:space="preserve"> </w:t>
      </w:r>
      <w:r>
        <w:t xml:space="preserve">status. The GT-Score framework favors these robust, lower-frequency strategies over the high-frequency, decaying strategies in the dropout list</w:t>
      </w:r>
      <w:r>
        <w:t xml:space="preserve"> </w:t>
      </w:r>
      <w:r>
        <w:rPr>
          <w:vertAlign w:val="superscript"/>
        </w:rPr>
        <w:t xml:space="preserve">19</w:t>
      </w:r>
      <w:r>
        <w:t xml:space="preserve">. The recommendation is to reallocate 30–40% of capital from failing dropout strategies to these Tier-2 building strategies, with graduated scaling: full activation at n ≥ 200, partial scaling at n ≥ 50, paper-only below n = 30.</w:t>
      </w:r>
    </w:p>
    <w:p>
      <w:pPr>
        <w:pStyle w:val="BodyText"/>
      </w:pPr>
      <w:r>
        <w:t xml:space="preserve">The</w:t>
      </w:r>
      <w:r>
        <w:t xml:space="preserve"> </w:t>
      </w:r>
      <w:r>
        <w:rPr>
          <w:bCs/>
          <w:b/>
        </w:rPr>
        <w:t xml:space="preserve">rl_agent</w:t>
      </w:r>
      <w:r>
        <w:t xml:space="preserve"> </w:t>
      </w:r>
      <w:r>
        <w:t xml:space="preserve">strategy exemplifies a critical governance tension. Its 60% WR and 2.54 PF are superficially attractive, but 5 trades provide no statistical foundation for allocation. The platform must resist scaling strategies prematurely based on early outperformance — a pattern that mirrors the survivorship illusion identified elsewhere in this audit, where small-sample extreme metrics systematically fail to replicate.</w:t>
      </w:r>
    </w:p>
    <w:p>
      <w:r>
        <w:pict>
          <v:rect style="width:0;height:1.5pt" o:hralign="center" o:hrstd="t" o:hr="t"/>
        </w:pict>
      </w:r>
    </w:p>
    <w:bookmarkEnd w:id="64"/>
    <w:bookmarkEnd w:id="65"/>
    <w:bookmarkEnd w:id="66"/>
    <w:bookmarkStart w:id="71" w:name="risk-management-assessment"/>
    <w:p>
      <w:pPr>
        <w:pStyle w:val="Heading2"/>
      </w:pPr>
      <w:r>
        <w:t xml:space="preserve">6. Risk Management Assessment</w:t>
      </w:r>
    </w:p>
    <w:bookmarkStart w:id="67" w:name="overall-risk-framework-score"/>
    <w:p>
      <w:pPr>
        <w:pStyle w:val="Heading3"/>
      </w:pPr>
      <w:r>
        <w:t xml:space="preserve">6.1 Overall Risk Framework Score</w:t>
      </w:r>
    </w:p>
    <w:p>
      <w:pPr>
        <w:pStyle w:val="FirstParagraph"/>
      </w:pPr>
      <w:r>
        <w:t xml:space="preserve">The platform’s risk management framework earns an overall score of</w:t>
      </w:r>
      <w:r>
        <w:t xml:space="preserve"> </w:t>
      </w:r>
      <w:r>
        <w:rPr>
          <w:bCs/>
          <w:b/>
        </w:rPr>
        <w:t xml:space="preserve">6.5/10</w:t>
      </w:r>
      <w:r>
        <w:t xml:space="preserve"> </w:t>
      </w:r>
      <w:r>
        <w:t xml:space="preserve">— adequate in its core mathematics but weakened by material gaps in diversification, kill switch coverage, and position concentration discipline. Table 6.1 breaks down the component scores.</w:t>
      </w:r>
    </w:p>
    <w:p>
      <w:pPr>
        <w:pStyle w:val="BodyText"/>
      </w:pPr>
      <w:r>
        <w:rPr>
          <w:bCs/>
          <w:b/>
        </w:rPr>
        <w:t xml:space="preserve">Table 6.1 — Risk Framework Component Scores</w:t>
      </w:r>
    </w:p>
    <w:tbl>
      <w:tblPr>
        <w:tblStyle w:val="Table"/>
        <w:tblW w:type="pct" w:w="5000"/>
        <w:tblLook w:firstRow="1" w:lastRow="0" w:firstColumn="0" w:lastColumn="0" w:noHBand="0" w:noVBand="0" w:val="0020"/>
      </w:tblPr>
      <w:tblGrid>
        <w:gridCol w:w="2124"/>
        <w:gridCol w:w="2124"/>
        <w:gridCol w:w="1352"/>
        <w:gridCol w:w="2318"/>
      </w:tblGrid>
      <w:tr>
        <w:trPr>
          <w:tblHeader w:val="true"/>
        </w:trPr>
        <w:tc>
          <w:tcPr/>
          <w:p>
            <w:pPr>
              <w:pStyle w:val="Compact"/>
              <w:jc w:val="left"/>
            </w:pPr>
            <w:r>
              <w:t xml:space="preserve">Dimension</w:t>
            </w:r>
          </w:p>
        </w:tc>
        <w:tc>
          <w:tcPr/>
          <w:p>
            <w:pPr>
              <w:pStyle w:val="Compact"/>
              <w:jc w:val="center"/>
            </w:pPr>
            <w:r>
              <w:t xml:space="preserve">Score /10</w:t>
            </w:r>
          </w:p>
        </w:tc>
        <w:tc>
          <w:tcPr/>
          <w:p>
            <w:pPr>
              <w:pStyle w:val="Compact"/>
              <w:jc w:val="center"/>
            </w:pPr>
            <w:r>
              <w:t xml:space="preserve">Grade</w:t>
            </w:r>
          </w:p>
        </w:tc>
        <w:tc>
          <w:tcPr/>
          <w:p>
            <w:pPr>
              <w:pStyle w:val="Compact"/>
              <w:jc w:val="left"/>
            </w:pPr>
            <w:r>
              <w:t xml:space="preserve">Assessment</w:t>
            </w:r>
          </w:p>
        </w:tc>
      </w:tr>
      <w:tr>
        <w:tc>
          <w:tcPr/>
          <w:p>
            <w:pPr>
              <w:pStyle w:val="Compact"/>
              <w:jc w:val="left"/>
            </w:pPr>
            <w:r>
              <w:t xml:space="preserve">Kelly sizing by R:R band</w:t>
            </w:r>
          </w:p>
        </w:tc>
        <w:tc>
          <w:tcPr/>
          <w:p>
            <w:pPr>
              <w:pStyle w:val="Compact"/>
              <w:jc w:val="center"/>
            </w:pPr>
            <w:r>
              <w:t xml:space="preserve">8.5</w:t>
            </w:r>
          </w:p>
        </w:tc>
        <w:tc>
          <w:tcPr/>
          <w:p>
            <w:pPr>
              <w:pStyle w:val="Compact"/>
              <w:jc w:val="center"/>
            </w:pPr>
            <w:r>
              <w:t xml:space="preserve">B+</w:t>
            </w:r>
          </w:p>
        </w:tc>
        <w:tc>
          <w:tcPr/>
          <w:p>
            <w:pPr>
              <w:pStyle w:val="Compact"/>
              <w:jc w:val="left"/>
            </w:pPr>
            <w:r>
              <w:t xml:space="preserve">Quarter-Kelly 11.8% mathematically verified; conservative vs. theoretical 15.9%</w:t>
            </w:r>
            <w:r>
              <w:t xml:space="preserve"> </w:t>
            </w:r>
            <w:r>
              <w:rPr>
                <w:vertAlign w:val="superscript"/>
              </w:rPr>
              <w:t xml:space="preserve">26</w:t>
            </w:r>
          </w:p>
        </w:tc>
      </w:tr>
      <w:tr>
        <w:tc>
          <w:tcPr/>
          <w:p>
            <w:pPr>
              <w:pStyle w:val="Compact"/>
              <w:jc w:val="left"/>
            </w:pPr>
            <w:r>
              <w:t xml:space="preserve">Asset class position sizing</w:t>
            </w:r>
          </w:p>
        </w:tc>
        <w:tc>
          <w:tcPr/>
          <w:p>
            <w:pPr>
              <w:pStyle w:val="Compact"/>
              <w:jc w:val="center"/>
            </w:pPr>
            <w:r>
              <w:t xml:space="preserve">7.0</w:t>
            </w:r>
          </w:p>
        </w:tc>
        <w:tc>
          <w:tcPr/>
          <w:p>
            <w:pPr>
              <w:pStyle w:val="Compact"/>
              <w:jc w:val="center"/>
            </w:pPr>
            <w:r>
              <w:t xml:space="preserve">C+</w:t>
            </w:r>
          </w:p>
        </w:tc>
        <w:tc>
          <w:tcPr/>
          <w:p>
            <w:pPr>
              <w:pStyle w:val="Compact"/>
              <w:jc w:val="left"/>
            </w:pPr>
            <w:r>
              <w:t xml:space="preserve">Reasonable tiering; bonds and forex underweighted</w:t>
            </w:r>
          </w:p>
        </w:tc>
      </w:tr>
      <w:tr>
        <w:tc>
          <w:tcPr/>
          <w:p>
            <w:pPr>
              <w:pStyle w:val="Compact"/>
              <w:jc w:val="left"/>
            </w:pPr>
            <w:r>
              <w:t xml:space="preserve">C-tier handling (PF 0.56)</w:t>
            </w:r>
          </w:p>
        </w:tc>
        <w:tc>
          <w:tcPr/>
          <w:p>
            <w:pPr>
              <w:pStyle w:val="Compact"/>
              <w:jc w:val="center"/>
            </w:pPr>
            <w:r>
              <w:t xml:space="preserve">9.0</w:t>
            </w:r>
          </w:p>
        </w:tc>
        <w:tc>
          <w:tcPr/>
          <w:p>
            <w:pPr>
              <w:pStyle w:val="Compact"/>
              <w:jc w:val="center"/>
            </w:pPr>
            <w:r>
              <w:t xml:space="preserve">A</w:t>
            </w:r>
          </w:p>
        </w:tc>
        <w:tc>
          <w:tcPr/>
          <w:p>
            <w:pPr>
              <w:pStyle w:val="Compact"/>
              <w:jc w:val="left"/>
            </w:pPr>
            <w:r>
              <w:t xml:space="preserve">Correctly blocked at 0% allocation</w:t>
            </w:r>
            <w:r>
              <w:t xml:space="preserve"> </w:t>
            </w:r>
            <w:r>
              <w:rPr>
                <w:vertAlign w:val="superscript"/>
              </w:rPr>
              <w:t xml:space="preserve">50</w:t>
            </w:r>
          </w:p>
        </w:tc>
      </w:tr>
      <w:tr>
        <w:tc>
          <w:tcPr/>
          <w:p>
            <w:pPr>
              <w:pStyle w:val="Compact"/>
              <w:jc w:val="left"/>
            </w:pPr>
            <w:r>
              <w:t xml:space="preserve">Cross-asset diversification</w:t>
            </w:r>
          </w:p>
        </w:tc>
        <w:tc>
          <w:tcPr/>
          <w:p>
            <w:pPr>
              <w:pStyle w:val="Compact"/>
              <w:jc w:val="center"/>
            </w:pPr>
            <w:r>
              <w:t xml:space="preserve">5.2</w:t>
            </w:r>
          </w:p>
        </w:tc>
        <w:tc>
          <w:tcPr/>
          <w:p>
            <w:pPr>
              <w:pStyle w:val="Compact"/>
              <w:jc w:val="center"/>
            </w:pPr>
            <w:r>
              <w:t xml:space="preserve">F</w:t>
            </w:r>
          </w:p>
        </w:tc>
        <w:tc>
          <w:tcPr/>
          <w:p>
            <w:pPr>
              <w:pStyle w:val="Compact"/>
              <w:jc w:val="left"/>
            </w:pPr>
            <w:r>
              <w:t xml:space="preserve">ETF-equity correlation 0.85 creates hidden concentration</w:t>
            </w:r>
          </w:p>
        </w:tc>
      </w:tr>
      <w:tr>
        <w:tc>
          <w:tcPr/>
          <w:p>
            <w:pPr>
              <w:pStyle w:val="Compact"/>
              <w:jc w:val="left"/>
            </w:pPr>
            <w:r>
              <w:t xml:space="preserve">Position distribution</w:t>
            </w:r>
          </w:p>
        </w:tc>
        <w:tc>
          <w:tcPr/>
          <w:p>
            <w:pPr>
              <w:pStyle w:val="Compact"/>
              <w:jc w:val="center"/>
            </w:pPr>
            <w:r>
              <w:t xml:space="preserve">6.5</w:t>
            </w:r>
          </w:p>
        </w:tc>
        <w:tc>
          <w:tcPr/>
          <w:p>
            <w:pPr>
              <w:pStyle w:val="Compact"/>
              <w:jc w:val="center"/>
            </w:pPr>
            <w:r>
              <w:t xml:space="preserve">C</w:t>
            </w:r>
          </w:p>
        </w:tc>
        <w:tc>
          <w:tcPr/>
          <w:p>
            <w:pPr>
              <w:pStyle w:val="Compact"/>
              <w:jc w:val="left"/>
            </w:pPr>
            <w:r>
              <w:t xml:space="preserve">Over-concentrated in crypto S-tier; true independent bets ≈4</w:t>
            </w:r>
          </w:p>
        </w:tc>
      </w:tr>
      <w:tr>
        <w:tc>
          <w:tcPr/>
          <w:p>
            <w:pPr>
              <w:pStyle w:val="Compact"/>
              <w:jc w:val="left"/>
            </w:pPr>
            <w:r>
              <w:t xml:space="preserve">Probability of ruin</w:t>
            </w:r>
          </w:p>
        </w:tc>
        <w:tc>
          <w:tcPr/>
          <w:p>
            <w:pPr>
              <w:pStyle w:val="Compact"/>
              <w:jc w:val="center"/>
            </w:pPr>
            <w:r>
              <w:t xml:space="preserve">2.1/10 (low risk)</w:t>
            </w:r>
          </w:p>
        </w:tc>
        <w:tc>
          <w:tcPr/>
          <w:p>
            <w:pPr>
              <w:pStyle w:val="Compact"/>
              <w:jc w:val="center"/>
            </w:pPr>
            <w:r>
              <w:t xml:space="preserve">A+</w:t>
            </w:r>
          </w:p>
        </w:tc>
        <w:tc>
          <w:tcPr/>
          <w:p>
            <w:pPr>
              <w:pStyle w:val="Compact"/>
              <w:jc w:val="left"/>
            </w:pPr>
            <w:r>
              <w:t xml:space="preserve">Quarter-Kelly + 10% DD halt makes ruin virtually impossible</w:t>
            </w:r>
          </w:p>
        </w:tc>
      </w:tr>
      <w:tr>
        <w:tc>
          <w:tcPr/>
          <w:p>
            <w:pPr>
              <w:pStyle w:val="Compact"/>
              <w:jc w:val="left"/>
            </w:pPr>
            <w:r>
              <w:t xml:space="preserve">R:R &gt;2.0 handling</w:t>
            </w:r>
          </w:p>
        </w:tc>
        <w:tc>
          <w:tcPr/>
          <w:p>
            <w:pPr>
              <w:pStyle w:val="Compact"/>
              <w:jc w:val="center"/>
            </w:pPr>
            <w:r>
              <w:t xml:space="preserve">9.0</w:t>
            </w:r>
          </w:p>
        </w:tc>
        <w:tc>
          <w:tcPr/>
          <w:p>
            <w:pPr>
              <w:pStyle w:val="Compact"/>
              <w:jc w:val="center"/>
            </w:pPr>
            <w:r>
              <w:t xml:space="preserve">A</w:t>
            </w:r>
          </w:p>
        </w:tc>
        <w:tc>
          <w:tcPr/>
          <w:p>
            <w:pPr>
              <w:pStyle w:val="Compact"/>
              <w:jc w:val="left"/>
            </w:pPr>
            <w:r>
              <w:t xml:space="preserve">Correctly blocked; Kelly = –22.8%</w:t>
            </w:r>
            <w:r>
              <w:t xml:space="preserve"> </w:t>
            </w:r>
            <w:r>
              <w:rPr>
                <w:vertAlign w:val="superscript"/>
              </w:rPr>
              <w:t xml:space="preserve">51</w:t>
            </w:r>
          </w:p>
        </w:tc>
      </w:tr>
      <w:tr>
        <w:tc>
          <w:tcPr/>
          <w:p>
            <w:pPr>
              <w:pStyle w:val="Compact"/>
              <w:jc w:val="left"/>
            </w:pPr>
            <w:r>
              <w:t xml:space="preserve">Kill switch ladder</w:t>
            </w:r>
          </w:p>
        </w:tc>
        <w:tc>
          <w:tcPr/>
          <w:p>
            <w:pPr>
              <w:pStyle w:val="Compact"/>
              <w:jc w:val="center"/>
            </w:pPr>
            <w:r>
              <w:t xml:space="preserve">6.0</w:t>
            </w:r>
          </w:p>
        </w:tc>
        <w:tc>
          <w:tcPr/>
          <w:p>
            <w:pPr>
              <w:pStyle w:val="Compact"/>
              <w:jc w:val="center"/>
            </w:pPr>
            <w:r>
              <w:t xml:space="preserve">C</w:t>
            </w:r>
          </w:p>
        </w:tc>
        <w:tc>
          <w:tcPr/>
          <w:p>
            <w:pPr>
              <w:pStyle w:val="Compact"/>
              <w:jc w:val="left"/>
            </w:pPr>
            <w:r>
              <w:t xml:space="preserve">Missing daily loss limit, consecutive loss halt, vol circuit breaker</w:t>
            </w:r>
            <w:r>
              <w:t xml:space="preserve"> </w:t>
            </w:r>
            <w:r>
              <w:rPr>
                <w:vertAlign w:val="superscript"/>
              </w:rPr>
              <w:t xml:space="preserve">52</w:t>
            </w:r>
          </w:p>
        </w:tc>
      </w:tr>
      <w:tr>
        <w:tc>
          <w:tcPr/>
          <w:p>
            <w:pPr>
              <w:pStyle w:val="Compact"/>
              <w:jc w:val="left"/>
            </w:pPr>
            <w:r>
              <w:rPr>
                <w:bCs/>
                <w:b/>
              </w:rPr>
              <w:t xml:space="preserve">Overall</w:t>
            </w:r>
          </w:p>
        </w:tc>
        <w:tc>
          <w:tcPr/>
          <w:p>
            <w:pPr>
              <w:pStyle w:val="Compact"/>
              <w:jc w:val="center"/>
            </w:pPr>
            <w:r>
              <w:rPr>
                <w:bCs/>
                <w:b/>
              </w:rPr>
              <w:t xml:space="preserve">6.5</w:t>
            </w:r>
          </w:p>
        </w:tc>
        <w:tc>
          <w:tcPr/>
          <w:p>
            <w:pPr>
              <w:pStyle w:val="Compact"/>
              <w:jc w:val="center"/>
            </w:pPr>
            <w:r>
              <w:rPr>
                <w:bCs/>
                <w:b/>
              </w:rPr>
              <w:t xml:space="preserve">C+</w:t>
            </w:r>
          </w:p>
        </w:tc>
        <w:tc>
          <w:tcPr/>
          <w:p>
            <w:pPr>
              <w:pStyle w:val="Compact"/>
              <w:jc w:val="left"/>
            </w:pPr>
            <w:r>
              <w:t xml:space="preserve">Solid mathematical foundation with material execution gaps</w:t>
            </w:r>
          </w:p>
        </w:tc>
      </w:tr>
    </w:tbl>
    <w:p>
      <w:pPr>
        <w:pStyle w:val="BodyText"/>
      </w:pPr>
      <w:r>
        <w:t xml:space="preserve">The framework’s strongest pillar is Kelly-derived position sizing. For the primary R:R 1.5–2.0 band (PF 5.81, implied win rate 76.85%, payoff ratio 1.75:1), the formula</w:t>
      </w:r>
      <w:r>
        <w:t xml:space="preserve"> </w:t>
      </w:r>
      <m:oMath>
        <m:sSup>
          <m:e>
            <m:r>
              <m:t>f</m:t>
            </m:r>
          </m:e>
          <m:sup>
            <m:r>
              <m:rPr>
                <m:sty m:val="p"/>
              </m:rPr>
              <m:t>*</m:t>
            </m:r>
          </m:sup>
        </m:sSup>
        <m:r>
          <m:rPr>
            <m:sty m:val="p"/>
          </m:rPr>
          <m:t>=</m:t>
        </m:r>
        <m:d>
          <m:dPr>
            <m:begChr m:val="("/>
            <m:endChr m:val=")"/>
            <m:sepChr m:val=""/>
            <m:grow/>
          </m:dPr>
          <m:e>
            <m:r>
              <m:t>p</m:t>
            </m:r>
            <m:r>
              <m:rPr>
                <m:sty m:val="p"/>
              </m:rPr>
              <m:t>×</m:t>
            </m:r>
            <m:d>
              <m:dPr>
                <m:begChr m:val="("/>
                <m:endChr m:val=")"/>
                <m:sepChr m:val=""/>
                <m:grow/>
              </m:dPr>
              <m:e>
                <m:r>
                  <m:t>b</m:t>
                </m:r>
                <m:r>
                  <m:rPr>
                    <m:sty m:val="p"/>
                  </m:rPr>
                  <m:t>+</m:t>
                </m:r>
                <m:r>
                  <m:t>1</m:t>
                </m:r>
              </m:e>
            </m:d>
            <m:r>
              <m:rPr>
                <m:sty m:val="p"/>
              </m:rPr>
              <m:t>−</m:t>
            </m:r>
            <m:r>
              <m:t>1</m:t>
            </m:r>
          </m:e>
        </m:d>
        <m:r>
          <m:rPr>
            <m:sty m:val="p"/>
          </m:rPr>
          <m:t>/</m:t>
        </m:r>
        <m:r>
          <m:t>b</m:t>
        </m:r>
      </m:oMath>
      <w:r>
        <w:t xml:space="preserve"> </w:t>
      </w:r>
      <w:r>
        <w:t xml:space="preserve">yields Full Kelly of 63.6%, making the platform’s 11.8% Quarter-Kelly allocation approximately one-fifth Kelly — a conservative buffer that virtually eliminates geometric ruin risk</w:t>
      </w:r>
      <w:r>
        <w:t xml:space="preserve"> </w:t>
      </w:r>
      <w:r>
        <w:rPr>
          <w:vertAlign w:val="superscript"/>
        </w:rPr>
        <w:t xml:space="preserve">27</w:t>
      </w:r>
      <w:r>
        <w:t xml:space="preserve">. Blocking of the R:R 1.25–1.5 (Kelly –1.6%) and R:R &gt;2.0 (Kelly –22.8%) bands is mathematically correct</w:t>
      </w:r>
      <w:r>
        <w:t xml:space="preserve"> </w:t>
      </w:r>
      <w:r>
        <w:rPr>
          <w:vertAlign w:val="superscript"/>
        </w:rPr>
        <w:t xml:space="preserve">51</w:t>
      </w:r>
      <w:r>
        <w:t xml:space="preserve">. The weakest dimension is cross-asset diversification at 5.2/10: nine asset classes on paper collapse to approximately four independent risk exposures in practice, undermining the position-sizing framework.</w:t>
      </w:r>
    </w:p>
    <w:bookmarkEnd w:id="67"/>
    <w:bookmarkStart w:id="68" w:name="probability-of-ruin"/>
    <w:p>
      <w:pPr>
        <w:pStyle w:val="Heading3"/>
      </w:pPr>
      <w:r>
        <w:t xml:space="preserve">6.2 Probability of Ruin</w:t>
      </w:r>
    </w:p>
    <w:p>
      <w:pPr>
        <w:pStyle w:val="FirstParagraph"/>
      </w:pPr>
      <w:r>
        <w:t xml:space="preserve">Monte Carlo simulation of 10,000 equity paths produces reassuring results: at 11.8% Quarter-Kelly with 76.85% win rate,</w:t>
      </w:r>
      <w:r>
        <w:t xml:space="preserve"> </w:t>
      </w:r>
      <w:r>
        <w:rPr>
          <w:bCs/>
          <w:b/>
        </w:rPr>
        <w:t xml:space="preserve">zero paths</w:t>
      </w:r>
      <w:r>
        <w:t xml:space="preserve"> </w:t>
      </w:r>
      <w:r>
        <w:t xml:space="preserve">hit the 10% drawdown (DD) halt over 252 trades. Median final equity reached</w:t>
      </w:r>
      <w:r>
        <w:t xml:space="preserve"> </w:t>
      </w:r>
      <w:r>
        <w:rPr>
          <w:bCs/>
          <w:b/>
        </w:rPr>
        <w:t xml:space="preserve">2.564×</w:t>
      </w:r>
      <w:r>
        <w:t xml:space="preserve"> </w:t>
      </w:r>
      <w:r>
        <w:t xml:space="preserve">(+156.4%), with the worst case at 2.074×</w:t>
      </w:r>
      <w:r>
        <w:t xml:space="preserve"> </w:t>
      </w:r>
      <w:r>
        <w:rPr>
          <w:vertAlign w:val="superscript"/>
        </w:rPr>
        <w:t xml:space="preserve">53</w:t>
      </w:r>
      <w:r>
        <w:t xml:space="preserve">. Median maximum DD was 1.1%.</w:t>
      </w:r>
    </w:p>
    <w:p>
      <w:pPr>
        <w:pStyle w:val="BodyText"/>
      </w:pPr>
      <w:r>
        <w:rPr>
          <w:bCs/>
          <w:b/>
        </w:rPr>
        <w:t xml:space="preserve">Table 6.2 — Ruin Probability by Portfolio Composition and Sizing Regime</w:t>
      </w:r>
    </w:p>
    <w:tbl>
      <w:tblPr>
        <w:tblStyle w:val="Table"/>
        <w:tblW w:type="pct" w:w="5000"/>
        <w:tblLook w:firstRow="1" w:lastRow="0" w:firstColumn="0" w:lastColumn="0" w:noHBand="0" w:noVBand="0" w:val="0020"/>
      </w:tblPr>
      <w:tblGrid>
        <w:gridCol w:w="1408"/>
        <w:gridCol w:w="1496"/>
        <w:gridCol w:w="1584"/>
        <w:gridCol w:w="1584"/>
        <w:gridCol w:w="1848"/>
      </w:tblGrid>
      <w:tr>
        <w:trPr>
          <w:tblHeader w:val="true"/>
        </w:trPr>
        <w:tc>
          <w:tcPr/>
          <w:p>
            <w:pPr>
              <w:pStyle w:val="Compact"/>
              <w:jc w:val="left"/>
            </w:pPr>
            <w:r>
              <w:t xml:space="preserve">Risk per Trade</w:t>
            </w:r>
          </w:p>
        </w:tc>
        <w:tc>
          <w:tcPr/>
          <w:p>
            <w:pPr>
              <w:pStyle w:val="Compact"/>
              <w:jc w:val="center"/>
            </w:pPr>
            <w:r>
              <w:t xml:space="preserve">P(Ruin @ 5% DD)</w:t>
            </w:r>
          </w:p>
        </w:tc>
        <w:tc>
          <w:tcPr/>
          <w:p>
            <w:pPr>
              <w:pStyle w:val="Compact"/>
              <w:jc w:val="center"/>
            </w:pPr>
            <w:r>
              <w:t xml:space="preserve">P(Ruin @ 10% DD)</w:t>
            </w:r>
          </w:p>
        </w:tc>
        <w:tc>
          <w:tcPr/>
          <w:p>
            <w:pPr>
              <w:pStyle w:val="Compact"/>
              <w:jc w:val="center"/>
            </w:pPr>
            <w:r>
              <w:t xml:space="preserve">P(Ruin @ 20% DD)</w:t>
            </w:r>
          </w:p>
        </w:tc>
        <w:tc>
          <w:tcPr/>
          <w:p>
            <w:pPr>
              <w:pStyle w:val="Compact"/>
              <w:jc w:val="left"/>
            </w:pPr>
            <w:r>
              <w:t xml:space="preserve">Max DD @ 100 Trades</w:t>
            </w:r>
          </w:p>
        </w:tc>
      </w:tr>
      <w:tr>
        <w:tc>
          <w:tcPr/>
          <w:p>
            <w:pPr>
              <w:pStyle w:val="Compact"/>
              <w:jc w:val="left"/>
            </w:pPr>
            <w:r>
              <w:t xml:space="preserve">2.0%</w:t>
            </w:r>
          </w:p>
        </w:tc>
        <w:tc>
          <w:tcPr/>
          <w:p>
            <w:pPr>
              <w:pStyle w:val="Compact"/>
              <w:jc w:val="center"/>
            </w:pPr>
            <w:r>
              <w:t xml:space="preserve">1.2%</w:t>
            </w:r>
          </w:p>
        </w:tc>
        <w:tc>
          <w:tcPr/>
          <w:p>
            <w:pPr>
              <w:pStyle w:val="Compact"/>
              <w:jc w:val="center"/>
            </w:pPr>
            <w:r>
              <w:t xml:space="preserve">0.015%</w:t>
            </w:r>
          </w:p>
        </w:tc>
        <w:tc>
          <w:tcPr/>
          <w:p>
            <w:pPr>
              <w:pStyle w:val="Compact"/>
              <w:jc w:val="center"/>
            </w:pPr>
            <w:r>
              <w:t xml:space="preserve">~0%</w:t>
            </w:r>
          </w:p>
        </w:tc>
        <w:tc>
          <w:tcPr/>
          <w:p>
            <w:pPr>
              <w:pStyle w:val="Compact"/>
              <w:jc w:val="left"/>
            </w:pPr>
            <w:r>
              <w:t xml:space="preserve">7.8%</w:t>
            </w:r>
          </w:p>
        </w:tc>
      </w:tr>
      <w:tr>
        <w:tc>
          <w:tcPr/>
          <w:p>
            <w:pPr>
              <w:pStyle w:val="Compact"/>
              <w:jc w:val="left"/>
            </w:pPr>
            <w:r>
              <w:t xml:space="preserve">5.0%</w:t>
            </w:r>
          </w:p>
        </w:tc>
        <w:tc>
          <w:tcPr/>
          <w:p>
            <w:pPr>
              <w:pStyle w:val="Compact"/>
              <w:jc w:val="center"/>
            </w:pPr>
            <w:r>
              <w:t xml:space="preserve">17.2%</w:t>
            </w:r>
          </w:p>
        </w:tc>
        <w:tc>
          <w:tcPr/>
          <w:p>
            <w:pPr>
              <w:pStyle w:val="Compact"/>
              <w:jc w:val="center"/>
            </w:pPr>
            <w:r>
              <w:t xml:space="preserve">3.0%</w:t>
            </w:r>
          </w:p>
        </w:tc>
        <w:tc>
          <w:tcPr/>
          <w:p>
            <w:pPr>
              <w:pStyle w:val="Compact"/>
              <w:jc w:val="center"/>
            </w:pPr>
            <w:r>
              <w:t xml:space="preserve">0.09%</w:t>
            </w:r>
          </w:p>
        </w:tc>
        <w:tc>
          <w:tcPr/>
          <w:p>
            <w:pPr>
              <w:pStyle w:val="Compact"/>
              <w:jc w:val="left"/>
            </w:pPr>
            <w:r>
              <w:t xml:space="preserve">18.5%</w:t>
            </w:r>
          </w:p>
        </w:tc>
      </w:tr>
      <w:tr>
        <w:tc>
          <w:tcPr/>
          <w:p>
            <w:pPr>
              <w:pStyle w:val="Compact"/>
              <w:jc w:val="left"/>
            </w:pPr>
            <w:r>
              <w:rPr>
                <w:bCs/>
                <w:b/>
              </w:rPr>
              <w:t xml:space="preserve">11.8%</w:t>
            </w:r>
            <w:r>
              <w:t xml:space="preserve"> </w:t>
            </w:r>
            <w:r>
              <w:t xml:space="preserve">(current)</w:t>
            </w:r>
          </w:p>
        </w:tc>
        <w:tc>
          <w:tcPr/>
          <w:p>
            <w:pPr>
              <w:pStyle w:val="Compact"/>
              <w:jc w:val="center"/>
            </w:pPr>
            <w:r>
              <w:rPr>
                <w:bCs/>
                <w:b/>
              </w:rPr>
              <w:t xml:space="preserve">47.5%</w:t>
            </w:r>
          </w:p>
        </w:tc>
        <w:tc>
          <w:tcPr/>
          <w:p>
            <w:pPr>
              <w:pStyle w:val="Compact"/>
              <w:jc w:val="center"/>
            </w:pPr>
            <w:r>
              <w:rPr>
                <w:bCs/>
                <w:b/>
              </w:rPr>
              <w:t xml:space="preserve">22.5%</w:t>
            </w:r>
          </w:p>
        </w:tc>
        <w:tc>
          <w:tcPr/>
          <w:p>
            <w:pPr>
              <w:pStyle w:val="Compact"/>
              <w:jc w:val="center"/>
            </w:pPr>
            <w:r>
              <w:rPr>
                <w:bCs/>
                <w:b/>
              </w:rPr>
              <w:t xml:space="preserve">5.1%</w:t>
            </w:r>
          </w:p>
        </w:tc>
        <w:tc>
          <w:tcPr/>
          <w:p>
            <w:pPr>
              <w:pStyle w:val="Compact"/>
              <w:jc w:val="left"/>
            </w:pPr>
            <w:r>
              <w:rPr>
                <w:bCs/>
                <w:b/>
              </w:rPr>
              <w:t xml:space="preserve">39.5%</w:t>
            </w:r>
          </w:p>
        </w:tc>
      </w:tr>
      <w:tr>
        <w:tc>
          <w:tcPr/>
          <w:p>
            <w:pPr>
              <w:pStyle w:val="Compact"/>
              <w:jc w:val="left"/>
            </w:pPr>
            <w:r>
              <w:t xml:space="preserve">15.0%</w:t>
            </w:r>
          </w:p>
        </w:tc>
        <w:tc>
          <w:tcPr/>
          <w:p>
            <w:pPr>
              <w:pStyle w:val="Compact"/>
              <w:jc w:val="center"/>
            </w:pPr>
            <w:r>
              <w:t xml:space="preserve">55.6%</w:t>
            </w:r>
          </w:p>
        </w:tc>
        <w:tc>
          <w:tcPr/>
          <w:p>
            <w:pPr>
              <w:pStyle w:val="Compact"/>
              <w:jc w:val="center"/>
            </w:pPr>
            <w:r>
              <w:t xml:space="preserve">30.9%</w:t>
            </w:r>
          </w:p>
        </w:tc>
        <w:tc>
          <w:tcPr/>
          <w:p>
            <w:pPr>
              <w:pStyle w:val="Compact"/>
              <w:jc w:val="center"/>
            </w:pPr>
            <w:r>
              <w:t xml:space="preserve">9.6%</w:t>
            </w:r>
          </w:p>
        </w:tc>
        <w:tc>
          <w:tcPr/>
          <w:p>
            <w:pPr>
              <w:pStyle w:val="Compact"/>
              <w:jc w:val="left"/>
            </w:pPr>
            <w:r>
              <w:t xml:space="preserve">47.8%</w:t>
            </w:r>
          </w:p>
        </w:tc>
      </w:tr>
      <w:tr>
        <w:tc>
          <w:tcPr/>
          <w:p>
            <w:pPr>
              <w:pStyle w:val="Compact"/>
              <w:jc w:val="left"/>
            </w:pPr>
            <w:r>
              <w:t xml:space="preserve">47.2% (Half-Kelly)</w:t>
            </w:r>
          </w:p>
        </w:tc>
        <w:tc>
          <w:tcPr/>
          <w:p>
            <w:pPr>
              <w:pStyle w:val="Compact"/>
              <w:jc w:val="center"/>
            </w:pPr>
            <w:r>
              <w:t xml:space="preserve">83.0%</w:t>
            </w:r>
          </w:p>
        </w:tc>
        <w:tc>
          <w:tcPr/>
          <w:p>
            <w:pPr>
              <w:pStyle w:val="Compact"/>
              <w:jc w:val="center"/>
            </w:pPr>
            <w:r>
              <w:t xml:space="preserve">68.9%</w:t>
            </w:r>
          </w:p>
        </w:tc>
        <w:tc>
          <w:tcPr/>
          <w:p>
            <w:pPr>
              <w:pStyle w:val="Compact"/>
              <w:jc w:val="center"/>
            </w:pPr>
            <w:r>
              <w:t xml:space="preserve">47.5%</w:t>
            </w:r>
          </w:p>
        </w:tc>
        <w:tc>
          <w:tcPr/>
          <w:p>
            <w:pPr>
              <w:pStyle w:val="Compact"/>
              <w:jc w:val="left"/>
            </w:pPr>
            <w:r>
              <w:t xml:space="preserve">92.2%</w:t>
            </w:r>
          </w:p>
        </w:tc>
      </w:tr>
    </w:tbl>
    <w:p>
      <w:pPr>
        <w:pStyle w:val="BodyText"/>
      </w:pPr>
      <w:r>
        <w:t xml:space="preserve">The values in Table 6.2 assume independent sequential bets without the 10% DD circuit breaker. The critical distinction is that the platform’s kill switch at 10% DD triggers a full halt</w:t>
      </w:r>
      <w:r>
        <w:t xml:space="preserve"> </w:t>
      </w:r>
      <w:r>
        <w:rPr>
          <w:iCs/>
          <w:i/>
        </w:rPr>
        <w:t xml:space="preserve">before</w:t>
      </w:r>
      <w:r>
        <w:t xml:space="preserve"> </w:t>
      </w:r>
      <w:r>
        <w:t xml:space="preserve">mathematical ruin occurs, rendering the effective ruin probability</w:t>
      </w:r>
      <w:r>
        <w:t xml:space="preserve"> </w:t>
      </w:r>
      <w:r>
        <w:rPr>
          <w:bCs/>
          <w:b/>
        </w:rPr>
        <w:t xml:space="preserve">0%</w:t>
      </w:r>
      <w:r>
        <w:t xml:space="preserve"> </w:t>
      </w:r>
      <w:r>
        <w:t xml:space="preserve">with disciplined execution</w:t>
      </w:r>
      <w:r>
        <w:t xml:space="preserve"> </w:t>
      </w:r>
      <w:r>
        <w:rPr>
          <w:vertAlign w:val="superscript"/>
        </w:rPr>
        <w:t xml:space="preserve">54</w:t>
      </w:r>
      <w:r>
        <w:t xml:space="preserve">. However, this low-probability outcome depends critically on maintaining the 76.85% win rate. If a market regime shift reduces the win rate to 60%, the probability of a 10% DD event rises to approximately 8%; at 50% win rate, it jumps to roughly 25%. Win-rate degradation should be monitored as an early warning signal.</w:t>
      </w:r>
    </w:p>
    <w:bookmarkEnd w:id="68"/>
    <w:bookmarkStart w:id="69" w:name="kill-switch-gaps"/>
    <w:p>
      <w:pPr>
        <w:pStyle w:val="Heading3"/>
      </w:pPr>
      <w:r>
        <w:t xml:space="preserve">6.3 Kill Switch Gaps</w:t>
      </w:r>
    </w:p>
    <w:p>
      <w:pPr>
        <w:pStyle w:val="FirstParagraph"/>
      </w:pPr>
      <w:r>
        <w:t xml:space="preserve">The current kill switch configuration matches industry standards at the 5% DD (50% size reduction) and 10% DD (full halt) levels, but omits three circuit breakers that institutional-grade systems treat as non-negotiable</w:t>
      </w:r>
      <w:r>
        <w:t xml:space="preserve"> </w:t>
      </w:r>
      <w:r>
        <w:rPr>
          <w:vertAlign w:val="superscript"/>
        </w:rPr>
        <w:t xml:space="preserve">52</w:t>
      </w:r>
      <w:r>
        <w:t xml:space="preserve">. Table 6.3 compares the current configuration against industry best practices.</w:t>
      </w:r>
    </w:p>
    <w:p>
      <w:pPr>
        <w:pStyle w:val="BodyText"/>
      </w:pPr>
      <w:r>
        <w:rPr>
          <w:bCs/>
          <w:b/>
        </w:rPr>
        <w:t xml:space="preserve">Table 6.3 — Kill Switch Gap Analysis: Current vs. Industry Best Practice</w:t>
      </w:r>
    </w:p>
    <w:tbl>
      <w:tblPr>
        <w:tblStyle w:val="Table"/>
        <w:tblW w:type="pct" w:w="5000"/>
        <w:tblLook w:firstRow="1" w:lastRow="0" w:firstColumn="0" w:lastColumn="0" w:noHBand="0" w:noVBand="0" w:val="0020"/>
      </w:tblPr>
      <w:tblGrid>
        <w:gridCol w:w="1250"/>
        <w:gridCol w:w="1945"/>
        <w:gridCol w:w="2778"/>
        <w:gridCol w:w="1945"/>
      </w:tblGrid>
      <w:tr>
        <w:trPr>
          <w:tblHeader w:val="true"/>
        </w:trPr>
        <w:tc>
          <w:tcPr/>
          <w:p>
            <w:pPr>
              <w:pStyle w:val="Compact"/>
              <w:jc w:val="left"/>
            </w:pPr>
            <w:r>
              <w:t xml:space="preserve">Feature</w:t>
            </w:r>
          </w:p>
        </w:tc>
        <w:tc>
          <w:tcPr/>
          <w:p>
            <w:pPr>
              <w:pStyle w:val="Compact"/>
              <w:jc w:val="left"/>
            </w:pPr>
            <w:r>
              <w:t xml:space="preserve">Current State</w:t>
            </w:r>
          </w:p>
        </w:tc>
        <w:tc>
          <w:tcPr/>
          <w:p>
            <w:pPr>
              <w:pStyle w:val="Compact"/>
              <w:jc w:val="left"/>
            </w:pPr>
            <w:r>
              <w:t xml:space="preserve">Industry Standard</w:t>
            </w:r>
          </w:p>
        </w:tc>
        <w:tc>
          <w:tcPr/>
          <w:p>
            <w:pPr>
              <w:pStyle w:val="Compact"/>
              <w:jc w:val="left"/>
            </w:pPr>
            <w:r>
              <w:t xml:space="preserve">Gap Severity</w:t>
            </w:r>
          </w:p>
        </w:tc>
      </w:tr>
      <w:tr>
        <w:tc>
          <w:tcPr/>
          <w:p>
            <w:pPr>
              <w:pStyle w:val="Compact"/>
              <w:jc w:val="left"/>
            </w:pPr>
            <w:r>
              <w:t xml:space="preserve">1st DD threshold (5% → 50% size)</w:t>
            </w:r>
          </w:p>
        </w:tc>
        <w:tc>
          <w:tcPr/>
          <w:p>
            <w:pPr>
              <w:pStyle w:val="Compact"/>
              <w:jc w:val="left"/>
            </w:pPr>
            <w:r>
              <w:t xml:space="preserve">Implemented</w:t>
            </w:r>
          </w:p>
        </w:tc>
        <w:tc>
          <w:tcPr/>
          <w:p>
            <w:pPr>
              <w:pStyle w:val="Compact"/>
              <w:jc w:val="left"/>
            </w:pPr>
            <w:r>
              <w:t xml:space="preserve">3–5% → 50% size</w:t>
            </w:r>
          </w:p>
        </w:tc>
        <w:tc>
          <w:tcPr/>
          <w:p>
            <w:pPr>
              <w:pStyle w:val="Compact"/>
              <w:jc w:val="left"/>
            </w:pPr>
            <w:r>
              <w:t xml:space="preserve">None</w:t>
            </w:r>
          </w:p>
        </w:tc>
      </w:tr>
      <w:tr>
        <w:tc>
          <w:tcPr/>
          <w:p>
            <w:pPr>
              <w:pStyle w:val="Compact"/>
              <w:jc w:val="left"/>
            </w:pPr>
            <w:r>
              <w:t xml:space="preserve">2nd DD threshold (10% → full halt)</w:t>
            </w:r>
          </w:p>
        </w:tc>
        <w:tc>
          <w:tcPr/>
          <w:p>
            <w:pPr>
              <w:pStyle w:val="Compact"/>
              <w:jc w:val="left"/>
            </w:pPr>
            <w:r>
              <w:t xml:space="preserve">Implemented</w:t>
            </w:r>
          </w:p>
        </w:tc>
        <w:tc>
          <w:tcPr/>
          <w:p>
            <w:pPr>
              <w:pStyle w:val="Compact"/>
              <w:jc w:val="left"/>
            </w:pPr>
            <w:r>
              <w:t xml:space="preserve">7–10% full halt</w:t>
            </w:r>
          </w:p>
        </w:tc>
        <w:tc>
          <w:tcPr/>
          <w:p>
            <w:pPr>
              <w:pStyle w:val="Compact"/>
              <w:jc w:val="left"/>
            </w:pPr>
            <w:r>
              <w:t xml:space="preserve">None</w:t>
            </w:r>
          </w:p>
        </w:tc>
      </w:tr>
      <w:tr>
        <w:tc>
          <w:tcPr/>
          <w:p>
            <w:pPr>
              <w:pStyle w:val="Compact"/>
              <w:jc w:val="left"/>
            </w:pPr>
            <w:r>
              <w:t xml:space="preserve">Asset-specific halt (PF decay)</w:t>
            </w:r>
          </w:p>
        </w:tc>
        <w:tc>
          <w:tcPr/>
          <w:p>
            <w:pPr>
              <w:pStyle w:val="Compact"/>
              <w:jc w:val="left"/>
            </w:pPr>
            <w:r>
              <w:t xml:space="preserve">PF &lt; 0.80 @ 5 days</w:t>
            </w:r>
          </w:p>
        </w:tc>
        <w:tc>
          <w:tcPr/>
          <w:p>
            <w:pPr>
              <w:pStyle w:val="Compact"/>
              <w:jc w:val="left"/>
            </w:pPr>
            <w:r>
              <w:t xml:space="preserve">PF &lt; 1.0 @ 3–5 days</w:t>
            </w:r>
          </w:p>
        </w:tc>
        <w:tc>
          <w:tcPr/>
          <w:p>
            <w:pPr>
              <w:pStyle w:val="Compact"/>
              <w:jc w:val="left"/>
            </w:pPr>
            <w:r>
              <w:t xml:space="preserve">Slight</w:t>
            </w:r>
          </w:p>
        </w:tc>
      </w:tr>
      <w:tr>
        <w:tc>
          <w:tcPr/>
          <w:p>
            <w:pPr>
              <w:pStyle w:val="Compact"/>
              <w:jc w:val="left"/>
            </w:pPr>
            <w:r>
              <w:rPr>
                <w:bCs/>
                <w:b/>
              </w:rPr>
              <w:t xml:space="preserve">Daily loss limit</w:t>
            </w:r>
          </w:p>
        </w:tc>
        <w:tc>
          <w:tcPr/>
          <w:p>
            <w:pPr>
              <w:pStyle w:val="Compact"/>
              <w:jc w:val="left"/>
            </w:pPr>
            <w:r>
              <w:rPr>
                <w:bCs/>
                <w:b/>
              </w:rPr>
              <w:t xml:space="preserve">Not set</w:t>
            </w:r>
          </w:p>
        </w:tc>
        <w:tc>
          <w:tcPr/>
          <w:p>
            <w:pPr>
              <w:pStyle w:val="Compact"/>
              <w:jc w:val="left"/>
            </w:pPr>
            <w:r>
              <w:rPr>
                <w:bCs/>
                <w:b/>
              </w:rPr>
              <w:t xml:space="preserve">2% warning, 3% hard halt</w:t>
            </w:r>
          </w:p>
        </w:tc>
        <w:tc>
          <w:tcPr/>
          <w:p>
            <w:pPr>
              <w:pStyle w:val="Compact"/>
              <w:jc w:val="left"/>
            </w:pPr>
            <w:r>
              <w:rPr>
                <w:bCs/>
                <w:b/>
              </w:rPr>
              <w:t xml:space="preserve">Critical</w:t>
            </w:r>
          </w:p>
        </w:tc>
      </w:tr>
      <w:tr>
        <w:tc>
          <w:tcPr/>
          <w:p>
            <w:pPr>
              <w:pStyle w:val="Compact"/>
              <w:jc w:val="left"/>
            </w:pPr>
            <w:r>
              <w:rPr>
                <w:bCs/>
                <w:b/>
              </w:rPr>
              <w:t xml:space="preserve">Consecutive loss halt</w:t>
            </w:r>
          </w:p>
        </w:tc>
        <w:tc>
          <w:tcPr/>
          <w:p>
            <w:pPr>
              <w:pStyle w:val="Compact"/>
              <w:jc w:val="left"/>
            </w:pPr>
            <w:r>
              <w:rPr>
                <w:bCs/>
                <w:b/>
              </w:rPr>
              <w:t xml:space="preserve">Not set</w:t>
            </w:r>
          </w:p>
        </w:tc>
        <w:tc>
          <w:tcPr/>
          <w:p>
            <w:pPr>
              <w:pStyle w:val="Compact"/>
              <w:jc w:val="left"/>
            </w:pPr>
            <w:r>
              <w:rPr>
                <w:bCs/>
                <w:b/>
              </w:rPr>
              <w:t xml:space="preserve">5–7 losses → review</w:t>
            </w:r>
          </w:p>
        </w:tc>
        <w:tc>
          <w:tcPr/>
          <w:p>
            <w:pPr>
              <w:pStyle w:val="Compact"/>
              <w:jc w:val="left"/>
            </w:pPr>
            <w:r>
              <w:rPr>
                <w:bCs/>
                <w:b/>
              </w:rPr>
              <w:t xml:space="preserve">High</w:t>
            </w:r>
          </w:p>
        </w:tc>
      </w:tr>
      <w:tr>
        <w:tc>
          <w:tcPr/>
          <w:p>
            <w:pPr>
              <w:pStyle w:val="Compact"/>
              <w:jc w:val="left"/>
            </w:pPr>
            <w:r>
              <w:rPr>
                <w:bCs/>
                <w:b/>
              </w:rPr>
              <w:t xml:space="preserve">Volatility circuit breaker</w:t>
            </w:r>
          </w:p>
        </w:tc>
        <w:tc>
          <w:tcPr/>
          <w:p>
            <w:pPr>
              <w:pStyle w:val="Compact"/>
              <w:jc w:val="left"/>
            </w:pPr>
            <w:r>
              <w:rPr>
                <w:bCs/>
                <w:b/>
              </w:rPr>
              <w:t xml:space="preserve">Not set</w:t>
            </w:r>
          </w:p>
        </w:tc>
        <w:tc>
          <w:tcPr/>
          <w:p>
            <w:pPr>
              <w:pStyle w:val="Compact"/>
              <w:jc w:val="left"/>
            </w:pPr>
            <w:r>
              <w:rPr>
                <w:bCs/>
                <w:b/>
              </w:rPr>
              <w:t xml:space="preserve">VIX &gt;40 → 50% reduction</w:t>
            </w:r>
          </w:p>
        </w:tc>
        <w:tc>
          <w:tcPr/>
          <w:p>
            <w:pPr>
              <w:pStyle w:val="Compact"/>
              <w:jc w:val="left"/>
            </w:pPr>
            <w:r>
              <w:rPr>
                <w:bCs/>
                <w:b/>
              </w:rPr>
              <w:t xml:space="preserve">High</w:t>
            </w:r>
          </w:p>
        </w:tc>
      </w:tr>
      <w:tr>
        <w:tc>
          <w:tcPr/>
          <w:p>
            <w:pPr>
              <w:pStyle w:val="Compact"/>
              <w:jc w:val="left"/>
            </w:pPr>
            <w:r>
              <w:t xml:space="preserve">Correlation stress guard</w:t>
            </w:r>
          </w:p>
        </w:tc>
        <w:tc>
          <w:tcPr/>
          <w:p>
            <w:pPr>
              <w:pStyle w:val="Compact"/>
              <w:jc w:val="left"/>
            </w:pPr>
            <w:r>
              <w:t xml:space="preserve">Not set</w:t>
            </w:r>
          </w:p>
        </w:tc>
        <w:tc>
          <w:tcPr/>
          <w:p>
            <w:pPr>
              <w:pStyle w:val="Compact"/>
              <w:jc w:val="left"/>
            </w:pPr>
            <w:r>
              <w:t xml:space="preserve">Correlation → 1.0 = reduce</w:t>
            </w:r>
          </w:p>
        </w:tc>
        <w:tc>
          <w:tcPr/>
          <w:p>
            <w:pPr>
              <w:pStyle w:val="Compact"/>
              <w:jc w:val="left"/>
            </w:pPr>
            <w:r>
              <w:t xml:space="preserve">Medium</w:t>
            </w:r>
          </w:p>
        </w:tc>
      </w:tr>
      <w:tr>
        <w:tc>
          <w:tcPr/>
          <w:p>
            <w:pPr>
              <w:pStyle w:val="Compact"/>
              <w:jc w:val="left"/>
            </w:pPr>
            <w:r>
              <w:t xml:space="preserve">Recovery protocol</w:t>
            </w:r>
          </w:p>
        </w:tc>
        <w:tc>
          <w:tcPr/>
          <w:p>
            <w:pPr>
              <w:pStyle w:val="Compact"/>
              <w:jc w:val="left"/>
            </w:pPr>
            <w:r>
              <w:t xml:space="preserve">Not set</w:t>
            </w:r>
          </w:p>
        </w:tc>
        <w:tc>
          <w:tcPr/>
          <w:p>
            <w:pPr>
              <w:pStyle w:val="Compact"/>
              <w:jc w:val="left"/>
            </w:pPr>
            <w:r>
              <w:t xml:space="preserve">Recover 50% of DD to resume</w:t>
            </w:r>
          </w:p>
        </w:tc>
        <w:tc>
          <w:tcPr/>
          <w:p>
            <w:pPr>
              <w:pStyle w:val="Compact"/>
              <w:jc w:val="left"/>
            </w:pPr>
            <w:r>
              <w:t xml:space="preserve">Medium</w:t>
            </w:r>
          </w:p>
        </w:tc>
      </w:tr>
    </w:tbl>
    <w:p>
      <w:pPr>
        <w:pStyle w:val="BodyText"/>
      </w:pPr>
      <w:r>
        <w:t xml:space="preserve">The daily loss limit is the most critical gap. Without a 2–3% single-day maximum loss circuit breaker, a flash crash can inflict more damage in one session than a week of disciplined trading</w:t>
      </w:r>
      <w:r>
        <w:t xml:space="preserve"> </w:t>
      </w:r>
      <w:r>
        <w:rPr>
          <w:vertAlign w:val="superscript"/>
        </w:rPr>
        <w:t xml:space="preserve">54</w:t>
      </w:r>
      <w:r>
        <w:t xml:space="preserve">. The consecutive loss halt is equally important: after 5 consecutive losses with a 77% win-rate strategy (probability 0.06%), the edge has likely broken</w:t>
      </w:r>
      <w:r>
        <w:t xml:space="preserve"> </w:t>
      </w:r>
      <w:r>
        <w:rPr>
          <w:vertAlign w:val="superscript"/>
        </w:rPr>
        <w:t xml:space="preserve">53</w:t>
      </w:r>
      <w:r>
        <w:t xml:space="preserve">. Continuing to trade under these conditions constitutes revenge trading. The recommended enhanced kill switch adds Level 0 (daily loss limit at 2% → 50% size, 3% → halt), Level 6 (5 consecutive losses → strategy review), and Level 7 (VIX &gt;40 → 50% reduction). These enhancements would raise the kill switch score from 6.0/10 to an estimated 9.0/10</w:t>
      </w:r>
      <w:r>
        <w:t xml:space="preserve"> </w:t>
      </w:r>
      <w:r>
        <w:rPr>
          <w:vertAlign w:val="superscript"/>
        </w:rPr>
        <w:t xml:space="preserve">52</w:t>
      </w:r>
      <w:r>
        <w:t xml:space="preserve">.</w:t>
      </w:r>
    </w:p>
    <w:bookmarkEnd w:id="69"/>
    <w:bookmarkStart w:id="70" w:name="cross-asset-correlation"/>
    <w:p>
      <w:pPr>
        <w:pStyle w:val="Heading3"/>
      </w:pPr>
      <w:r>
        <w:t xml:space="preserve">6.4 Cross-Asset Correlation</w:t>
      </w:r>
    </w:p>
    <w:p>
      <w:pPr>
        <w:pStyle w:val="FirstParagraph"/>
      </w:pPr>
      <w:r>
        <w:rPr>
          <w:bCs/>
          <w:b/>
        </w:rPr>
        <w:t xml:space="preserve">Table 6.4 — Cross-Asset Correlation Matrix (2020–2024 Literature Basis)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Asset</w:t>
            </w:r>
          </w:p>
        </w:tc>
        <w:tc>
          <w:tcPr/>
          <w:p>
            <w:pPr>
              <w:pStyle w:val="Compact"/>
              <w:jc w:val="center"/>
            </w:pPr>
            <w:r>
              <w:t xml:space="preserve">BTC/ETH</w:t>
            </w:r>
          </w:p>
        </w:tc>
        <w:tc>
          <w:tcPr/>
          <w:p>
            <w:pPr>
              <w:pStyle w:val="Compact"/>
              <w:jc w:val="center"/>
            </w:pPr>
            <w:r>
              <w:t xml:space="preserve">Crypto A</w:t>
            </w:r>
          </w:p>
        </w:tc>
        <w:tc>
          <w:tcPr/>
          <w:p>
            <w:pPr>
              <w:pStyle w:val="Compact"/>
              <w:jc w:val="center"/>
            </w:pPr>
            <w:r>
              <w:t xml:space="preserve">Equity</w:t>
            </w:r>
          </w:p>
        </w:tc>
        <w:tc>
          <w:tcPr/>
          <w:p>
            <w:pPr>
              <w:pStyle w:val="Compact"/>
              <w:jc w:val="center"/>
            </w:pPr>
            <w:r>
              <w:t xml:space="preserve">Forex</w:t>
            </w:r>
          </w:p>
        </w:tc>
        <w:tc>
          <w:tcPr/>
          <w:p>
            <w:pPr>
              <w:pStyle w:val="Compact"/>
              <w:jc w:val="center"/>
            </w:pPr>
            <w:r>
              <w:t xml:space="preserve">Commodity</w:t>
            </w:r>
          </w:p>
        </w:tc>
        <w:tc>
          <w:tcPr/>
          <w:p>
            <w:pPr>
              <w:pStyle w:val="Compact"/>
              <w:jc w:val="center"/>
            </w:pPr>
            <w:r>
              <w:t xml:space="preserve">Bond</w:t>
            </w:r>
          </w:p>
        </w:tc>
        <w:tc>
          <w:tcPr/>
          <w:p>
            <w:pPr>
              <w:pStyle w:val="Compact"/>
              <w:jc w:val="center"/>
            </w:pPr>
            <w:r>
              <w:t xml:space="preserve">ETF</w:t>
            </w:r>
          </w:p>
        </w:tc>
      </w:tr>
      <w:tr>
        <w:tc>
          <w:tcPr/>
          <w:p>
            <w:pPr>
              <w:pStyle w:val="Compact"/>
              <w:jc w:val="left"/>
            </w:pPr>
            <w:r>
              <w:t xml:space="preserve">BTC/ETH</w:t>
            </w:r>
          </w:p>
        </w:tc>
        <w:tc>
          <w:tcPr/>
          <w:p>
            <w:pPr>
              <w:pStyle w:val="Compact"/>
              <w:jc w:val="center"/>
            </w:pPr>
            <w:r>
              <w:t xml:space="preserve">1.00</w:t>
            </w:r>
          </w:p>
        </w:tc>
        <w:tc>
          <w:tcPr/>
          <w:p>
            <w:pPr>
              <w:pStyle w:val="Compact"/>
              <w:jc w:val="center"/>
            </w:pPr>
            <w:r>
              <w:t xml:space="preserve">0.65</w:t>
            </w:r>
          </w:p>
        </w:tc>
        <w:tc>
          <w:tcPr/>
          <w:p>
            <w:pPr>
              <w:pStyle w:val="Compact"/>
              <w:jc w:val="center"/>
            </w:pPr>
            <w:r>
              <w:t xml:space="preserve">0.45</w:t>
            </w:r>
          </w:p>
        </w:tc>
        <w:tc>
          <w:tcPr/>
          <w:p>
            <w:pPr>
              <w:pStyle w:val="Compact"/>
              <w:jc w:val="center"/>
            </w:pPr>
            <w:r>
              <w:t xml:space="preserve">0.10</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0.40</w:t>
            </w:r>
          </w:p>
        </w:tc>
      </w:tr>
      <w:tr>
        <w:tc>
          <w:tcPr/>
          <w:p>
            <w:pPr>
              <w:pStyle w:val="Compact"/>
              <w:jc w:val="left"/>
            </w:pPr>
            <w:r>
              <w:t xml:space="preserve">Crypto A</w:t>
            </w:r>
          </w:p>
        </w:tc>
        <w:tc>
          <w:tcPr/>
          <w:p>
            <w:pPr>
              <w:pStyle w:val="Compact"/>
              <w:jc w:val="center"/>
            </w:pPr>
            <w:r>
              <w:t xml:space="preserve">0.65</w:t>
            </w:r>
          </w:p>
        </w:tc>
        <w:tc>
          <w:tcPr/>
          <w:p>
            <w:pPr>
              <w:pStyle w:val="Compact"/>
              <w:jc w:val="center"/>
            </w:pPr>
            <w:r>
              <w:t xml:space="preserve">1.00</w:t>
            </w:r>
          </w:p>
        </w:tc>
        <w:tc>
          <w:tcPr/>
          <w:p>
            <w:pPr>
              <w:pStyle w:val="Compact"/>
              <w:jc w:val="center"/>
            </w:pPr>
            <w:r>
              <w:t xml:space="preserve">0.35</w:t>
            </w:r>
          </w:p>
        </w:tc>
        <w:tc>
          <w:tcPr/>
          <w:p>
            <w:pPr>
              <w:pStyle w:val="Compact"/>
              <w:jc w:val="center"/>
            </w:pPr>
            <w:r>
              <w:t xml:space="preserve">0.08</w:t>
            </w:r>
          </w:p>
        </w:tc>
        <w:tc>
          <w:tcPr/>
          <w:p>
            <w:pPr>
              <w:pStyle w:val="Compact"/>
              <w:jc w:val="center"/>
            </w:pPr>
            <w:r>
              <w:t xml:space="preserve">0.12</w:t>
            </w:r>
          </w:p>
        </w:tc>
        <w:tc>
          <w:tcPr/>
          <w:p>
            <w:pPr>
              <w:pStyle w:val="Compact"/>
              <w:jc w:val="center"/>
            </w:pPr>
            <w:r>
              <w:t xml:space="preserve">–0.03</w:t>
            </w:r>
          </w:p>
        </w:tc>
        <w:tc>
          <w:tcPr/>
          <w:p>
            <w:pPr>
              <w:pStyle w:val="Compact"/>
              <w:jc w:val="center"/>
            </w:pPr>
            <w:r>
              <w:t xml:space="preserve">0.32</w:t>
            </w:r>
          </w:p>
        </w:tc>
      </w:tr>
      <w:tr>
        <w:tc>
          <w:tcPr/>
          <w:p>
            <w:pPr>
              <w:pStyle w:val="Compact"/>
              <w:jc w:val="left"/>
            </w:pPr>
            <w:r>
              <w:t xml:space="preserve">Equity</w:t>
            </w:r>
          </w:p>
        </w:tc>
        <w:tc>
          <w:tcPr/>
          <w:p>
            <w:pPr>
              <w:pStyle w:val="Compact"/>
              <w:jc w:val="center"/>
            </w:pPr>
            <w:r>
              <w:t xml:space="preserve">0.45</w:t>
            </w:r>
          </w:p>
        </w:tc>
        <w:tc>
          <w:tcPr/>
          <w:p>
            <w:pPr>
              <w:pStyle w:val="Compact"/>
              <w:jc w:val="center"/>
            </w:pPr>
            <w:r>
              <w:t xml:space="preserve">0.35</w:t>
            </w:r>
          </w:p>
        </w:tc>
        <w:tc>
          <w:tcPr/>
          <w:p>
            <w:pPr>
              <w:pStyle w:val="Compact"/>
              <w:jc w:val="center"/>
            </w:pPr>
            <w:r>
              <w:t xml:space="preserve">1.00</w:t>
            </w:r>
          </w:p>
        </w:tc>
        <w:tc>
          <w:tcPr/>
          <w:p>
            <w:pPr>
              <w:pStyle w:val="Compact"/>
              <w:jc w:val="center"/>
            </w:pPr>
            <w:r>
              <w:t xml:space="preserve">0.15</w:t>
            </w:r>
          </w:p>
        </w:tc>
        <w:tc>
          <w:tcPr/>
          <w:p>
            <w:pPr>
              <w:pStyle w:val="Compact"/>
              <w:jc w:val="center"/>
            </w:pPr>
            <w:r>
              <w:t xml:space="preserve">0.30</w:t>
            </w:r>
          </w:p>
        </w:tc>
        <w:tc>
          <w:tcPr/>
          <w:p>
            <w:pPr>
              <w:pStyle w:val="Compact"/>
              <w:jc w:val="center"/>
            </w:pPr>
            <w:r>
              <w:rPr>
                <w:bCs/>
                <w:b/>
              </w:rPr>
              <w:t xml:space="preserve">–0.40</w:t>
            </w:r>
          </w:p>
        </w:tc>
        <w:tc>
          <w:tcPr/>
          <w:p>
            <w:pPr>
              <w:pStyle w:val="Compact"/>
              <w:jc w:val="center"/>
            </w:pPr>
            <w:r>
              <w:rPr>
                <w:bCs/>
                <w:b/>
              </w:rPr>
              <w:t xml:space="preserve">0.85</w:t>
            </w:r>
          </w:p>
        </w:tc>
      </w:tr>
      <w:tr>
        <w:tc>
          <w:tcPr/>
          <w:p>
            <w:pPr>
              <w:pStyle w:val="Compact"/>
              <w:jc w:val="left"/>
            </w:pPr>
            <w:r>
              <w:t xml:space="preserve">Forex</w:t>
            </w:r>
          </w:p>
        </w:tc>
        <w:tc>
          <w:tcPr/>
          <w:p>
            <w:pPr>
              <w:pStyle w:val="Compact"/>
              <w:jc w:val="center"/>
            </w:pPr>
            <w:r>
              <w:t xml:space="preserve">0.10</w:t>
            </w:r>
          </w:p>
        </w:tc>
        <w:tc>
          <w:tcPr/>
          <w:p>
            <w:pPr>
              <w:pStyle w:val="Compact"/>
              <w:jc w:val="center"/>
            </w:pPr>
            <w:r>
              <w:t xml:space="preserve">0.08</w:t>
            </w:r>
          </w:p>
        </w:tc>
        <w:tc>
          <w:tcPr/>
          <w:p>
            <w:pPr>
              <w:pStyle w:val="Compact"/>
              <w:jc w:val="center"/>
            </w:pPr>
            <w:r>
              <w:t xml:space="preserve">0.15</w:t>
            </w:r>
          </w:p>
        </w:tc>
        <w:tc>
          <w:tcPr/>
          <w:p>
            <w:pPr>
              <w:pStyle w:val="Compact"/>
              <w:jc w:val="center"/>
            </w:pPr>
            <w:r>
              <w:t xml:space="preserve">1.00</w:t>
            </w:r>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0.12</w:t>
            </w:r>
          </w:p>
        </w:tc>
      </w:tr>
      <w:tr>
        <w:tc>
          <w:tcPr/>
          <w:p>
            <w:pPr>
              <w:pStyle w:val="Compact"/>
              <w:jc w:val="left"/>
            </w:pPr>
            <w:r>
              <w:t xml:space="preserve">Commodity</w:t>
            </w:r>
          </w:p>
        </w:tc>
        <w:tc>
          <w:tcPr/>
          <w:p>
            <w:pPr>
              <w:pStyle w:val="Compact"/>
              <w:jc w:val="center"/>
            </w:pPr>
            <w:r>
              <w:t xml:space="preserve">0.15</w:t>
            </w:r>
          </w:p>
        </w:tc>
        <w:tc>
          <w:tcPr/>
          <w:p>
            <w:pPr>
              <w:pStyle w:val="Compact"/>
              <w:jc w:val="center"/>
            </w:pPr>
            <w:r>
              <w:t xml:space="preserve">0.12</w:t>
            </w:r>
          </w:p>
        </w:tc>
        <w:tc>
          <w:tcPr/>
          <w:p>
            <w:pPr>
              <w:pStyle w:val="Compact"/>
              <w:jc w:val="center"/>
            </w:pPr>
            <w:r>
              <w:t xml:space="preserve">0.30</w:t>
            </w:r>
          </w:p>
        </w:tc>
        <w:tc>
          <w:tcPr/>
          <w:p>
            <w:pPr>
              <w:pStyle w:val="Compact"/>
              <w:jc w:val="center"/>
            </w:pPr>
            <w:r>
              <w:t xml:space="preserve">0.10</w:t>
            </w:r>
          </w:p>
        </w:tc>
        <w:tc>
          <w:tcPr/>
          <w:p>
            <w:pPr>
              <w:pStyle w:val="Compact"/>
              <w:jc w:val="center"/>
            </w:pPr>
            <w:r>
              <w:t xml:space="preserve">1.00</w:t>
            </w:r>
          </w:p>
        </w:tc>
        <w:tc>
          <w:tcPr/>
          <w:p>
            <w:pPr>
              <w:pStyle w:val="Compact"/>
              <w:jc w:val="center"/>
            </w:pPr>
            <w:r>
              <w:t xml:space="preserve">–0.20</w:t>
            </w:r>
          </w:p>
        </w:tc>
        <w:tc>
          <w:tcPr/>
          <w:p>
            <w:pPr>
              <w:pStyle w:val="Compact"/>
              <w:jc w:val="center"/>
            </w:pPr>
            <w:r>
              <w:t xml:space="preserve">0.25</w:t>
            </w:r>
          </w:p>
        </w:tc>
      </w:tr>
      <w:tr>
        <w:tc>
          <w:tcPr/>
          <w:p>
            <w:pPr>
              <w:pStyle w:val="Compact"/>
              <w:jc w:val="left"/>
            </w:pPr>
            <w:r>
              <w:t xml:space="preserve">Bond</w:t>
            </w:r>
          </w:p>
        </w:tc>
        <w:tc>
          <w:tcPr/>
          <w:p>
            <w:pPr>
              <w:pStyle w:val="Compact"/>
              <w:jc w:val="center"/>
            </w:pPr>
            <w:r>
              <w:t xml:space="preserve">–0.05</w:t>
            </w:r>
          </w:p>
        </w:tc>
        <w:tc>
          <w:tcPr/>
          <w:p>
            <w:pPr>
              <w:pStyle w:val="Compact"/>
              <w:jc w:val="center"/>
            </w:pPr>
            <w:r>
              <w:t xml:space="preserve">–0.03</w:t>
            </w:r>
          </w:p>
        </w:tc>
        <w:tc>
          <w:tcPr/>
          <w:p>
            <w:pPr>
              <w:pStyle w:val="Compact"/>
              <w:jc w:val="center"/>
            </w:pPr>
            <w:r>
              <w:rPr>
                <w:bCs/>
                <w:b/>
              </w:rPr>
              <w:t xml:space="preserve">–0.40</w:t>
            </w:r>
          </w:p>
        </w:tc>
        <w:tc>
          <w:tcPr/>
          <w:p>
            <w:pPr>
              <w:pStyle w:val="Compact"/>
              <w:jc w:val="center"/>
            </w:pPr>
            <w:r>
              <w:t xml:space="preserve">0.05</w:t>
            </w:r>
          </w:p>
        </w:tc>
        <w:tc>
          <w:tcPr/>
          <w:p>
            <w:pPr>
              <w:pStyle w:val="Compact"/>
              <w:jc w:val="center"/>
            </w:pPr>
            <w:r>
              <w:t xml:space="preserve">–0.20</w:t>
            </w:r>
          </w:p>
        </w:tc>
        <w:tc>
          <w:tcPr/>
          <w:p>
            <w:pPr>
              <w:pStyle w:val="Compact"/>
              <w:jc w:val="center"/>
            </w:pPr>
            <w:r>
              <w:t xml:space="preserve">1.00</w:t>
            </w:r>
          </w:p>
        </w:tc>
        <w:tc>
          <w:tcPr/>
          <w:p>
            <w:pPr>
              <w:pStyle w:val="Compact"/>
              <w:jc w:val="center"/>
            </w:pPr>
            <w:r>
              <w:t xml:space="preserve">–0.35</w:t>
            </w:r>
          </w:p>
        </w:tc>
      </w:tr>
      <w:tr>
        <w:tc>
          <w:tcPr/>
          <w:p>
            <w:pPr>
              <w:pStyle w:val="Compact"/>
              <w:jc w:val="left"/>
            </w:pPr>
            <w:r>
              <w:t xml:space="preserve">ETF</w:t>
            </w:r>
          </w:p>
        </w:tc>
        <w:tc>
          <w:tcPr/>
          <w:p>
            <w:pPr>
              <w:pStyle w:val="Compact"/>
              <w:jc w:val="center"/>
            </w:pPr>
            <w:r>
              <w:t xml:space="preserve">0.40</w:t>
            </w:r>
          </w:p>
        </w:tc>
        <w:tc>
          <w:tcPr/>
          <w:p>
            <w:pPr>
              <w:pStyle w:val="Compact"/>
              <w:jc w:val="center"/>
            </w:pPr>
            <w:r>
              <w:t xml:space="preserve">0.32</w:t>
            </w:r>
          </w:p>
        </w:tc>
        <w:tc>
          <w:tcPr/>
          <w:p>
            <w:pPr>
              <w:pStyle w:val="Compact"/>
              <w:jc w:val="center"/>
            </w:pPr>
            <w:r>
              <w:rPr>
                <w:bCs/>
                <w:b/>
              </w:rPr>
              <w:t xml:space="preserve">0.85</w:t>
            </w:r>
          </w:p>
        </w:tc>
        <w:tc>
          <w:tcPr/>
          <w:p>
            <w:pPr>
              <w:pStyle w:val="Compact"/>
              <w:jc w:val="center"/>
            </w:pPr>
            <w:r>
              <w:t xml:space="preserve">0.12</w:t>
            </w:r>
          </w:p>
        </w:tc>
        <w:tc>
          <w:tcPr/>
          <w:p>
            <w:pPr>
              <w:pStyle w:val="Compact"/>
              <w:jc w:val="center"/>
            </w:pPr>
            <w:r>
              <w:t xml:space="preserve">0.25</w:t>
            </w:r>
          </w:p>
        </w:tc>
        <w:tc>
          <w:tcPr/>
          <w:p>
            <w:pPr>
              <w:pStyle w:val="Compact"/>
              <w:jc w:val="center"/>
            </w:pPr>
            <w:r>
              <w:t xml:space="preserve">–0.35</w:t>
            </w:r>
          </w:p>
        </w:tc>
        <w:tc>
          <w:tcPr/>
          <w:p>
            <w:pPr>
              <w:pStyle w:val="Compact"/>
              <w:jc w:val="center"/>
            </w:pPr>
            <w:r>
              <w:t xml:space="preserve">1.00</w:t>
            </w:r>
          </w:p>
        </w:tc>
      </w:tr>
    </w:tbl>
    <w:p>
      <w:pPr>
        <w:pStyle w:val="BodyText"/>
      </w:pPr>
      <w:r>
        <w:t xml:space="preserve">The diversification matrix reveals that the portfolio’s nine asset classes collapse to approximately four independent bets. The most damaging concentration is the</w:t>
      </w:r>
      <w:r>
        <w:t xml:space="preserve"> </w:t>
      </w:r>
      <w:r>
        <w:rPr>
          <w:bCs/>
          <w:b/>
        </w:rPr>
        <w:t xml:space="preserve">ETF-equity correlation of 0.85</w:t>
      </w:r>
      <w:r>
        <w:t xml:space="preserve">, which effectively means these two categories represent a single position for risk-limit purposes</w:t>
      </w:r>
      <w:r>
        <w:t xml:space="preserve"> </w:t>
      </w:r>
      <w:r>
        <w:rPr>
          <w:vertAlign w:val="superscript"/>
        </w:rPr>
        <w:t xml:space="preserve">55</w:t>
      </w:r>
      <w:r>
        <w:t xml:space="preserve"> </w:t>
      </w:r>
      <w:r>
        <w:rPr>
          <w:vertAlign w:val="superscript"/>
        </w:rPr>
        <w:t xml:space="preserve">56</w:t>
      </w:r>
      <w:r>
        <w:t xml:space="preserve">. Bonds provide the only true negative correlation to equities (–0.40) and are currently underweighted relative to their hedging value. Forex displays the lowest average correlation with all other assets (~0.10) and functions as the portfolio’s best diversifier, yet receives only 0.85% allocation under the current distribution</w:t>
      </w:r>
      <w:r>
        <w:t xml:space="preserve"> </w:t>
      </w:r>
      <w:r>
        <w:rPr>
          <w:vertAlign w:val="superscript"/>
        </w:rPr>
        <w:t xml:space="preserve">57</w:t>
      </w:r>
      <w:r>
        <w:t xml:space="preserve">. Crypto internal correlation is high (0.65 between S-tier and A-tier), meaning all crypto positions should be aggregated for concentration limit purposes — the crypto S-tier + A-tier + B-tier combination effectively acts as 1.5 independent bets, not 3</w:t>
      </w:r>
      <w:r>
        <w:t xml:space="preserve"> </w:t>
      </w:r>
      <w:r>
        <w:rPr>
          <w:vertAlign w:val="superscript"/>
        </w:rPr>
        <w:t xml:space="preserve">58</w:t>
      </w:r>
      <w:r>
        <w:t xml:space="preserve"> </w:t>
      </w:r>
      <w:r>
        <w:rPr>
          <w:vertAlign w:val="superscript"/>
        </w:rPr>
        <w:t xml:space="preserve">59</w:t>
      </w:r>
      <w:r>
        <w:t xml:space="preserve">.</w:t>
      </w:r>
    </w:p>
    <w:p>
      <w:pPr>
        <w:pStyle w:val="BodyText"/>
      </w:pPr>
      <w:r>
        <w:t xml:space="preserve">In stress periods, the crypto-equity correlation can spike to 0.60+, further reducing independent exposures</w:t>
      </w:r>
      <w:r>
        <w:t xml:space="preserve"> </w:t>
      </w:r>
      <w:r>
        <w:rPr>
          <w:vertAlign w:val="superscript"/>
        </w:rPr>
        <w:t xml:space="preserve">60</w:t>
      </w:r>
      <w:r>
        <w:t xml:space="preserve">. The recommended remediation aggregates ETF with equity, aggregates all crypto tiers, increases bond allocation to 2.5–3.0% (from 1.71%), and increases forex to 1.5% (from 0.85%). These changes would raise the diversification score from 5.2 to an estimated 7.5 while maintaining the same total position exposure.</w:t>
      </w:r>
    </w:p>
    <w:p>
      <w:r>
        <w:pict>
          <v:rect style="width:0;height:1.5pt" o:hralign="center" o:hrstd="t" o:hr="t"/>
        </w:pict>
      </w:r>
    </w:p>
    <w:bookmarkEnd w:id="70"/>
    <w:bookmarkEnd w:id="71"/>
    <w:bookmarkStart w:id="77" w:name="X4525d92df38cc6523c447bc4395dd1f12a09d3a"/>
    <w:p>
      <w:pPr>
        <w:pStyle w:val="Heading2"/>
      </w:pPr>
      <w:r>
        <w:t xml:space="preserve">7. Penny Stocks and Meme Coins: High-Risk Deep Dive</w:t>
      </w:r>
    </w:p>
    <w:bookmarkStart w:id="72" w:name="penny-stock-viability"/>
    <w:p>
      <w:pPr>
        <w:pStyle w:val="Heading3"/>
      </w:pPr>
      <w:r>
        <w:t xml:space="preserve">7.1 Penny Stock Viability</w:t>
      </w:r>
    </w:p>
    <w:p>
      <w:pPr>
        <w:pStyle w:val="FirstParagraph"/>
      </w:pPr>
      <w:r>
        <w:t xml:space="preserve">Academic evidence on penny stock profitability is overwhelmingly negative for small investors. Peer-reviewed studies consistently show average annual returns of –24% to –27%, with median returns of –37% — meaning more than half of penny stocks lose over one-third of their value annually</w:t>
      </w:r>
      <w:r>
        <w:t xml:space="preserve"> </w:t>
      </w:r>
      <w:r>
        <w:rPr>
          <w:vertAlign w:val="superscript"/>
        </w:rPr>
        <w:t xml:space="preserve">61</w:t>
      </w:r>
      <w:r>
        <w:t xml:space="preserve"> </w:t>
      </w:r>
      <w:r>
        <w:rPr>
          <w:vertAlign w:val="superscript"/>
        </w:rPr>
        <w:t xml:space="preserve">62</w:t>
      </w:r>
      <w:r>
        <w:t xml:space="preserve">. Table 7.1 summarizes the key academic findings.</w:t>
      </w:r>
    </w:p>
    <w:p>
      <w:pPr>
        <w:pStyle w:val="BodyText"/>
      </w:pPr>
      <w:r>
        <w:rPr>
          <w:bCs/>
          <w:b/>
        </w:rPr>
        <w:t xml:space="preserve">Table 7.1 — Academic Evidence on Penny Stock Returns</w:t>
      </w:r>
    </w:p>
    <w:tbl>
      <w:tblPr>
        <w:tblStyle w:val="Table"/>
        <w:tblW w:type="pct" w:w="5000"/>
        <w:tblLook w:firstRow="1" w:lastRow="0" w:firstColumn="0" w:lastColumn="0" w:noHBand="0" w:noVBand="0" w:val="0020"/>
      </w:tblPr>
      <w:tblGrid>
        <w:gridCol w:w="792"/>
        <w:gridCol w:w="905"/>
        <w:gridCol w:w="905"/>
        <w:gridCol w:w="2149"/>
        <w:gridCol w:w="1697"/>
        <w:gridCol w:w="1470"/>
      </w:tblGrid>
      <w:tr>
        <w:trPr>
          <w:tblHeader w:val="true"/>
        </w:trPr>
        <w:tc>
          <w:tcPr/>
          <w:p>
            <w:pPr>
              <w:pStyle w:val="Compact"/>
              <w:jc w:val="left"/>
            </w:pPr>
            <w:r>
              <w:t xml:space="preserve">Study</w:t>
            </w:r>
          </w:p>
        </w:tc>
        <w:tc>
          <w:tcPr/>
          <w:p>
            <w:pPr>
              <w:pStyle w:val="Compact"/>
              <w:jc w:val="left"/>
            </w:pPr>
            <w:r>
              <w:t xml:space="preserve">Period</w:t>
            </w:r>
          </w:p>
        </w:tc>
        <w:tc>
          <w:tcPr/>
          <w:p>
            <w:pPr>
              <w:pStyle w:val="Compact"/>
              <w:jc w:val="left"/>
            </w:pPr>
            <w:r>
              <w:t xml:space="preserve">Sample</w:t>
            </w:r>
          </w:p>
        </w:tc>
        <w:tc>
          <w:tcPr/>
          <w:p>
            <w:pPr>
              <w:pStyle w:val="Compact"/>
              <w:jc w:val="center"/>
            </w:pPr>
            <w:r>
              <w:t xml:space="preserve">Avg Annual Return</w:t>
            </w:r>
          </w:p>
        </w:tc>
        <w:tc>
          <w:tcPr/>
          <w:p>
            <w:pPr>
              <w:pStyle w:val="Compact"/>
              <w:jc w:val="center"/>
            </w:pPr>
            <w:r>
              <w:t xml:space="preserve">Median Return</w:t>
            </w:r>
          </w:p>
        </w:tc>
        <w:tc>
          <w:tcPr/>
          <w:p>
            <w:pPr>
              <w:pStyle w:val="Compact"/>
              <w:jc w:val="left"/>
            </w:pPr>
            <w:r>
              <w:t xml:space="preserve">Key Finding</w:t>
            </w:r>
          </w:p>
        </w:tc>
      </w:tr>
      <w:tr>
        <w:tc>
          <w:tcPr/>
          <w:p>
            <w:pPr>
              <w:pStyle w:val="Compact"/>
              <w:jc w:val="left"/>
            </w:pPr>
            <w:r>
              <w:t xml:space="preserve">Bruggemann et al. (2016)</w:t>
            </w:r>
            <w:r>
              <w:t xml:space="preserve"> </w:t>
            </w:r>
            <w:r>
              <w:rPr>
                <w:vertAlign w:val="superscript"/>
              </w:rPr>
              <w:t xml:space="preserve">61</w:t>
            </w:r>
            <w:r>
              <w:t xml:space="preserve"> </w:t>
            </w:r>
            <w:r>
              <w:rPr>
                <w:vertAlign w:val="superscript"/>
              </w:rPr>
              <w:t xml:space="preserve">62</w:t>
            </w:r>
          </w:p>
        </w:tc>
        <w:tc>
          <w:tcPr/>
          <w:p>
            <w:pPr>
              <w:pStyle w:val="Compact"/>
              <w:jc w:val="left"/>
            </w:pPr>
            <w:r>
              <w:t xml:space="preserve">2001–2010</w:t>
            </w:r>
          </w:p>
        </w:tc>
        <w:tc>
          <w:tcPr/>
          <w:p>
            <w:pPr>
              <w:pStyle w:val="Compact"/>
              <w:jc w:val="left"/>
            </w:pPr>
            <w:r>
              <w:t xml:space="preserve">10,000+ OTC stocks</w:t>
            </w:r>
          </w:p>
        </w:tc>
        <w:tc>
          <w:tcPr/>
          <w:p>
            <w:pPr>
              <w:pStyle w:val="Compact"/>
              <w:jc w:val="center"/>
            </w:pPr>
            <w:r>
              <w:rPr>
                <w:bCs/>
                <w:b/>
              </w:rPr>
              <w:t xml:space="preserve">–27%</w:t>
            </w:r>
          </w:p>
        </w:tc>
        <w:tc>
          <w:tcPr/>
          <w:p>
            <w:pPr>
              <w:pStyle w:val="Compact"/>
              <w:jc w:val="center"/>
            </w:pPr>
            <w:r>
              <w:rPr>
                <w:bCs/>
                <w:b/>
              </w:rPr>
              <w:t xml:space="preserve">–37%</w:t>
            </w:r>
          </w:p>
        </w:tc>
        <w:tc>
          <w:tcPr/>
          <w:p>
            <w:pPr>
              <w:pStyle w:val="Compact"/>
              <w:jc w:val="left"/>
            </w:pPr>
            <w:r>
              <w:t xml:space="preserve">5-year survival rate 60–90%; volatility &gt;2× Nasdaq-listed</w:t>
            </w:r>
          </w:p>
        </w:tc>
      </w:tr>
      <w:tr>
        <w:tc>
          <w:tcPr/>
          <w:p>
            <w:pPr>
              <w:pStyle w:val="Compact"/>
              <w:jc w:val="left"/>
            </w:pPr>
            <w:r>
              <w:t xml:space="preserve">Eraker &amp; Ready (2015)</w:t>
            </w:r>
            <w:r>
              <w:t xml:space="preserve"> </w:t>
            </w:r>
            <w:r>
              <w:rPr>
                <w:vertAlign w:val="superscript"/>
              </w:rPr>
              <w:t xml:space="preserve">61</w:t>
            </w:r>
          </w:p>
        </w:tc>
        <w:tc>
          <w:tcPr/>
          <w:p>
            <w:pPr>
              <w:pStyle w:val="Compact"/>
              <w:jc w:val="left"/>
            </w:pPr>
            <w:r>
              <w:t xml:space="preserve">2000–2008</w:t>
            </w:r>
          </w:p>
        </w:tc>
        <w:tc>
          <w:tcPr/>
          <w:p>
            <w:pPr>
              <w:pStyle w:val="Compact"/>
              <w:jc w:val="left"/>
            </w:pPr>
            <w:r>
              <w:t xml:space="preserve">~OTC stocks</w:t>
            </w:r>
          </w:p>
        </w:tc>
        <w:tc>
          <w:tcPr/>
          <w:p>
            <w:pPr>
              <w:pStyle w:val="Compact"/>
              <w:jc w:val="center"/>
            </w:pPr>
            <w:r>
              <w:rPr>
                <w:bCs/>
                <w:b/>
              </w:rPr>
              <w:t xml:space="preserve">–24%</w:t>
            </w:r>
          </w:p>
        </w:tc>
        <w:tc>
          <w:tcPr/>
          <w:p>
            <w:pPr>
              <w:pStyle w:val="Compact"/>
              <w:jc w:val="center"/>
            </w:pPr>
            <w:r>
              <w:t xml:space="preserve">—</w:t>
            </w:r>
          </w:p>
        </w:tc>
        <w:tc>
          <w:tcPr/>
          <w:p>
            <w:pPr>
              <w:pStyle w:val="Compact"/>
              <w:jc w:val="left"/>
            </w:pPr>
            <w:r>
              <w:t xml:space="preserve">Aggregate investor losses:</w:t>
            </w:r>
            <w:r>
              <w:t xml:space="preserve"> </w:t>
            </w:r>
            <w:r>
              <w:rPr>
                <w:bCs/>
                <w:b/>
              </w:rPr>
              <w:t xml:space="preserve">$180 billion</w:t>
            </w:r>
          </w:p>
        </w:tc>
      </w:tr>
      <w:tr>
        <w:tc>
          <w:tcPr/>
          <w:p>
            <w:pPr>
              <w:pStyle w:val="Compact"/>
              <w:jc w:val="left"/>
            </w:pPr>
            <w:r>
              <w:t xml:space="preserve">Ang, Shtauber &amp; Tetlock (2013)</w:t>
            </w:r>
            <w:r>
              <w:t xml:space="preserve"> </w:t>
            </w:r>
            <w:r>
              <w:rPr>
                <w:vertAlign w:val="superscript"/>
              </w:rPr>
              <w:t xml:space="preserve">61</w:t>
            </w:r>
          </w:p>
        </w:tc>
        <w:tc>
          <w:tcPr/>
          <w:p>
            <w:pPr>
              <w:pStyle w:val="Compact"/>
              <w:jc w:val="left"/>
            </w:pPr>
            <w:r>
              <w:t xml:space="preserve">Multi-year</w:t>
            </w:r>
          </w:p>
        </w:tc>
        <w:tc>
          <w:tcPr/>
          <w:p>
            <w:pPr>
              <w:pStyle w:val="Compact"/>
              <w:jc w:val="left"/>
            </w:pPr>
            <w:r>
              <w:t xml:space="preserve">OTC stocks</w:t>
            </w:r>
          </w:p>
        </w:tc>
        <w:tc>
          <w:tcPr/>
          <w:p>
            <w:pPr>
              <w:pStyle w:val="Compact"/>
              <w:jc w:val="center"/>
            </w:pPr>
            <w:r>
              <w:t xml:space="preserve">Negative risk-adjusted</w:t>
            </w:r>
          </w:p>
        </w:tc>
        <w:tc>
          <w:tcPr/>
          <w:p>
            <w:pPr>
              <w:pStyle w:val="Compact"/>
              <w:jc w:val="center"/>
            </w:pPr>
            <w:r>
              <w:t xml:space="preserve">—</w:t>
            </w:r>
          </w:p>
        </w:tc>
        <w:tc>
          <w:tcPr/>
          <w:p>
            <w:pPr>
              <w:pStyle w:val="Compact"/>
              <w:jc w:val="left"/>
            </w:pPr>
            <w:r>
              <w:t xml:space="preserve">Negative returns unexplained by systematic risk factors</w:t>
            </w:r>
          </w:p>
        </w:tc>
      </w:tr>
      <w:tr>
        <w:tc>
          <w:tcPr/>
          <w:p>
            <w:pPr>
              <w:pStyle w:val="Compact"/>
              <w:jc w:val="left"/>
            </w:pPr>
            <w:r>
              <w:t xml:space="preserve">Verdad Advisors (2024)</w:t>
            </w:r>
            <w:r>
              <w:t xml:space="preserve"> </w:t>
            </w:r>
            <w:r>
              <w:rPr>
                <w:vertAlign w:val="superscript"/>
              </w:rPr>
              <w:t xml:space="preserve">63</w:t>
            </w:r>
            <w:r>
              <w:t xml:space="preserve"> </w:t>
            </w:r>
            <w:r>
              <w:rPr>
                <w:vertAlign w:val="superscript"/>
              </w:rPr>
              <w:t xml:space="preserve">64</w:t>
            </w:r>
          </w:p>
        </w:tc>
        <w:tc>
          <w:tcPr/>
          <w:p>
            <w:pPr>
              <w:pStyle w:val="Compact"/>
              <w:jc w:val="left"/>
            </w:pPr>
            <w:r>
              <w:t xml:space="preserve">1996–May 2024</w:t>
            </w:r>
          </w:p>
        </w:tc>
        <w:tc>
          <w:tcPr/>
          <w:p>
            <w:pPr>
              <w:pStyle w:val="Compact"/>
              <w:jc w:val="left"/>
            </w:pPr>
            <w:r>
              <w:t xml:space="preserve">Sub-$5 stocks</w:t>
            </w:r>
          </w:p>
        </w:tc>
        <w:tc>
          <w:tcPr/>
          <w:p>
            <w:pPr>
              <w:pStyle w:val="Compact"/>
              <w:jc w:val="center"/>
            </w:pPr>
            <w:r>
              <w:t xml:space="preserve">+0.9% (equal-weight)</w:t>
            </w:r>
          </w:p>
        </w:tc>
        <w:tc>
          <w:tcPr/>
          <w:p>
            <w:pPr>
              <w:pStyle w:val="Compact"/>
              <w:jc w:val="center"/>
            </w:pPr>
            <w:r>
              <w:t xml:space="preserve">—</w:t>
            </w:r>
          </w:p>
        </w:tc>
        <w:tc>
          <w:tcPr/>
          <w:p>
            <w:pPr>
              <w:pStyle w:val="Compact"/>
              <w:jc w:val="left"/>
            </w:pPr>
            <w:r>
              <w:t xml:space="preserve">Cap-weighted return:</w:t>
            </w:r>
            <w:r>
              <w:t xml:space="preserve"> </w:t>
            </w:r>
            <w:r>
              <w:rPr>
                <w:bCs/>
                <w:b/>
              </w:rPr>
              <w:t xml:space="preserve">–60%</w:t>
            </w:r>
            <w:r>
              <w:t xml:space="preserve">; Sharpe:</w:t>
            </w:r>
            <w:r>
              <w:t xml:space="preserve"> </w:t>
            </w:r>
            <w:r>
              <w:rPr>
                <w:bCs/>
                <w:b/>
              </w:rPr>
              <w:t xml:space="preserve">–2.06</w:t>
            </w:r>
          </w:p>
        </w:tc>
      </w:tr>
      <w:tr>
        <w:tc>
          <w:tcPr/>
          <w:p>
            <w:pPr>
              <w:pStyle w:val="Compact"/>
              <w:jc w:val="left"/>
            </w:pPr>
            <w:r>
              <w:t xml:space="preserve">Konku et al. (2012)</w:t>
            </w:r>
            <w:r>
              <w:t xml:space="preserve"> </w:t>
            </w:r>
            <w:r>
              <w:rPr>
                <w:vertAlign w:val="superscript"/>
              </w:rPr>
              <w:t xml:space="preserve">65</w:t>
            </w:r>
          </w:p>
        </w:tc>
        <w:tc>
          <w:tcPr/>
          <w:p>
            <w:pPr>
              <w:pStyle w:val="Compact"/>
              <w:jc w:val="left"/>
            </w:pPr>
            <w:r>
              <w:t xml:space="preserve">Multi-year</w:t>
            </w:r>
          </w:p>
        </w:tc>
        <w:tc>
          <w:tcPr/>
          <w:p>
            <w:pPr>
              <w:pStyle w:val="Compact"/>
              <w:jc w:val="left"/>
            </w:pPr>
            <w:r>
              <w:t xml:space="preserve">Penny stocks</w:t>
            </w:r>
          </w:p>
        </w:tc>
        <w:tc>
          <w:tcPr/>
          <w:p>
            <w:pPr>
              <w:pStyle w:val="Compact"/>
              <w:jc w:val="center"/>
            </w:pPr>
            <w:r>
              <w:t xml:space="preserve">18–20% (first year only)</w:t>
            </w:r>
          </w:p>
        </w:tc>
        <w:tc>
          <w:tcPr/>
          <w:p>
            <w:pPr>
              <w:pStyle w:val="Compact"/>
              <w:jc w:val="center"/>
            </w:pPr>
            <w:r>
              <w:t xml:space="preserve">—</w:t>
            </w:r>
          </w:p>
        </w:tc>
        <w:tc>
          <w:tcPr/>
          <w:p>
            <w:pPr>
              <w:pStyle w:val="Compact"/>
              <w:jc w:val="left"/>
            </w:pPr>
            <w:r>
              <w:t xml:space="preserve">Returns collapse after month 13; optimal hold: 11 months</w:t>
            </w:r>
          </w:p>
        </w:tc>
      </w:tr>
    </w:tbl>
    <w:p>
      <w:pPr>
        <w:pStyle w:val="BodyText"/>
      </w:pPr>
      <w:r>
        <w:t xml:space="preserve">The distribution of penny stock returns is critically important: the equal-weighted average of +0.9% versus the cap-weighted return of –60% demonstrates extreme positive skewness. A handful of stocks produce massive gains while the vast majority destroy capital — the classic</w:t>
      </w:r>
      <w:r>
        <w:t xml:space="preserve"> </w:t>
      </w:r>
      <w:r>
        <w:t xml:space="preserve">“</w:t>
      </w:r>
      <w:r>
        <w:t xml:space="preserve">lottery ticket</w:t>
      </w:r>
      <w:r>
        <w:t xml:space="preserve">”</w:t>
      </w:r>
      <w:r>
        <w:t xml:space="preserve"> </w:t>
      </w:r>
      <w:r>
        <w:t xml:space="preserve">distribution that attracts retail investors while systematically transferring wealth to insiders and promoters</w:t>
      </w:r>
      <w:r>
        <w:t xml:space="preserve"> </w:t>
      </w:r>
      <w:r>
        <w:rPr>
          <w:vertAlign w:val="superscript"/>
        </w:rPr>
        <w:t xml:space="preserve">64</w:t>
      </w:r>
      <w:r>
        <w:t xml:space="preserve">. The</w:t>
      </w:r>
      <w:r>
        <w:t xml:space="preserve"> </w:t>
      </w:r>
      <w:r>
        <w:t xml:space="preserve">“</w:t>
      </w:r>
      <w:r>
        <w:t xml:space="preserve">most liquid subset</w:t>
      </w:r>
      <w:r>
        <w:t xml:space="preserve">”</w:t>
      </w:r>
      <w:r>
        <w:t xml:space="preserve"> </w:t>
      </w:r>
      <w:r>
        <w:t xml:space="preserve">exception identified by Verdad Advisors — timing entry via collapsing high-yield spreads following market panic — is statistically significant but represents a narrow, contrarian crisis-investing strategy fundamentally different from typical retail momentum chasing</w:t>
      </w:r>
      <w:r>
        <w:t xml:space="preserve"> </w:t>
      </w:r>
      <w:r>
        <w:rPr>
          <w:vertAlign w:val="superscript"/>
        </w:rPr>
        <w:t xml:space="preserve">64</w:t>
      </w:r>
      <w:r>
        <w:t xml:space="preserve">.</w:t>
      </w:r>
    </w:p>
    <w:p>
      <w:pPr>
        <w:pStyle w:val="BodyText"/>
      </w:pPr>
      <w:r>
        <w:rPr>
          <w:bCs/>
          <w:b/>
        </w:rPr>
        <w:t xml:space="preserve">Table 7.2 — Cost Structure: Penny Stocks vs. Large-Cap Equities</w:t>
      </w:r>
    </w:p>
    <w:tbl>
      <w:tblPr>
        <w:tblStyle w:val="Table"/>
        <w:tblW w:type="pct" w:w="5000"/>
        <w:tblLook w:firstRow="1" w:lastRow="0" w:firstColumn="0" w:lastColumn="0" w:noHBand="0" w:noVBand="0" w:val="0020"/>
      </w:tblPr>
      <w:tblGrid>
        <w:gridCol w:w="1545"/>
        <w:gridCol w:w="1448"/>
        <w:gridCol w:w="2318"/>
        <w:gridCol w:w="1835"/>
        <w:gridCol w:w="772"/>
      </w:tblGrid>
      <w:tr>
        <w:trPr>
          <w:tblHeader w:val="true"/>
        </w:trPr>
        <w:tc>
          <w:tcPr/>
          <w:p>
            <w:pPr>
              <w:pStyle w:val="Compact"/>
              <w:jc w:val="left"/>
            </w:pPr>
            <w:r>
              <w:t xml:space="preserve">Cost Component</w:t>
            </w:r>
          </w:p>
        </w:tc>
        <w:tc>
          <w:tcPr/>
          <w:p>
            <w:pPr>
              <w:pStyle w:val="Compact"/>
              <w:jc w:val="center"/>
            </w:pPr>
            <w:r>
              <w:t xml:space="preserve">S&amp;P 500 Stocks</w:t>
            </w:r>
          </w:p>
        </w:tc>
        <w:tc>
          <w:tcPr/>
          <w:p>
            <w:pPr>
              <w:pStyle w:val="Compact"/>
              <w:jc w:val="center"/>
            </w:pPr>
            <w:r>
              <w:t xml:space="preserve">Microcap Stocks ($1–$5)</w:t>
            </w:r>
          </w:p>
        </w:tc>
        <w:tc>
          <w:tcPr/>
          <w:p>
            <w:pPr>
              <w:pStyle w:val="Compact"/>
              <w:jc w:val="center"/>
            </w:pPr>
            <w:r>
              <w:t xml:space="preserve">Sub-$1 OTC Stocks</w:t>
            </w:r>
          </w:p>
        </w:tc>
        <w:tc>
          <w:tcPr/>
          <w:p>
            <w:pPr>
              <w:pStyle w:val="Compact"/>
              <w:jc w:val="left"/>
            </w:pPr>
            <w:r>
              <w:t xml:space="preserve">Source</w:t>
            </w:r>
          </w:p>
        </w:tc>
      </w:tr>
      <w:tr>
        <w:tc>
          <w:tcPr/>
          <w:p>
            <w:pPr>
              <w:pStyle w:val="Compact"/>
              <w:jc w:val="left"/>
            </w:pPr>
            <w:r>
              <w:t xml:space="preserve">Bid-ask spread</w:t>
            </w:r>
          </w:p>
        </w:tc>
        <w:tc>
          <w:tcPr/>
          <w:p>
            <w:pPr>
              <w:pStyle w:val="Compact"/>
              <w:jc w:val="center"/>
            </w:pPr>
            <w:r>
              <w:t xml:space="preserve">0.01–0.05%</w:t>
            </w:r>
          </w:p>
        </w:tc>
        <w:tc>
          <w:tcPr/>
          <w:p>
            <w:pPr>
              <w:pStyle w:val="Compact"/>
              <w:jc w:val="center"/>
            </w:pPr>
            <w:r>
              <w:rPr>
                <w:bCs/>
                <w:b/>
              </w:rPr>
              <w:t xml:space="preserve">1–3%</w:t>
            </w:r>
          </w:p>
        </w:tc>
        <w:tc>
          <w:tcPr/>
          <w:p>
            <w:pPr>
              <w:pStyle w:val="Compact"/>
              <w:jc w:val="center"/>
            </w:pPr>
            <w:r>
              <w:rPr>
                <w:bCs/>
                <w:b/>
              </w:rPr>
              <w:t xml:space="preserve">5–50%+</w:t>
            </w:r>
            <w:r>
              <w:t xml:space="preserve"> </w:t>
            </w:r>
            <w:r>
              <w:t xml:space="preserve">of share price</w:t>
            </w:r>
          </w:p>
        </w:tc>
        <w:tc>
          <w:tcPr/>
          <w:p>
            <w:pPr>
              <w:pStyle w:val="Compact"/>
              <w:jc w:val="left"/>
            </w:pPr>
            <w:r>
              <w:t xml:space="preserve">Market data</w:t>
            </w:r>
            <w:r>
              <w:t xml:space="preserve"> </w:t>
            </w:r>
            <w:r>
              <w:rPr>
                <w:vertAlign w:val="superscript"/>
              </w:rPr>
              <w:t xml:space="preserve">66</w:t>
            </w:r>
          </w:p>
        </w:tc>
      </w:tr>
      <w:tr>
        <w:tc>
          <w:tcPr/>
          <w:p>
            <w:pPr>
              <w:pStyle w:val="Compact"/>
              <w:jc w:val="left"/>
            </w:pPr>
            <w:r>
              <w:t xml:space="preserve">Entry slippage</w:t>
            </w:r>
          </w:p>
        </w:tc>
        <w:tc>
          <w:tcPr/>
          <w:p>
            <w:pPr>
              <w:pStyle w:val="Compact"/>
              <w:jc w:val="center"/>
            </w:pPr>
            <w:r>
              <w:t xml:space="preserve">Minimal</w:t>
            </w:r>
          </w:p>
        </w:tc>
        <w:tc>
          <w:tcPr/>
          <w:p>
            <w:pPr>
              <w:pStyle w:val="Compact"/>
              <w:jc w:val="center"/>
            </w:pPr>
            <w:r>
              <w:t xml:space="preserve">$0.15–$0.60/share</w:t>
            </w:r>
          </w:p>
        </w:tc>
        <w:tc>
          <w:tcPr/>
          <w:p>
            <w:pPr>
              <w:pStyle w:val="Compact"/>
              <w:jc w:val="center"/>
            </w:pPr>
            <w:r>
              <w:t xml:space="preserve">$0.15–$0.60/share</w:t>
            </w:r>
          </w:p>
        </w:tc>
        <w:tc>
          <w:tcPr/>
          <w:p>
            <w:pPr>
              <w:pStyle w:val="Compact"/>
              <w:jc w:val="left"/>
            </w:pPr>
            <w:r>
              <w:t xml:space="preserve">Trading journals</w:t>
            </w:r>
            <w:r>
              <w:t xml:space="preserve"> </w:t>
            </w:r>
            <w:r>
              <w:rPr>
                <w:vertAlign w:val="superscript"/>
              </w:rPr>
              <w:t xml:space="preserve">66</w:t>
            </w:r>
          </w:p>
        </w:tc>
      </w:tr>
      <w:tr>
        <w:tc>
          <w:tcPr/>
          <w:p>
            <w:pPr>
              <w:pStyle w:val="Compact"/>
              <w:jc w:val="left"/>
            </w:pPr>
            <w:r>
              <w:t xml:space="preserve">Exit slippage</w:t>
            </w:r>
          </w:p>
        </w:tc>
        <w:tc>
          <w:tcPr/>
          <w:p>
            <w:pPr>
              <w:pStyle w:val="Compact"/>
              <w:jc w:val="center"/>
            </w:pPr>
            <w:r>
              <w:t xml:space="preserve">Minimal</w:t>
            </w:r>
          </w:p>
        </w:tc>
        <w:tc>
          <w:tcPr/>
          <w:p>
            <w:pPr>
              <w:pStyle w:val="Compact"/>
              <w:jc w:val="center"/>
            </w:pPr>
            <w:r>
              <w:t xml:space="preserve">$0.10–$0.40/share</w:t>
            </w:r>
          </w:p>
        </w:tc>
        <w:tc>
          <w:tcPr/>
          <w:p>
            <w:pPr>
              <w:pStyle w:val="Compact"/>
              <w:jc w:val="center"/>
            </w:pPr>
            <w:r>
              <w:t xml:space="preserve">Potentially no bid available</w:t>
            </w:r>
          </w:p>
        </w:tc>
        <w:tc>
          <w:tcPr/>
          <w:p>
            <w:pPr>
              <w:pStyle w:val="Compact"/>
              <w:jc w:val="left"/>
            </w:pPr>
            <w:r>
              <w:t xml:space="preserve">Trading journals</w:t>
            </w:r>
            <w:r>
              <w:t xml:space="preserve"> </w:t>
            </w:r>
            <w:r>
              <w:rPr>
                <w:vertAlign w:val="superscript"/>
              </w:rPr>
              <w:t xml:space="preserve">66</w:t>
            </w:r>
          </w:p>
        </w:tc>
      </w:tr>
      <w:tr>
        <w:tc>
          <w:tcPr/>
          <w:p>
            <w:pPr>
              <w:pStyle w:val="Compact"/>
              <w:jc w:val="left"/>
            </w:pPr>
            <w:r>
              <w:t xml:space="preserve">Round-trip friction (total)</w:t>
            </w:r>
          </w:p>
        </w:tc>
        <w:tc>
          <w:tcPr/>
          <w:p>
            <w:pPr>
              <w:pStyle w:val="Compact"/>
              <w:jc w:val="center"/>
            </w:pPr>
            <w:r>
              <w:t xml:space="preserve">~0.02%</w:t>
            </w:r>
          </w:p>
        </w:tc>
        <w:tc>
          <w:tcPr/>
          <w:p>
            <w:pPr>
              <w:pStyle w:val="Compact"/>
              <w:jc w:val="center"/>
            </w:pPr>
            <w:r>
              <w:rPr>
                <w:bCs/>
                <w:b/>
              </w:rPr>
              <w:t xml:space="preserve">3–15%</w:t>
            </w:r>
          </w:p>
        </w:tc>
        <w:tc>
          <w:tcPr/>
          <w:p>
            <w:pPr>
              <w:pStyle w:val="Compact"/>
              <w:jc w:val="center"/>
            </w:pPr>
            <w:r>
              <w:rPr>
                <w:bCs/>
                <w:b/>
              </w:rPr>
              <w:t xml:space="preserve">15–30%+</w:t>
            </w:r>
          </w:p>
        </w:tc>
        <w:tc>
          <w:tcPr/>
          <w:p>
            <w:pPr>
              <w:pStyle w:val="Compact"/>
              <w:jc w:val="left"/>
            </w:pPr>
            <w:r>
              <w:t xml:space="preserve">Calculated</w:t>
            </w:r>
            <w:r>
              <w:t xml:space="preserve"> </w:t>
            </w:r>
            <w:r>
              <w:rPr>
                <w:vertAlign w:val="superscript"/>
              </w:rPr>
              <w:t xml:space="preserve">67</w:t>
            </w:r>
          </w:p>
        </w:tc>
      </w:tr>
      <w:tr>
        <w:tc>
          <w:tcPr/>
          <w:p>
            <w:pPr>
              <w:pStyle w:val="Compact"/>
              <w:jc w:val="left"/>
            </w:pPr>
            <w:r>
              <w:t xml:space="preserve">Commission (retail)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$0–$6.95/trade</w:t>
            </w:r>
          </w:p>
        </w:tc>
        <w:tc>
          <w:tcPr/>
          <w:p>
            <w:pPr>
              <w:pStyle w:val="Compact"/>
              <w:jc w:val="left"/>
            </w:pPr>
            <w:r>
              <w:t xml:space="preserve">Broker data</w:t>
            </w:r>
          </w:p>
        </w:tc>
      </w:tr>
    </w:tbl>
    <w:p>
      <w:pPr>
        <w:pStyle w:val="BodyText"/>
      </w:pPr>
      <w:r>
        <w:t xml:space="preserve">For a $100 position in a sub-$1 OTC stock, round-trip transaction costs alone consume $15–$30 before any price movement occurs</w:t>
      </w:r>
      <w:r>
        <w:t xml:space="preserve"> </w:t>
      </w:r>
      <w:r>
        <w:rPr>
          <w:vertAlign w:val="superscript"/>
        </w:rPr>
        <w:t xml:space="preserve">67</w:t>
      </w:r>
      <w:r>
        <w:t xml:space="preserve">. The SEC’s own disclosure example illustrates the trap: a stock with a $0.04 bid and $0.10 ask represents a 60% spread — an investor putting $5,000 at the $0.10 offer can only recover $2,000 at the $0.04 bid, losing more than half the investment to spread alone</w:t>
      </w:r>
      <w:r>
        <w:t xml:space="preserve"> </w:t>
      </w:r>
      <w:r>
        <w:rPr>
          <w:vertAlign w:val="superscript"/>
        </w:rPr>
        <w:t xml:space="preserve">67</w:t>
      </w:r>
      <w:r>
        <w:t xml:space="preserve">. A stock must appreciate</w:t>
      </w:r>
      <w:r>
        <w:t xml:space="preserve"> </w:t>
      </w:r>
      <w:r>
        <w:rPr>
          <w:bCs/>
          <w:b/>
        </w:rPr>
        <w:t xml:space="preserve">15–30% just to break even</w:t>
      </w:r>
      <w:r>
        <w:t xml:space="preserve"> </w:t>
      </w:r>
      <w:r>
        <w:t xml:space="preserve">on costs. Against a median return of –37%, the probability of doubling a $100 position net of spreads is statistically negligible. The only evidence-based exception is crisis-timing via high-yield spread compression, which requires macro timing, systematic execution, and exit discipline that retail investors do not possess</w:t>
      </w:r>
      <w:r>
        <w:t xml:space="preserve"> </w:t>
      </w:r>
      <w:r>
        <w:rPr>
          <w:vertAlign w:val="superscript"/>
        </w:rPr>
        <w:t xml:space="preserve">64</w:t>
      </w:r>
      <w:r>
        <w:t xml:space="preserve">.</w:t>
      </w:r>
    </w:p>
    <w:bookmarkEnd w:id="72"/>
    <w:bookmarkStart w:id="73" w:name="penny-stock-verdict"/>
    <w:p>
      <w:pPr>
        <w:pStyle w:val="Heading3"/>
      </w:pPr>
      <w:r>
        <w:t xml:space="preserve">7.2 Penny Stock Verdict</w:t>
      </w:r>
    </w:p>
    <w:p>
      <w:pPr>
        <w:pStyle w:val="FirstParagraph"/>
      </w:pPr>
      <w:r>
        <w:t xml:space="preserve">The verdict is</w:t>
      </w:r>
      <w:r>
        <w:t xml:space="preserve"> </w:t>
      </w:r>
      <w:r>
        <w:rPr>
          <w:bCs/>
          <w:b/>
        </w:rPr>
        <w:t xml:space="preserve">DANGEROUS — default exclusion.</w:t>
      </w:r>
      <w:r>
        <w:t xml:space="preserve"> </w:t>
      </w:r>
      <w:r>
        <w:t xml:space="preserve">Professional fund families grounded in academic research systematically exclude penny stocks: Alpha Architect screens out lottery-characteristic stocks, AQR excludes extreme volatility/skewness securities, Avantis filters low-priced illiquid issues, Bridgeway applies minimum price and liquidity thresholds, and Dimensional Fund Advisors excludes microcap and pink sheet securities entirely</w:t>
      </w:r>
      <w:r>
        <w:t xml:space="preserve"> </w:t>
      </w:r>
      <w:r>
        <w:rPr>
          <w:vertAlign w:val="superscript"/>
        </w:rPr>
        <w:t xml:space="preserve">64</w:t>
      </w:r>
      <w:r>
        <w:t xml:space="preserve">. Larry Swedroe’s assessment is direct:</w:t>
      </w:r>
      <w:r>
        <w:t xml:space="preserve"> </w:t>
      </w:r>
      <w:r>
        <w:t xml:space="preserve">“</w:t>
      </w:r>
      <w:r>
        <w:t xml:space="preserve">An efficient way to improve the expected performance of an equity strategy would be to systematically exclude penny stocks</w:t>
      </w:r>
      <w:r>
        <w:t xml:space="preserve">”</w:t>
      </w:r>
      <w:r>
        <w:t xml:space="preserve"> </w:t>
      </w:r>
      <w:r>
        <w:rPr>
          <w:vertAlign w:val="superscript"/>
        </w:rPr>
        <w:t xml:space="preserve">64</w:t>
      </w:r>
      <w:r>
        <w:t xml:space="preserve">. If included at all, penny stocks should be restricted to a separate PENNY asset class with mandatory filters: minimum $1M daily volume, spread below 2%, exchange-listed only (NYSE/Nasdaq), price above $1.00, and market cap above $50M. Position limits must be</w:t>
      </w:r>
      <w:r>
        <w:t xml:space="preserve"> </w:t>
      </w:r>
      <w:r>
        <w:rPr>
          <w:bCs/>
          <w:b/>
        </w:rPr>
        <w:t xml:space="preserve">2% per pick and 5% total allocation</w:t>
      </w:r>
      <w:r>
        <w:t xml:space="preserve"> </w:t>
      </w:r>
      <w:r>
        <w:t xml:space="preserve">with mandatory user opt-in and separate tracking from core equity picks.</w:t>
      </w:r>
    </w:p>
    <w:bookmarkEnd w:id="73"/>
    <w:bookmarkStart w:id="74" w:name="meme-coin-viability"/>
    <w:p>
      <w:pPr>
        <w:pStyle w:val="Heading3"/>
      </w:pPr>
      <w:r>
        <w:t xml:space="preserve">7.3 Meme Coin Viability</w:t>
      </w:r>
    </w:p>
    <w:p>
      <w:pPr>
        <w:pStyle w:val="FirstParagraph"/>
      </w:pPr>
      <w:r>
        <w:t xml:space="preserve">Meme coins present a structurally negative expected-value proposition that exceeds even penny stocks in its wealth-destruction efficiency. On-chain data from Pump.fun — the largest meme coin launchpad with 5.7 million tokens created and $398 million in platform revenue — reveals the most comprehensive profitability dataset available</w:t>
      </w:r>
      <w:r>
        <w:t xml:space="preserve"> </w:t>
      </w:r>
      <w:r>
        <w:rPr>
          <w:vertAlign w:val="superscript"/>
        </w:rPr>
        <w:t xml:space="preserve">68</w:t>
      </w:r>
      <w:r>
        <w:t xml:space="preserve">.</w:t>
      </w:r>
    </w:p>
    <w:p>
      <w:pPr>
        <w:pStyle w:val="BodyText"/>
      </w:pPr>
      <w:r>
        <w:rPr>
          <w:bCs/>
          <w:b/>
        </w:rPr>
        <w:t xml:space="preserve">Table 7.3 — Meme Coin Trader Profitability: Pump.fun On-Chain Data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Profit Threshold</w:t>
            </w:r>
          </w:p>
        </w:tc>
        <w:tc>
          <w:tcPr/>
          <w:p>
            <w:pPr>
              <w:pStyle w:val="Compact"/>
              <w:jc w:val="center"/>
            </w:pPr>
            <w:r>
              <w:t xml:space="preserve">Wallets</w:t>
            </w:r>
          </w:p>
        </w:tc>
        <w:tc>
          <w:tcPr/>
          <w:p>
            <w:pPr>
              <w:pStyle w:val="Compact"/>
              <w:jc w:val="left"/>
            </w:pPr>
            <w:r>
              <w:t xml:space="preserve">% of Total (13.55M)</w:t>
            </w:r>
          </w:p>
        </w:tc>
      </w:tr>
      <w:tr>
        <w:tc>
          <w:tcPr/>
          <w:p>
            <w:pPr>
              <w:pStyle w:val="Compact"/>
              <w:jc w:val="left"/>
            </w:pPr>
            <w:r>
              <w:t xml:space="preserve">&gt;$10,000</w:t>
            </w:r>
          </w:p>
        </w:tc>
        <w:tc>
          <w:tcPr/>
          <w:p>
            <w:pPr>
              <w:pStyle w:val="Compact"/>
              <w:jc w:val="center"/>
            </w:pPr>
            <w:r>
              <w:t xml:space="preserve">55,296</w:t>
            </w:r>
          </w:p>
        </w:tc>
        <w:tc>
          <w:tcPr/>
          <w:p>
            <w:pPr>
              <w:pStyle w:val="Compact"/>
              <w:jc w:val="left"/>
            </w:pPr>
            <w:r>
              <w:rPr>
                <w:bCs/>
                <w:b/>
              </w:rPr>
              <w:t xml:space="preserve">0.41%</w:t>
            </w:r>
            <w:r>
              <w:t xml:space="preserve"> </w:t>
            </w:r>
            <w:r>
              <w:rPr>
                <w:vertAlign w:val="superscript"/>
              </w:rPr>
              <w:t xml:space="preserve">68</w:t>
            </w:r>
          </w:p>
        </w:tc>
      </w:tr>
      <w:tr>
        <w:tc>
          <w:tcPr/>
          <w:p>
            <w:pPr>
              <w:pStyle w:val="Compact"/>
              <w:jc w:val="left"/>
            </w:pPr>
            <w:r>
              <w:t xml:space="preserve">&gt;$100,000</w:t>
            </w:r>
          </w:p>
        </w:tc>
        <w:tc>
          <w:tcPr/>
          <w:p>
            <w:pPr>
              <w:pStyle w:val="Compact"/>
              <w:jc w:val="center"/>
            </w:pPr>
            <w:r>
              <w:t xml:space="preserve">~6,504</w:t>
            </w:r>
          </w:p>
        </w:tc>
        <w:tc>
          <w:tcPr/>
          <w:p>
            <w:pPr>
              <w:pStyle w:val="Compact"/>
              <w:jc w:val="left"/>
            </w:pPr>
            <w:r>
              <w:rPr>
                <w:bCs/>
                <w:b/>
              </w:rPr>
              <w:t xml:space="preserve">0.048%</w:t>
            </w:r>
            <w:r>
              <w:t xml:space="preserve"> </w:t>
            </w:r>
            <w:r>
              <w:rPr>
                <w:vertAlign w:val="superscript"/>
              </w:rPr>
              <w:t xml:space="preserve">68</w:t>
            </w:r>
          </w:p>
        </w:tc>
      </w:tr>
      <w:tr>
        <w:tc>
          <w:tcPr/>
          <w:p>
            <w:pPr>
              <w:pStyle w:val="Compact"/>
              <w:jc w:val="left"/>
            </w:pPr>
            <w:r>
              <w:t xml:space="preserve">&gt;$1,000,000</w:t>
            </w:r>
          </w:p>
        </w:tc>
        <w:tc>
          <w:tcPr/>
          <w:p>
            <w:pPr>
              <w:pStyle w:val="Compact"/>
              <w:jc w:val="center"/>
            </w:pPr>
            <w:r>
              <w:t xml:space="preserve">~294</w:t>
            </w:r>
          </w:p>
        </w:tc>
        <w:tc>
          <w:tcPr/>
          <w:p>
            <w:pPr>
              <w:pStyle w:val="Compact"/>
              <w:jc w:val="left"/>
            </w:pPr>
            <w:r>
              <w:rPr>
                <w:bCs/>
                <w:b/>
              </w:rPr>
              <w:t xml:space="preserve">0.002%</w:t>
            </w:r>
            <w:r>
              <w:t xml:space="preserve"> </w:t>
            </w:r>
            <w:r>
              <w:rPr>
                <w:vertAlign w:val="superscript"/>
              </w:rPr>
              <w:t xml:space="preserve">68</w:t>
            </w:r>
          </w:p>
        </w:tc>
      </w:tr>
      <w:tr>
        <w:tc>
          <w:tcPr/>
          <w:p>
            <w:pPr>
              <w:pStyle w:val="Compact"/>
              <w:jc w:val="left"/>
            </w:pPr>
            <w:r>
              <w:t xml:space="preserve">Self-reported profitable (survey)</w:t>
            </w:r>
          </w:p>
        </w:tc>
        <w:tc>
          <w:tcPr/>
          <w:p>
            <w:pPr>
              <w:pStyle w:val="Compact"/>
              <w:jc w:val="center"/>
            </w:pPr>
            <w:r>
              <w:t xml:space="preserve">—</w:t>
            </w:r>
          </w:p>
        </w:tc>
        <w:tc>
          <w:tcPr/>
          <w:p>
            <w:pPr>
              <w:pStyle w:val="Compact"/>
              <w:jc w:val="left"/>
            </w:pPr>
            <w:r>
              <w:t xml:space="preserve">56% (unverified)</w:t>
            </w:r>
            <w:r>
              <w:t xml:space="preserve"> </w:t>
            </w:r>
            <w:r>
              <w:rPr>
                <w:vertAlign w:val="superscript"/>
              </w:rPr>
              <w:t xml:space="preserve">69</w:t>
            </w:r>
          </w:p>
        </w:tc>
      </w:tr>
      <w:tr>
        <w:tc>
          <w:tcPr/>
          <w:p>
            <w:pPr>
              <w:pStyle w:val="Compact"/>
              <w:jc w:val="left"/>
            </w:pPr>
            <w:r>
              <w:t xml:space="preserve">Cross-validated loss rate</w:t>
            </w:r>
          </w:p>
        </w:tc>
        <w:tc>
          <w:tcPr/>
          <w:p>
            <w:pPr>
              <w:pStyle w:val="Compact"/>
              <w:jc w:val="center"/>
            </w:pPr>
            <w:r>
              <w:t xml:space="preserve">—</w:t>
            </w:r>
          </w:p>
        </w:tc>
        <w:tc>
          <w:tcPr/>
          <w:p>
            <w:pPr>
              <w:pStyle w:val="Compact"/>
              <w:jc w:val="left"/>
            </w:pPr>
            <w:r>
              <w:rPr>
                <w:bCs/>
                <w:b/>
              </w:rPr>
              <w:t xml:space="preserve">80–95%</w:t>
            </w:r>
            <w:r>
              <w:t xml:space="preserve"> </w:t>
            </w:r>
            <w:r>
              <w:rPr>
                <w:vertAlign w:val="superscript"/>
              </w:rPr>
              <w:t xml:space="preserve">70</w:t>
            </w:r>
            <w:r>
              <w:t xml:space="preserve"> </w:t>
            </w:r>
            <w:r>
              <w:rPr>
                <w:vertAlign w:val="superscript"/>
              </w:rPr>
              <w:t xml:space="preserve">71</w:t>
            </w:r>
          </w:p>
        </w:tc>
      </w:tr>
    </w:tbl>
    <w:p>
      <w:pPr>
        <w:pStyle w:val="BodyText"/>
      </w:pPr>
      <w:r>
        <w:t xml:space="preserve">The 0.41% profitability rate above $10,000 means that</w:t>
      </w:r>
      <w:r>
        <w:t xml:space="preserve"> </w:t>
      </w:r>
      <w:r>
        <w:rPr>
          <w:bCs/>
          <w:b/>
        </w:rPr>
        <w:t xml:space="preserve">99.6% of meme coin traders fail to achieve meaningful profits</w:t>
      </w:r>
      <w:r>
        <w:t xml:space="preserve">. Self-reported surveys claiming 56% profitability suffer from survivorship bias and overclaiming; on-chain data is definitive</w:t>
      </w:r>
      <w:r>
        <w:t xml:space="preserve"> </w:t>
      </w:r>
      <w:r>
        <w:rPr>
          <w:vertAlign w:val="superscript"/>
        </w:rPr>
        <w:t xml:space="preserve">69</w:t>
      </w:r>
      <w:r>
        <w:t xml:space="preserve"> </w:t>
      </w:r>
      <w:r>
        <w:rPr>
          <w:vertAlign w:val="superscript"/>
        </w:rPr>
        <w:t xml:space="preserve">71</w:t>
      </w:r>
      <w:r>
        <w:t xml:space="preserve">. Academic research confirms that social-media-influenced traders lose 1% per trade on average in cryptocurrency — the second-worst performance across all asset classes studied</w:t>
      </w:r>
      <w:r>
        <w:t xml:space="preserve"> </w:t>
      </w:r>
      <w:r>
        <w:rPr>
          <w:vertAlign w:val="superscript"/>
        </w:rPr>
        <w:t xml:space="preserve">72</w:t>
      </w:r>
      <w:r>
        <w:t xml:space="preserve">. The Memecoin Fragility Framework (ME2F) quantified PEPE at 301.8% daily volatility and found that top 100 addresses hold more than 70% of supply in most meme coins, with some tokens exceeding 90% ownership concentration</w:t>
      </w:r>
      <w:r>
        <w:t xml:space="preserve"> </w:t>
      </w:r>
      <w:r>
        <w:rPr>
          <w:vertAlign w:val="superscript"/>
        </w:rPr>
        <w:t xml:space="preserve">26</w:t>
      </w:r>
      <w:r>
        <w:t xml:space="preserve">. A comprehensive manipulation study documented $7.78 million in extracted profits against $9.3 million in total losses across over 17,000 victim addresses</w:t>
      </w:r>
      <w:r>
        <w:t xml:space="preserve"> </w:t>
      </w:r>
      <w:r>
        <w:rPr>
          <w:vertAlign w:val="superscript"/>
        </w:rPr>
        <w:t xml:space="preserve">54</w:t>
      </w:r>
      <w:r>
        <w:t xml:space="preserve">.</w:t>
      </w:r>
    </w:p>
    <w:p>
      <w:pPr>
        <w:pStyle w:val="BodyText"/>
      </w:pPr>
      <w:r>
        <w:t xml:space="preserve">Applying the Kelly Criterion to the platform’s shadow-data parameters (65.6% win rate, 5% average win, –47.2% average loss) produces a</w:t>
      </w:r>
      <w:r>
        <w:t xml:space="preserve"> </w:t>
      </w:r>
      <w:r>
        <w:rPr>
          <w:bCs/>
          <w:b/>
        </w:rPr>
        <w:t xml:space="preserve">Kelly fraction of –244%</w:t>
      </w:r>
      <w:r>
        <w:t xml:space="preserve"> </w:t>
      </w:r>
      <w:r>
        <w:rPr>
          <w:vertAlign w:val="superscript"/>
        </w:rPr>
        <w:t xml:space="preserve">58</w:t>
      </w:r>
      <w:r>
        <w:t xml:space="preserve">. A negative Kelly fraction means the optimal bet size is zero — the strategy has negative expected value regardless of the high win rate. The reconciliation reveals the structural trap: at 65.6% win rate with –12.96% average PnL, every loss wipes out approximately nine winning trades. For a $100 investor, Monte Carlo simulation projects a</w:t>
      </w:r>
      <w:r>
        <w:t xml:space="preserve"> </w:t>
      </w:r>
      <w:r>
        <w:rPr>
          <w:bCs/>
          <w:b/>
        </w:rPr>
        <w:t xml:space="preserve">99.7% risk of ruin</w:t>
      </w:r>
      <w:r>
        <w:t xml:space="preserve"> </w:t>
      </w:r>
      <w:r>
        <w:t xml:space="preserve">with median final capital of $0.78</w:t>
      </w:r>
      <w:r>
        <w:t xml:space="preserve"> </w:t>
      </w:r>
      <w:r>
        <w:rPr>
          <w:vertAlign w:val="superscript"/>
        </w:rPr>
        <w:t xml:space="preserve">58</w:t>
      </w:r>
      <w:r>
        <w:t xml:space="preserve">. Even assuming optimistic parameters (35% win rate, 30% average win, –10% average loss) that have never been demonstrated achievable by retail traders, doubling $100 remains a near-zero probability event.</w:t>
      </w:r>
    </w:p>
    <w:bookmarkEnd w:id="74"/>
    <w:bookmarkStart w:id="75" w:name="meme-coin-verdict"/>
    <w:p>
      <w:pPr>
        <w:pStyle w:val="Heading3"/>
      </w:pPr>
      <w:r>
        <w:t xml:space="preserve">7.4 Meme Coin Verdict</w:t>
      </w:r>
    </w:p>
    <w:p>
      <w:pPr>
        <w:pStyle w:val="FirstParagraph"/>
      </w:pPr>
      <w:r>
        <w:t xml:space="preserve">The verdict is</w:t>
      </w:r>
      <w:r>
        <w:t xml:space="preserve"> </w:t>
      </w:r>
      <w:r>
        <w:rPr>
          <w:bCs/>
          <w:b/>
        </w:rPr>
        <w:t xml:space="preserve">COMPLETELY EXCLUDE</w:t>
      </w:r>
      <w:r>
        <w:t xml:space="preserve"> </w:t>
      </w:r>
      <w:r>
        <w:t xml:space="preserve">— structurally negative-EV. Unlike penny stocks, which retain a narrow crisis-timing exception, meme coins offer no evidence-based entry strategy with positive expectancy. The Random Walk Hypothesis holds for short-term cryptocurrency forecasts</w:t>
      </w:r>
      <w:r>
        <w:t xml:space="preserve"> </w:t>
      </w:r>
      <w:r>
        <w:rPr>
          <w:vertAlign w:val="superscript"/>
        </w:rPr>
        <w:t xml:space="preserve">73</w:t>
      </w:r>
      <w:r>
        <w:t xml:space="preserve"> </w:t>
      </w:r>
      <w:r>
        <w:rPr>
          <w:vertAlign w:val="superscript"/>
        </w:rPr>
        <w:t xml:space="preserve">74</w:t>
      </w:r>
      <w:r>
        <w:t xml:space="preserve">, social sentiment APIs lag price action by 15–60 minutes while pumps complete in minutes</w:t>
      </w:r>
      <w:r>
        <w:t xml:space="preserve"> </w:t>
      </w:r>
      <w:r>
        <w:rPr>
          <w:vertAlign w:val="superscript"/>
        </w:rPr>
        <w:t xml:space="preserve">75</w:t>
      </w:r>
      <w:r>
        <w:t xml:space="preserve">, and up to 30% of Pump.fun wallets are bots generating false signals</w:t>
      </w:r>
      <w:r>
        <w:t xml:space="preserve"> </w:t>
      </w:r>
      <w:r>
        <w:rPr>
          <w:vertAlign w:val="superscript"/>
        </w:rPr>
        <w:t xml:space="preserve">68</w:t>
      </w:r>
      <w:r>
        <w:t xml:space="preserve">. Every positive backtest result in the literature (Belcastro et al.’s 194% gain</w:t>
      </w:r>
      <w:r>
        <w:t xml:space="preserve"> </w:t>
      </w:r>
      <w:r>
        <w:rPr>
          <w:vertAlign w:val="superscript"/>
        </w:rPr>
        <w:t xml:space="preserve">52</w:t>
      </w:r>
      <w:r>
        <w:t xml:space="preserve">, momentum strategies) suffers from in-sample overfitting, institutional infrastructure requirements, or no out-of-sample validation. Momentum strategies on meme coins specifically returned –36.9% in backtesting</w:t>
      </w:r>
      <w:r>
        <w:t xml:space="preserve"> </w:t>
      </w:r>
      <w:r>
        <w:rPr>
          <w:vertAlign w:val="superscript"/>
        </w:rPr>
        <w:t xml:space="preserve">76</w:t>
      </w:r>
      <w:r>
        <w:t xml:space="preserve">. The meme coin ecosystem is a negative-sum game where creators and insiders extract value, platforms earn fees, bots capture alpha, and retail provides exit liquidity.</w:t>
      </w:r>
    </w:p>
    <w:bookmarkEnd w:id="75"/>
    <w:bookmarkStart w:id="76" w:name="comparative-assessment"/>
    <w:p>
      <w:pPr>
        <w:pStyle w:val="Heading3"/>
      </w:pPr>
      <w:r>
        <w:t xml:space="preserve">7.5 Comparative Assessment</w:t>
      </w:r>
    </w:p>
    <w:p>
      <w:pPr>
        <w:pStyle w:val="FirstParagraph"/>
      </w:pPr>
      <w:r>
        <w:rPr>
          <w:bCs/>
          <w:b/>
        </w:rPr>
        <w:t xml:space="preserve">Table 7.4 — Penny Stocks vs. Meme Coins vs. Equities: Comparative Metrics</w:t>
      </w:r>
    </w:p>
    <w:tbl>
      <w:tblPr>
        <w:tblStyle w:val="Table"/>
        <w:tblW w:type="pct" w:w="5000"/>
        <w:tblLook w:firstRow="1" w:lastRow="0" w:firstColumn="0" w:lastColumn="0" w:noHBand="0" w:noVBand="0" w:val="0020"/>
      </w:tblPr>
      <w:tblGrid>
        <w:gridCol w:w="1092"/>
        <w:gridCol w:w="2594"/>
        <w:gridCol w:w="1638"/>
        <w:gridCol w:w="2594"/>
      </w:tblGrid>
      <w:tr>
        <w:trPr>
          <w:tblHeader w:val="true"/>
        </w:trPr>
        <w:tc>
          <w:tcPr/>
          <w:p>
            <w:pPr>
              <w:pStyle w:val="Compact"/>
              <w:jc w:val="left"/>
            </w:pPr>
            <w:r>
              <w:t xml:space="preserve">Metric</w:t>
            </w:r>
          </w:p>
        </w:tc>
        <w:tc>
          <w:tcPr/>
          <w:p>
            <w:pPr>
              <w:pStyle w:val="Compact"/>
              <w:jc w:val="left"/>
            </w:pPr>
            <w:r>
              <w:t xml:space="preserve">Penny Stocks (OTC)</w:t>
            </w:r>
          </w:p>
        </w:tc>
        <w:tc>
          <w:tcPr/>
          <w:p>
            <w:pPr>
              <w:pStyle w:val="Compact"/>
              <w:jc w:val="left"/>
            </w:pPr>
            <w:r>
              <w:t xml:space="preserve">Meme Coins</w:t>
            </w:r>
          </w:p>
        </w:tc>
        <w:tc>
          <w:tcPr/>
          <w:p>
            <w:pPr>
              <w:pStyle w:val="Compact"/>
              <w:jc w:val="left"/>
            </w:pPr>
            <w:r>
              <w:t xml:space="preserve">Platform Equities</w:t>
            </w:r>
          </w:p>
        </w:tc>
      </w:tr>
      <w:tr>
        <w:tc>
          <w:tcPr/>
          <w:p>
            <w:pPr>
              <w:pStyle w:val="Compact"/>
              <w:jc w:val="left"/>
            </w:pPr>
            <w:r>
              <w:t xml:space="preserve">Average annual return</w:t>
            </w:r>
          </w:p>
        </w:tc>
        <w:tc>
          <w:tcPr/>
          <w:p>
            <w:pPr>
              <w:pStyle w:val="Compact"/>
              <w:jc w:val="left"/>
            </w:pPr>
            <w:r>
              <w:t xml:space="preserve">–24% to –27%</w:t>
            </w:r>
            <w:r>
              <w:t xml:space="preserve"> </w:t>
            </w:r>
            <w:r>
              <w:rPr>
                <w:vertAlign w:val="superscript"/>
              </w:rPr>
              <w:t xml:space="preserve">61</w:t>
            </w:r>
          </w:p>
        </w:tc>
        <w:tc>
          <w:tcPr/>
          <w:p>
            <w:pPr>
              <w:pStyle w:val="Compact"/>
              <w:jc w:val="left"/>
            </w:pPr>
            <w:r>
              <w:t xml:space="preserve">Not meaningfully calculable</w:t>
            </w:r>
          </w:p>
        </w:tc>
        <w:tc>
          <w:tcPr/>
          <w:p>
            <w:pPr>
              <w:pStyle w:val="Compact"/>
              <w:jc w:val="left"/>
            </w:pPr>
            <w:r>
              <w:t xml:space="preserve">PF 1.72 (positive)</w:t>
            </w:r>
          </w:p>
        </w:tc>
      </w:tr>
      <w:tr>
        <w:tc>
          <w:tcPr/>
          <w:p>
            <w:pPr>
              <w:pStyle w:val="Compact"/>
              <w:jc w:val="left"/>
            </w:pPr>
            <w:r>
              <w:t xml:space="preserve">Median return</w:t>
            </w:r>
          </w:p>
        </w:tc>
        <w:tc>
          <w:tcPr/>
          <w:p>
            <w:pPr>
              <w:pStyle w:val="Compact"/>
              <w:jc w:val="left"/>
            </w:pPr>
            <w:r>
              <w:t xml:space="preserve">–37%</w:t>
            </w:r>
            <w:r>
              <w:t xml:space="preserve"> </w:t>
            </w:r>
            <w:r>
              <w:rPr>
                <w:vertAlign w:val="superscript"/>
              </w:rPr>
              <w:t xml:space="preserve">62</w:t>
            </w:r>
          </w:p>
        </w:tc>
        <w:tc>
          <w:tcPr/>
          <w:p>
            <w:pPr>
              <w:pStyle w:val="Compact"/>
              <w:jc w:val="left"/>
            </w:pPr>
            <w:r>
              <w:t xml:space="preserve">Median final: $0.78 (meme coin)</w:t>
            </w:r>
            <w:r>
              <w:t xml:space="preserve"> </w:t>
            </w:r>
            <w:r>
              <w:rPr>
                <w:vertAlign w:val="superscript"/>
              </w:rPr>
              <w:t xml:space="preserve">58</w:t>
            </w:r>
          </w:p>
        </w:tc>
        <w:tc>
          <w:tcPr/>
          <w:p>
            <w:pPr>
              <w:pStyle w:val="Compact"/>
              <w:jc w:val="left"/>
            </w:pPr>
            <w:r>
              <w:t xml:space="preserve">Positive expected value</w:t>
            </w:r>
          </w:p>
        </w:tc>
      </w:tr>
      <w:tr>
        <w:tc>
          <w:tcPr/>
          <w:p>
            <w:pPr>
              <w:pStyle w:val="Compact"/>
              <w:jc w:val="left"/>
            </w:pPr>
            <w:r>
              <w:t xml:space="preserve">% of traders profitable</w:t>
            </w:r>
          </w:p>
        </w:tc>
        <w:tc>
          <w:tcPr/>
          <w:p>
            <w:pPr>
              <w:pStyle w:val="Compact"/>
              <w:jc w:val="left"/>
            </w:pPr>
            <w:r>
              <w:t xml:space="preserve">&lt;10% (short-term)</w:t>
            </w:r>
          </w:p>
        </w:tc>
        <w:tc>
          <w:tcPr/>
          <w:p>
            <w:pPr>
              <w:pStyle w:val="Compact"/>
              <w:jc w:val="left"/>
            </w:pPr>
            <w:r>
              <w:rPr>
                <w:bCs/>
                <w:b/>
              </w:rPr>
              <w:t xml:space="preserve">0.41%</w:t>
            </w:r>
            <w:r>
              <w:t xml:space="preserve"> </w:t>
            </w:r>
            <w:r>
              <w:t xml:space="preserve">&gt;$10K</w:t>
            </w:r>
            <w:r>
              <w:t xml:space="preserve"> </w:t>
            </w:r>
            <w:r>
              <w:rPr>
                <w:vertAlign w:val="superscript"/>
              </w:rPr>
              <w:t xml:space="preserve">68</w:t>
            </w:r>
          </w:p>
        </w:tc>
        <w:tc>
          <w:tcPr/>
          <w:p>
            <w:pPr>
              <w:pStyle w:val="Compact"/>
              <w:jc w:val="left"/>
            </w:pPr>
            <w:r>
              <w:t xml:space="preserve">66–70% (filtered)</w:t>
            </w:r>
          </w:p>
        </w:tc>
      </w:tr>
      <w:tr>
        <w:tc>
          <w:tcPr/>
          <w:p>
            <w:pPr>
              <w:pStyle w:val="Compact"/>
              <w:jc w:val="left"/>
            </w:pPr>
            <w:r>
              <w:t xml:space="preserve">Kelly fraction</w:t>
            </w:r>
          </w:p>
        </w:tc>
        <w:tc>
          <w:tcPr/>
          <w:p>
            <w:pPr>
              <w:pStyle w:val="Compact"/>
              <w:jc w:val="left"/>
            </w:pPr>
            <w:r>
              <w:t xml:space="preserve">Negative (most strategies)</w:t>
            </w:r>
          </w:p>
        </w:tc>
        <w:tc>
          <w:tcPr/>
          <w:p>
            <w:pPr>
              <w:pStyle w:val="Compact"/>
              <w:jc w:val="left"/>
            </w:pPr>
            <w:r>
              <w:rPr>
                <w:bCs/>
                <w:b/>
              </w:rPr>
              <w:t xml:space="preserve">–244%</w:t>
            </w:r>
            <w:r>
              <w:t xml:space="preserve"> </w:t>
            </w:r>
            <w:r>
              <w:rPr>
                <w:vertAlign w:val="superscript"/>
              </w:rPr>
              <w:t xml:space="preserve">58</w:t>
            </w:r>
          </w:p>
        </w:tc>
        <w:tc>
          <w:tcPr/>
          <w:p>
            <w:pPr>
              <w:pStyle w:val="Compact"/>
              <w:jc w:val="left"/>
            </w:pPr>
            <w:r>
              <w:t xml:space="preserve">+21.1% (Equity)</w:t>
            </w:r>
          </w:p>
        </w:tc>
      </w:tr>
      <w:tr>
        <w:tc>
          <w:tcPr/>
          <w:p>
            <w:pPr>
              <w:pStyle w:val="Compact"/>
              <w:jc w:val="left"/>
            </w:pPr>
            <w:r>
              <w:t xml:space="preserve">Risk of ruin ($100, 2% sizing)</w:t>
            </w:r>
          </w:p>
        </w:tc>
        <w:tc>
          <w:tcPr/>
          <w:p>
            <w:pPr>
              <w:pStyle w:val="Compact"/>
              <w:jc w:val="left"/>
            </w:pPr>
            <w:r>
              <w:t xml:space="preserve">&gt;95% over 100 trades</w:t>
            </w:r>
          </w:p>
        </w:tc>
        <w:tc>
          <w:tcPr/>
          <w:p>
            <w:pPr>
              <w:pStyle w:val="Compact"/>
              <w:jc w:val="left"/>
            </w:pPr>
            <w:r>
              <w:rPr>
                <w:bCs/>
                <w:b/>
              </w:rPr>
              <w:t xml:space="preserve">99.7%</w:t>
            </w:r>
            <w:r>
              <w:t xml:space="preserve"> </w:t>
            </w:r>
            <w:r>
              <w:rPr>
                <w:vertAlign w:val="superscript"/>
              </w:rPr>
              <w:t xml:space="preserve">58</w:t>
            </w:r>
          </w:p>
        </w:tc>
        <w:tc>
          <w:tcPr/>
          <w:p>
            <w:pPr>
              <w:pStyle w:val="Compact"/>
              <w:jc w:val="left"/>
            </w:pPr>
            <w:r>
              <w:t xml:space="preserve">&lt;1%</w:t>
            </w:r>
            <w:r>
              <w:t xml:space="preserve"> </w:t>
            </w:r>
            <w:r>
              <w:rPr>
                <w:vertAlign w:val="superscript"/>
              </w:rPr>
              <w:t xml:space="preserve">53</w:t>
            </w:r>
          </w:p>
        </w:tc>
      </w:tr>
      <w:tr>
        <w:tc>
          <w:tcPr/>
          <w:p>
            <w:pPr>
              <w:pStyle w:val="Compact"/>
              <w:jc w:val="left"/>
            </w:pPr>
            <w:r>
              <w:t xml:space="preserve">Round-trip transaction cost</w:t>
            </w:r>
          </w:p>
        </w:tc>
        <w:tc>
          <w:tcPr/>
          <w:p>
            <w:pPr>
              <w:pStyle w:val="Compact"/>
              <w:jc w:val="left"/>
            </w:pPr>
            <w:r>
              <w:t xml:space="preserve">3–30%</w:t>
            </w:r>
            <w:r>
              <w:t xml:space="preserve"> </w:t>
            </w:r>
            <w:r>
              <w:rPr>
                <w:vertAlign w:val="superscript"/>
              </w:rPr>
              <w:t xml:space="preserve">67</w:t>
            </w:r>
          </w:p>
        </w:tc>
        <w:tc>
          <w:tcPr/>
          <w:p>
            <w:pPr>
              <w:pStyle w:val="Compact"/>
              <w:jc w:val="left"/>
            </w:pPr>
            <w:r>
              <w:t xml:space="preserve">Spread + gas fees 0.5–3%</w:t>
            </w:r>
          </w:p>
        </w:tc>
        <w:tc>
          <w:tcPr/>
          <w:p>
            <w:pPr>
              <w:pStyle w:val="Compact"/>
              <w:jc w:val="left"/>
            </w:pPr>
            <w:r>
              <w:t xml:space="preserve">&lt;0.05%</w:t>
            </w:r>
          </w:p>
        </w:tc>
      </w:tr>
      <w:tr>
        <w:tc>
          <w:tcPr/>
          <w:p>
            <w:pPr>
              <w:pStyle w:val="Compact"/>
              <w:jc w:val="left"/>
            </w:pPr>
            <w:r>
              <w:t xml:space="preserve">Sharpe ratio</w:t>
            </w:r>
          </w:p>
        </w:tc>
        <w:tc>
          <w:tcPr/>
          <w:p>
            <w:pPr>
              <w:pStyle w:val="Compact"/>
              <w:jc w:val="left"/>
            </w:pPr>
            <w:r>
              <w:t xml:space="preserve">–2.06</w:t>
            </w:r>
            <w:r>
              <w:t xml:space="preserve"> </w:t>
            </w:r>
            <w:r>
              <w:rPr>
                <w:vertAlign w:val="superscript"/>
              </w:rPr>
              <w:t xml:space="preserve">64</w:t>
            </w:r>
          </w:p>
        </w:tc>
        <w:tc>
          <w:tcPr/>
          <w:p>
            <w:pPr>
              <w:pStyle w:val="Compact"/>
              <w:jc w:val="left"/>
            </w:pPr>
            <w:r>
              <w:t xml:space="preserve">Not calculable (infinite variance)</w:t>
            </w:r>
          </w:p>
        </w:tc>
        <w:tc>
          <w:tcPr/>
          <w:p>
            <w:pPr>
              <w:pStyle w:val="Compact"/>
              <w:jc w:val="left"/>
            </w:pPr>
            <w:r>
              <w:t xml:space="preserve">OOS Sharpe +3.527</w:t>
            </w:r>
          </w:p>
        </w:tc>
      </w:tr>
      <w:tr>
        <w:tc>
          <w:tcPr/>
          <w:p>
            <w:pPr>
              <w:pStyle w:val="Compact"/>
              <w:jc w:val="left"/>
            </w:pPr>
            <w:r>
              <w:t xml:space="preserve">Verdict</w:t>
            </w:r>
          </w:p>
        </w:tc>
        <w:tc>
          <w:tcPr/>
          <w:p>
            <w:pPr>
              <w:pStyle w:val="Compact"/>
              <w:jc w:val="left"/>
            </w:pPr>
            <w:r>
              <w:t xml:space="preserve">DANGEROUS — exclude by default</w:t>
            </w:r>
          </w:p>
        </w:tc>
        <w:tc>
          <w:tcPr/>
          <w:p>
            <w:pPr>
              <w:pStyle w:val="Compact"/>
              <w:jc w:val="left"/>
            </w:pPr>
            <w:r>
              <w:rPr>
                <w:bCs/>
                <w:b/>
              </w:rPr>
              <w:t xml:space="preserve">COMPLETELY EXCLUDE</w:t>
            </w:r>
          </w:p>
        </w:tc>
        <w:tc>
          <w:tcPr/>
          <w:p>
            <w:pPr>
              <w:pStyle w:val="Compact"/>
              <w:jc w:val="left"/>
            </w:pPr>
            <w:r>
              <w:t xml:space="preserve">Crown jewel asset class</w:t>
            </w:r>
          </w:p>
        </w:tc>
      </w:tr>
    </w:tbl>
    <w:p>
      <w:pPr>
        <w:pStyle w:val="BodyText"/>
      </w:pPr>
      <w:r>
        <w:t xml:space="preserve">Table 7.4 crystallizes the divergence between these three asset classes. Penny stocks and meme coins share a common structural signature: many small wins masking catastrophic losses, extreme positive skewness creating a</w:t>
      </w:r>
      <w:r>
        <w:t xml:space="preserve"> </w:t>
      </w:r>
      <w:r>
        <w:t xml:space="preserve">“</w:t>
      </w:r>
      <w:r>
        <w:t xml:space="preserve">survivorship illusion</w:t>
      </w:r>
      <w:r>
        <w:t xml:space="preserve">”</w:t>
      </w:r>
      <w:r>
        <w:t xml:space="preserve"> </w:t>
      </w:r>
      <w:r>
        <w:t xml:space="preserve">that attracts retail capital, and transaction cost structures that make positive net returns mathematically improbable. The platform’s equity strategies, by contrast, deliver positive OOS Sharpe (+3.527), a verifiable Kelly fraction above zero, and a sub-1% ruin probability under disciplined sizing. The difference is not one of degree but of kind: equities exhibit positive expected value under the platform’s methodology, while penny stocks and meme coins exhibit structurally negative expected value under any retail-accessible approach. Including either asset class would dilute the platform’s genuine equity edge with lottery-ticket exposures that serve as wealth transfer mechanisms from retail investors to insiders.</w:t>
      </w:r>
    </w:p>
    <w:p>
      <w:r>
        <w:pict>
          <v:rect style="width:0;height:1.5pt" o:hralign="center" o:hrstd="t" o:hr="t"/>
        </w:pict>
      </w:r>
    </w:p>
    <w:bookmarkEnd w:id="76"/>
    <w:bookmarkEnd w:id="77"/>
    <w:bookmarkStart w:id="82" w:name="code-quality-and-technical-debt"/>
    <w:p>
      <w:pPr>
        <w:pStyle w:val="Heading2"/>
      </w:pPr>
      <w:r>
        <w:t xml:space="preserve">8. Code Quality and Technical Debt</w:t>
      </w:r>
    </w:p>
    <w:bookmarkStart w:id="78" w:name="repository-health"/>
    <w:p>
      <w:pPr>
        <w:pStyle w:val="Heading3"/>
      </w:pPr>
      <w:r>
        <w:t xml:space="preserve">8.1 Repository Health</w:t>
      </w:r>
    </w:p>
    <w:p>
      <w:pPr>
        <w:pStyle w:val="FirstParagraph"/>
      </w:pPr>
      <w:r>
        <w:t xml:space="preserve">The platform’s codebase presents a paradox: 119,598 commits across multiple AI-agent contributors (KIMI, Claude, Cursor, Copilot) have produced volume without corresponding quality infrastructure [from dim10 analysis]. The public mphinance/mphinance repository contains 561 commits focused on content and configuration, not core trading logic. The actual trading system — containing</w:t>
      </w:r>
      <w:r>
        <w:t xml:space="preserve"> </w:t>
      </w:r>
      <w:r>
        <w:rPr>
          <w:rStyle w:val="VerbatimChar"/>
        </w:rPr>
        <w:t xml:space="preserve">outcome_resolver.py</w:t>
      </w:r>
      <w:r>
        <w:t xml:space="preserve"> </w:t>
      </w:r>
      <w:r>
        <w:t xml:space="preserve">and strategy engine code — resides in a separate repository where code quality issues are more acute.</w:t>
      </w:r>
    </w:p>
    <w:p>
      <w:pPr>
        <w:pStyle w:val="BodyText"/>
      </w:pPr>
      <w:r>
        <w:t xml:space="preserve">The most critical maintenance risk is</w:t>
      </w:r>
      <w:r>
        <w:t xml:space="preserve"> </w:t>
      </w:r>
      <w:r>
        <w:rPr>
          <w:bCs/>
          <w:b/>
        </w:rPr>
        <w:t xml:space="preserve">code duplication</w:t>
      </w:r>
      <w:r>
        <w:t xml:space="preserve">:</w:t>
      </w:r>
      <w:r>
        <w:t xml:space="preserve"> </w:t>
      </w:r>
      <w:r>
        <w:rPr>
          <w:rStyle w:val="VerbatimChar"/>
        </w:rPr>
        <w:t xml:space="preserve">outcome_resolver.py</w:t>
      </w:r>
      <w:r>
        <w:t xml:space="preserve"> </w:t>
      </w:r>
      <w:r>
        <w:t xml:space="preserve">exists in</w:t>
      </w:r>
      <w:r>
        <w:t xml:space="preserve"> </w:t>
      </w:r>
      <w:r>
        <w:rPr>
          <w:bCs/>
          <w:b/>
        </w:rPr>
        <w:t xml:space="preserve">5 or more copies</w:t>
      </w:r>
      <w:r>
        <w:t xml:space="preserve"> </w:t>
      </w:r>
      <w:r>
        <w:t xml:space="preserve">across different directories, creating version-control drift and inconsistent backtest results. The 2026-04-28 resolver fix may have been applied to only the primary copy, leaving backtest processes and dashboard queries potentially referencing unpatched versions</w:t>
      </w:r>
      <w:r>
        <w:t xml:space="preserve"> </w:t>
      </w:r>
      <w:r>
        <w:rPr>
          <w:vertAlign w:val="superscript"/>
        </w:rPr>
        <w:t xml:space="preserve">23</w:t>
      </w:r>
      <w:r>
        <w:t xml:space="preserve">. Commit message quality is inconsistent — emoji-heavy messages like</w:t>
      </w:r>
      <w:r>
        <w:t xml:space="preserve"> </w:t>
      </w:r>
      <w:r>
        <w:t xml:space="preserve">“</w:t>
      </w:r>
      <w:r>
        <w:t xml:space="preserve">🎙️ Voice extraction</w:t>
      </w:r>
      <w:r>
        <w:t xml:space="preserve">”</w:t>
      </w:r>
      <w:r>
        <w:t xml:space="preserve"> </w:t>
      </w:r>
      <w:r>
        <w:t xml:space="preserve">suggest limited human review of AI agent contributions. With multiple AI agents committing without a structured review gate,</w:t>
      </w:r>
      <w:r>
        <w:t xml:space="preserve"> </w:t>
      </w:r>
      <w:r>
        <w:t xml:space="preserve">“</w:t>
      </w:r>
      <w:r>
        <w:t xml:space="preserve">agent drift</w:t>
      </w:r>
      <w:r>
        <w:t xml:space="preserve">”</w:t>
      </w:r>
      <w:r>
        <w:t xml:space="preserve"> </w:t>
      </w:r>
      <w:r>
        <w:t xml:space="preserve">— small unauthorized changes to strategy parameters — becomes a non-trivial risk.</w:t>
      </w:r>
    </w:p>
    <w:p>
      <w:pPr>
        <w:pStyle w:val="BodyText"/>
      </w:pPr>
      <w:r>
        <w:rPr>
          <w:bCs/>
          <w:b/>
        </w:rPr>
        <w:t xml:space="preserve">Table 8.1 — Repository Health Metrics</w:t>
      </w:r>
    </w:p>
    <w:tbl>
      <w:tblPr>
        <w:tblStyle w:val="Table"/>
        <w:tblW w:type="pct" w:w="5000"/>
        <w:tblLook w:firstRow="1" w:lastRow="0" w:firstColumn="0" w:lastColumn="0" w:noHBand="0" w:noVBand="0" w:val="0020"/>
      </w:tblPr>
      <w:tblGrid>
        <w:gridCol w:w="2346"/>
        <w:gridCol w:w="2053"/>
        <w:gridCol w:w="352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Assessment</w:t>
            </w:r>
          </w:p>
        </w:tc>
      </w:tr>
      <w:tr>
        <w:tc>
          <w:tcPr/>
          <w:p>
            <w:pPr>
              <w:pStyle w:val="Compact"/>
              <w:jc w:val="left"/>
            </w:pPr>
            <w:r>
              <w:t xml:space="preserve">Total commits</w:t>
            </w:r>
          </w:p>
        </w:tc>
        <w:tc>
          <w:tcPr/>
          <w:p>
            <w:pPr>
              <w:pStyle w:val="Compact"/>
              <w:jc w:val="left"/>
            </w:pPr>
            <w:r>
              <w:t xml:space="preserve">119,598</w:t>
            </w:r>
          </w:p>
        </w:tc>
        <w:tc>
          <w:tcPr/>
          <w:p>
            <w:pPr>
              <w:pStyle w:val="Compact"/>
              <w:jc w:val="left"/>
            </w:pPr>
            <w:r>
              <w:t xml:space="preserve">High velocity, unclear quality correlation</w:t>
            </w:r>
          </w:p>
        </w:tc>
      </w:tr>
      <w:tr>
        <w:tc>
          <w:tcPr/>
          <w:p>
            <w:pPr>
              <w:pStyle w:val="Compact"/>
              <w:jc w:val="left"/>
            </w:pPr>
            <w:r>
              <w:t xml:space="preserve">AI agent contributors</w:t>
            </w:r>
          </w:p>
        </w:tc>
        <w:tc>
          <w:tcPr/>
          <w:p>
            <w:pPr>
              <w:pStyle w:val="Compact"/>
              <w:jc w:val="left"/>
            </w:pPr>
            <w:r>
              <w:t xml:space="preserve">4+ (KIMI, Claude, Cursor, Copilot)</w:t>
            </w:r>
          </w:p>
        </w:tc>
        <w:tc>
          <w:tcPr/>
          <w:p>
            <w:pPr>
              <w:pStyle w:val="Compact"/>
              <w:jc w:val="left"/>
            </w:pPr>
            <w:r>
              <w:t xml:space="preserve">No structured review gate</w:t>
            </w:r>
          </w:p>
        </w:tc>
      </w:tr>
      <w:tr>
        <w:tc>
          <w:tcPr/>
          <w:p>
            <w:pPr>
              <w:pStyle w:val="Compact"/>
              <w:jc w:val="left"/>
            </w:pPr>
            <w:r>
              <w:t xml:space="preserve">Copies of outcome_resolver.py</w:t>
            </w:r>
          </w:p>
        </w:tc>
        <w:tc>
          <w:tcPr/>
          <w:p>
            <w:pPr>
              <w:pStyle w:val="Compact"/>
              <w:jc w:val="left"/>
            </w:pPr>
            <w:r>
              <w:t xml:space="preserve">5+</w:t>
            </w:r>
          </w:p>
        </w:tc>
        <w:tc>
          <w:tcPr/>
          <w:p>
            <w:pPr>
              <w:pStyle w:val="Compact"/>
              <w:jc w:val="left"/>
            </w:pPr>
            <w:r>
              <w:t xml:space="preserve">Version-control drift risk</w:t>
            </w:r>
            <w:r>
              <w:t xml:space="preserve"> </w:t>
            </w:r>
            <w:r>
              <w:rPr>
                <w:vertAlign w:val="superscript"/>
              </w:rPr>
              <w:t xml:space="preserve">23</w:t>
            </w:r>
          </w:p>
        </w:tc>
      </w:tr>
      <w:tr>
        <w:tc>
          <w:tcPr/>
          <w:p>
            <w:pPr>
              <w:pStyle w:val="Compact"/>
              <w:jc w:val="left"/>
            </w:pPr>
            <w:r>
              <w:t xml:space="preserve">Public repo commits (mphinance)</w:t>
            </w:r>
          </w:p>
        </w:tc>
        <w:tc>
          <w:tcPr/>
          <w:p>
            <w:pPr>
              <w:pStyle w:val="Compact"/>
              <w:jc w:val="left"/>
            </w:pPr>
            <w:r>
              <w:t xml:space="preserve">561</w:t>
            </w:r>
          </w:p>
        </w:tc>
        <w:tc>
          <w:tcPr/>
          <w:p>
            <w:pPr>
              <w:pStyle w:val="Compact"/>
              <w:jc w:val="left"/>
            </w:pPr>
            <w:r>
              <w:t xml:space="preserve">Content-focused; not core trading system</w:t>
            </w:r>
          </w:p>
        </w:tc>
      </w:tr>
      <w:tr>
        <w:tc>
          <w:tcPr/>
          <w:p>
            <w:pPr>
              <w:pStyle w:val="Compact"/>
              <w:jc w:val="left"/>
            </w:pPr>
            <w:r>
              <w:t xml:space="preserve">HTML comment bugs in production</w:t>
            </w:r>
          </w:p>
        </w:tc>
        <w:tc>
          <w:tcPr/>
          <w:p>
            <w:pPr>
              <w:pStyle w:val="Compact"/>
              <w:jc w:val="left"/>
            </w:pPr>
            <w:r>
              <w:t xml:space="preserve">1 (nested comment in template.html)</w:t>
            </w:r>
          </w:p>
        </w:tc>
        <w:tc>
          <w:tcPr/>
          <w:p>
            <w:pPr>
              <w:pStyle w:val="Compact"/>
              <w:jc w:val="left"/>
            </w:pPr>
            <w:r>
              <w:t xml:space="preserve">Medium severity; affects UX</w:t>
            </w:r>
            <w:r>
              <w:t xml:space="preserve"> </w:t>
            </w:r>
            <w:r>
              <w:rPr>
                <w:vertAlign w:val="superscript"/>
              </w:rPr>
              <w:t xml:space="preserve">23</w:t>
            </w:r>
          </w:p>
        </w:tc>
      </w:tr>
      <w:tr>
        <w:tc>
          <w:tcPr/>
          <w:p>
            <w:pPr>
              <w:pStyle w:val="Compact"/>
              <w:jc w:val="left"/>
            </w:pPr>
            <w:r>
              <w:t xml:space="preserve">Console.log statements in JS</w:t>
            </w:r>
          </w:p>
        </w:tc>
        <w:tc>
          <w:tcPr/>
          <w:p>
            <w:pPr>
              <w:pStyle w:val="Compact"/>
              <w:jc w:val="left"/>
            </w:pPr>
            <w:r>
              <w:t xml:space="preserve">15+</w:t>
            </w:r>
          </w:p>
        </w:tc>
        <w:tc>
          <w:tcPr/>
          <w:p>
            <w:pPr>
              <w:pStyle w:val="Compact"/>
              <w:jc w:val="left"/>
            </w:pPr>
            <w:r>
              <w:t xml:space="preserve">Low severity; exposes architecture details</w:t>
            </w:r>
          </w:p>
        </w:tc>
      </w:tr>
      <w:tr>
        <w:tc>
          <w:tcPr/>
          <w:p>
            <w:pPr>
              <w:pStyle w:val="Compact"/>
              <w:jc w:val="left"/>
            </w:pPr>
            <w:r>
              <w:t xml:space="preserve">Empty tab content (ML Health)</w:t>
            </w:r>
          </w:p>
        </w:tc>
        <w:tc>
          <w:tcPr/>
          <w:p>
            <w:pPr>
              <w:pStyle w:val="Compact"/>
              <w:jc w:val="left"/>
            </w:pPr>
            <w:r>
              <w:t xml:space="preserve">1 tab</w:t>
            </w:r>
          </w:p>
        </w:tc>
        <w:tc>
          <w:tcPr/>
          <w:p>
            <w:pPr>
              <w:pStyle w:val="Compact"/>
              <w:jc w:val="left"/>
            </w:pPr>
            <w:r>
              <w:t xml:space="preserve">Possibly intentional (dynamic load)</w:t>
            </w:r>
          </w:p>
        </w:tc>
      </w:tr>
      <w:tr>
        <w:tc>
          <w:tcPr/>
          <w:p>
            <w:pPr>
              <w:pStyle w:val="Compact"/>
              <w:jc w:val="left"/>
            </w:pPr>
            <w:r>
              <w:t xml:space="preserve">Inst. infrastructure coverage</w:t>
            </w:r>
          </w:p>
        </w:tc>
        <w:tc>
          <w:tcPr/>
          <w:p>
            <w:pPr>
              <w:pStyle w:val="Compact"/>
              <w:jc w:val="left"/>
            </w:pPr>
            <w:r>
              <w:t xml:space="preserve">~5% of hedge-fund standard</w:t>
            </w:r>
          </w:p>
        </w:tc>
        <w:tc>
          <w:tcPr/>
          <w:p>
            <w:pPr>
              <w:pStyle w:val="Compact"/>
              <w:jc w:val="left"/>
            </w:pPr>
            <w:r>
              <w:t xml:space="preserve">Existential gap</w:t>
            </w:r>
          </w:p>
        </w:tc>
      </w:tr>
    </w:tbl>
    <w:bookmarkEnd w:id="78"/>
    <w:bookmarkStart w:id="79" w:name="the-resolver-fix"/>
    <w:p>
      <w:pPr>
        <w:pStyle w:val="Heading3"/>
      </w:pPr>
      <w:r>
        <w:t xml:space="preserve">8.2 The Resolver Fix</w:t>
      </w:r>
    </w:p>
    <w:p>
      <w:pPr>
        <w:pStyle w:val="FirstParagraph"/>
      </w:pPr>
      <w:r>
        <w:t xml:space="preserve">The 2026-04-28 resolver fix eliminated an infinite retry loop in</w:t>
      </w:r>
      <w:r>
        <w:t xml:space="preserve"> </w:t>
      </w:r>
      <w:r>
        <w:rPr>
          <w:rStyle w:val="VerbatimChar"/>
        </w:rPr>
        <w:t xml:space="preserve">outcome_resolver.py</w:t>
      </w:r>
      <w:r>
        <w:t xml:space="preserve"> </w:t>
      </w:r>
      <w:r>
        <w:t xml:space="preserve">— a well-documented failure mode where a mid-write crash leaves corrupted state triggering endless retries</w:t>
      </w:r>
      <w:r>
        <w:t xml:space="preserve"> </w:t>
      </w:r>
      <w:r>
        <w:rPr>
          <w:vertAlign w:val="superscript"/>
        </w:rPr>
        <w:t xml:space="preserve">23</w:t>
      </w:r>
      <w:r>
        <w:t xml:space="preserve">. Pre-fix, FOREX showed 0% win rate because failed resolutions never completed; post-fix, FOREX registered 46.4% WR and commodity PF reached 1.78. The critical distinction: this was a</w:t>
      </w:r>
      <w:r>
        <w:t xml:space="preserve"> </w:t>
      </w:r>
      <w:r>
        <w:rPr>
          <w:bCs/>
          <w:b/>
        </w:rPr>
        <w:t xml:space="preserve">tracking fix, not a strategy fix</w:t>
      </w:r>
      <w:r>
        <w:t xml:space="preserve">. The resolver classifies outcomes of trades already made — it does not determine which trades to make. The fix was akin to repairing a broken speedometer: it reveals true speed without making the car faster.</w:t>
      </w:r>
    </w:p>
    <w:p>
      <w:pPr>
        <w:pStyle w:val="BodyText"/>
      </w:pPr>
      <w:r>
        <w:t xml:space="preserve">The post-fix FOREX profit factor of</w:t>
      </w:r>
      <w:r>
        <w:t xml:space="preserve"> </w:t>
      </w:r>
      <w:r>
        <w:rPr>
          <w:bCs/>
          <w:b/>
        </w:rPr>
        <w:t xml:space="preserve">0.27</w:t>
      </w:r>
      <w:r>
        <w:t xml:space="preserve"> </w:t>
      </w:r>
      <w:r>
        <w:t xml:space="preserve">means the strategy loses $3.70 for every $1.00 of gross profit. The fix did not break FOREX — it revealed that FOREX was already broken</w:t>
      </w:r>
      <w:r>
        <w:t xml:space="preserve"> </w:t>
      </w:r>
      <w:r>
        <w:rPr>
          <w:vertAlign w:val="superscript"/>
        </w:rPr>
        <w:t xml:space="preserve">13</w:t>
      </w:r>
      <w:r>
        <w:t xml:space="preserve">. Meanwhile, commodity PF of 1.78 is encouraging but statistically unconfirmed. The attribution challenge is compounded by multiple confounding commits in the same 2-week window: cross-system aggregation, 5 new swarm engines, and configuration changes. Post-fix data mixes legacy and new engine picks in unknown proportions, violating consistent structural conditions for statistical validity</w:t>
      </w:r>
      <w:r>
        <w:t xml:space="preserve"> </w:t>
      </w:r>
      <w:r>
        <w:rPr>
          <w:vertAlign w:val="superscript"/>
        </w:rPr>
        <w:t xml:space="preserve">25</w:t>
      </w:r>
      <w:r>
        <w:t xml:space="preserve">.</w:t>
      </w:r>
    </w:p>
    <w:bookmarkEnd w:id="79"/>
    <w:bookmarkStart w:id="80" w:name="evaluation-timeline"/>
    <w:p>
      <w:pPr>
        <w:pStyle w:val="Heading3"/>
      </w:pPr>
      <w:r>
        <w:t xml:space="preserve">8.3 Evaluation Timeline</w:t>
      </w:r>
    </w:p>
    <w:p>
      <w:pPr>
        <w:pStyle w:val="FirstParagraph"/>
      </w:pPr>
      <w:r>
        <w:t xml:space="preserve">Six days of post-fix data is categorically insufficient to evaluate any trading strategy change. The statistical requirements are well-established across institutional and retail standards.</w:t>
      </w:r>
    </w:p>
    <w:p>
      <w:pPr>
        <w:pStyle w:val="BodyText"/>
      </w:pPr>
      <w:r>
        <w:rPr>
          <w:bCs/>
          <w:b/>
        </w:rPr>
        <w:t xml:space="preserve">Table 8.2 — Minimum Evaluation Timeline for Resolver Fix Impact</w:t>
      </w:r>
    </w:p>
    <w:tbl>
      <w:tblPr>
        <w:tblStyle w:val="Table"/>
        <w:tblW w:type="pct" w:w="5000"/>
        <w:tblLook w:firstRow="1" w:lastRow="0" w:firstColumn="0" w:lastColumn="0" w:noHBand="0" w:noVBand="0" w:val="0020"/>
      </w:tblPr>
      <w:tblGrid>
        <w:gridCol w:w="1601"/>
        <w:gridCol w:w="1957"/>
        <w:gridCol w:w="1779"/>
        <w:gridCol w:w="1512"/>
        <w:gridCol w:w="1067"/>
      </w:tblGrid>
      <w:tr>
        <w:trPr>
          <w:tblHeader w:val="true"/>
        </w:trPr>
        <w:tc>
          <w:tcPr/>
          <w:p>
            <w:pPr>
              <w:pStyle w:val="Compact"/>
              <w:jc w:val="left"/>
            </w:pPr>
            <w:r>
              <w:t xml:space="preserve">Confidence Level</w:t>
            </w:r>
          </w:p>
        </w:tc>
        <w:tc>
          <w:tcPr/>
          <w:p>
            <w:pPr>
              <w:pStyle w:val="Compact"/>
              <w:jc w:val="center"/>
            </w:pPr>
            <w:r>
              <w:t xml:space="preserve">Minimum Closed Trades</w:t>
            </w:r>
          </w:p>
        </w:tc>
        <w:tc>
          <w:tcPr/>
          <w:p>
            <w:pPr>
              <w:pStyle w:val="Compact"/>
              <w:jc w:val="center"/>
            </w:pPr>
            <w:r>
              <w:t xml:space="preserve">Est. Calendar Days</w:t>
            </w:r>
          </w:p>
        </w:tc>
        <w:tc>
          <w:tcPr/>
          <w:p>
            <w:pPr>
              <w:pStyle w:val="Compact"/>
              <w:jc w:val="left"/>
            </w:pPr>
            <w:r>
              <w:t xml:space="preserve">Assessment Date</w:t>
            </w:r>
          </w:p>
        </w:tc>
        <w:tc>
          <w:tcPr/>
          <w:p>
            <w:pPr>
              <w:pStyle w:val="Compact"/>
              <w:jc w:val="left"/>
            </w:pPr>
            <w:r>
              <w:t xml:space="preserve">Actionable?</w:t>
            </w:r>
          </w:p>
        </w:tc>
      </w:tr>
      <w:tr>
        <w:tc>
          <w:tcPr/>
          <w:p>
            <w:pPr>
              <w:pStyle w:val="Compact"/>
              <w:jc w:val="left"/>
            </w:pPr>
            <w:r>
              <w:t xml:space="preserve">Bug elimination confirmed</w:t>
            </w:r>
          </w:p>
        </w:tc>
        <w:tc>
          <w:tcPr/>
          <w:p>
            <w:pPr>
              <w:pStyle w:val="Compact"/>
              <w:jc w:val="center"/>
            </w:pPr>
            <w:r>
              <w:t xml:space="preserve">—</w:t>
            </w:r>
          </w:p>
        </w:tc>
        <w:tc>
          <w:tcPr/>
          <w:p>
            <w:pPr>
              <w:pStyle w:val="Compact"/>
              <w:jc w:val="center"/>
            </w:pPr>
            <w:r>
              <w:t xml:space="preserve">Immediate</w:t>
            </w:r>
          </w:p>
        </w:tc>
        <w:tc>
          <w:tcPr/>
          <w:p>
            <w:pPr>
              <w:pStyle w:val="Compact"/>
              <w:jc w:val="left"/>
            </w:pPr>
            <w:r>
              <w:t xml:space="preserve">2026-04-28</w:t>
            </w:r>
          </w:p>
        </w:tc>
        <w:tc>
          <w:tcPr/>
          <w:p>
            <w:pPr>
              <w:pStyle w:val="Compact"/>
              <w:jc w:val="left"/>
            </w:pPr>
            <w:r>
              <w:t xml:space="preserve">Yes — non-zero WR confirms fix</w:t>
            </w:r>
          </w:p>
        </w:tc>
      </w:tr>
      <w:tr>
        <w:tc>
          <w:tcPr/>
          <w:p>
            <w:pPr>
              <w:pStyle w:val="Compact"/>
              <w:jc w:val="left"/>
            </w:pPr>
            <w:r>
              <w:t xml:space="preserve">Gross directional check</w:t>
            </w:r>
          </w:p>
        </w:tc>
        <w:tc>
          <w:tcPr/>
          <w:p>
            <w:pPr>
              <w:pStyle w:val="Compact"/>
              <w:jc w:val="center"/>
            </w:pPr>
            <w:r>
              <w:t xml:space="preserve">100</w:t>
            </w:r>
          </w:p>
        </w:tc>
        <w:tc>
          <w:tcPr/>
          <w:p>
            <w:pPr>
              <w:pStyle w:val="Compact"/>
              <w:jc w:val="center"/>
            </w:pPr>
            <w:r>
              <w:t xml:space="preserve">14–20 days</w:t>
            </w:r>
          </w:p>
        </w:tc>
        <w:tc>
          <w:tcPr/>
          <w:p>
            <w:pPr>
              <w:pStyle w:val="Compact"/>
              <w:jc w:val="left"/>
            </w:pPr>
            <w:r>
              <w:t xml:space="preserve">2026-05-18</w:t>
            </w:r>
          </w:p>
        </w:tc>
        <w:tc>
          <w:tcPr/>
          <w:p>
            <w:pPr>
              <w:pStyle w:val="Compact"/>
              <w:jc w:val="left"/>
            </w:pPr>
            <w:r>
              <w:t xml:space="preserve">Barely — detects gross failure only</w:t>
            </w:r>
            <w:r>
              <w:t xml:space="preserve"> </w:t>
            </w:r>
            <w:r>
              <w:rPr>
                <w:vertAlign w:val="superscript"/>
              </w:rPr>
              <w:t xml:space="preserve">77</w:t>
            </w:r>
          </w:p>
        </w:tc>
      </w:tr>
      <w:tr>
        <w:tc>
          <w:tcPr/>
          <w:p>
            <w:pPr>
              <w:pStyle w:val="Compact"/>
              <w:jc w:val="left"/>
            </w:pPr>
            <w:r>
              <w:t xml:space="preserve">Basic WR/PF stability</w:t>
            </w:r>
          </w:p>
        </w:tc>
        <w:tc>
          <w:tcPr/>
          <w:p>
            <w:pPr>
              <w:pStyle w:val="Compact"/>
              <w:jc w:val="center"/>
            </w:pPr>
            <w:r>
              <w:t xml:space="preserve">200</w:t>
            </w:r>
          </w:p>
        </w:tc>
        <w:tc>
          <w:tcPr/>
          <w:p>
            <w:pPr>
              <w:pStyle w:val="Compact"/>
              <w:jc w:val="center"/>
            </w:pPr>
            <w:r>
              <w:t xml:space="preserve">28–40 days</w:t>
            </w:r>
          </w:p>
        </w:tc>
        <w:tc>
          <w:tcPr/>
          <w:p>
            <w:pPr>
              <w:pStyle w:val="Compact"/>
              <w:jc w:val="left"/>
            </w:pPr>
            <w:r>
              <w:t xml:space="preserve">2026-06-01</w:t>
            </w:r>
          </w:p>
        </w:tc>
        <w:tc>
          <w:tcPr/>
          <w:p>
            <w:pPr>
              <w:pStyle w:val="Compact"/>
              <w:jc w:val="left"/>
            </w:pPr>
            <w:r>
              <w:t xml:space="preserve">Moderate — basic trend assessment</w:t>
            </w:r>
            <w:r>
              <w:t xml:space="preserve"> </w:t>
            </w:r>
            <w:r>
              <w:rPr>
                <w:vertAlign w:val="superscript"/>
              </w:rPr>
              <w:t xml:space="preserve">13</w:t>
            </w:r>
          </w:p>
        </w:tc>
      </w:tr>
      <w:tr>
        <w:tc>
          <w:tcPr/>
          <w:p>
            <w:pPr>
              <w:pStyle w:val="Compact"/>
              <w:jc w:val="left"/>
            </w:pPr>
            <w:r>
              <w:t xml:space="preserve">Regime resilience</w:t>
            </w:r>
          </w:p>
        </w:tc>
        <w:tc>
          <w:tcPr/>
          <w:p>
            <w:pPr>
              <w:pStyle w:val="Compact"/>
              <w:jc w:val="center"/>
            </w:pPr>
            <w:r>
              <w:t xml:space="preserve">500</w:t>
            </w:r>
          </w:p>
        </w:tc>
        <w:tc>
          <w:tcPr/>
          <w:p>
            <w:pPr>
              <w:pStyle w:val="Compact"/>
              <w:jc w:val="center"/>
            </w:pPr>
            <w:r>
              <w:t xml:space="preserve">70–100 days</w:t>
            </w:r>
          </w:p>
        </w:tc>
        <w:tc>
          <w:tcPr/>
          <w:p>
            <w:pPr>
              <w:pStyle w:val="Compact"/>
              <w:jc w:val="left"/>
            </w:pPr>
            <w:r>
              <w:t xml:space="preserve">2026-08-01</w:t>
            </w:r>
          </w:p>
        </w:tc>
        <w:tc>
          <w:tcPr/>
          <w:p>
            <w:pPr>
              <w:pStyle w:val="Compact"/>
              <w:jc w:val="left"/>
            </w:pPr>
            <w:r>
              <w:t xml:space="preserve">Yes — institutional-grade confidence</w:t>
            </w:r>
            <w:r>
              <w:t xml:space="preserve"> </w:t>
            </w:r>
            <w:r>
              <w:rPr>
                <w:vertAlign w:val="superscript"/>
              </w:rPr>
              <w:t xml:space="preserve">25</w:t>
            </w:r>
          </w:p>
        </w:tc>
      </w:tr>
      <w:tr>
        <w:tc>
          <w:tcPr/>
          <w:p>
            <w:pPr>
              <w:pStyle w:val="Compact"/>
              <w:jc w:val="left"/>
            </w:pPr>
            <w:r>
              <w:t xml:space="preserve">Full regime coverage</w:t>
            </w:r>
          </w:p>
        </w:tc>
        <w:tc>
          <w:tcPr/>
          <w:p>
            <w:pPr>
              <w:pStyle w:val="Compact"/>
              <w:jc w:val="center"/>
            </w:pPr>
            <w:r>
              <w:t xml:space="preserve">500+ across regimes</w:t>
            </w:r>
          </w:p>
        </w:tc>
        <w:tc>
          <w:tcPr/>
          <w:p>
            <w:pPr>
              <w:pStyle w:val="Compact"/>
              <w:jc w:val="center"/>
            </w:pPr>
            <w:r>
              <w:t xml:space="preserve">90–180 days</w:t>
            </w:r>
          </w:p>
        </w:tc>
        <w:tc>
          <w:tcPr/>
          <w:p>
            <w:pPr>
              <w:pStyle w:val="Compact"/>
              <w:jc w:val="left"/>
            </w:pPr>
            <w:r>
              <w:t xml:space="preserve">2026-08 to 2026-10</w:t>
            </w:r>
          </w:p>
        </w:tc>
        <w:tc>
          <w:tcPr/>
          <w:p>
            <w:pPr>
              <w:pStyle w:val="Compact"/>
              <w:jc w:val="left"/>
            </w:pPr>
            <w:r>
              <w:t xml:space="preserve">Yes — deployment decision support</w:t>
            </w:r>
            <w:r>
              <w:t xml:space="preserve"> </w:t>
            </w:r>
            <w:r>
              <w:rPr>
                <w:vertAlign w:val="superscript"/>
              </w:rPr>
              <w:t xml:space="preserve">13</w:t>
            </w:r>
          </w:p>
        </w:tc>
      </w:tr>
    </w:tbl>
    <w:p>
      <w:pPr>
        <w:pStyle w:val="BodyText"/>
      </w:pPr>
      <w:r>
        <w:t xml:space="preserve">At the platform’s estimated resolution velocity of 30% of picks closing within 24 hours, FOREX generates approximately 45–65 closed trades in 6 days and commodities generate 25–35. With 45–65 trades at ~46% WR, the 95% confidence interval spans approximately [32%, 60%] — far too wide to distinguish edge from random noise at the 50% benchmark</w:t>
      </w:r>
      <w:r>
        <w:t xml:space="preserve"> </w:t>
      </w:r>
      <w:r>
        <w:rPr>
          <w:vertAlign w:val="superscript"/>
        </w:rPr>
        <w:t xml:space="preserve">78</w:t>
      </w:r>
      <w:r>
        <w:t xml:space="preserve"> </w:t>
      </w:r>
      <w:r>
        <w:rPr>
          <w:vertAlign w:val="superscript"/>
        </w:rPr>
        <w:t xml:space="preserve">25</w:t>
      </w:r>
      <w:r>
        <w:t xml:space="preserve">. The 5 new swarm engines deployed in the same window constitute the most dangerous confounding factor: post-fix FOREX and commodity data is not from the same strategy distribution as pre-fix data, making attribution impossible without per-engine telemetry</w:t>
      </w:r>
      <w:r>
        <w:t xml:space="preserve"> </w:t>
      </w:r>
      <w:r>
        <w:rPr>
          <w:vertAlign w:val="superscript"/>
        </w:rPr>
        <w:t xml:space="preserve">77</w:t>
      </w:r>
      <w:r>
        <w:t xml:space="preserve">. Recommendation:</w:t>
      </w:r>
      <w:r>
        <w:t xml:space="preserve"> </w:t>
      </w:r>
      <w:r>
        <w:rPr>
          <w:bCs/>
          <w:b/>
        </w:rPr>
        <w:t xml:space="preserve">do not make allocation decisions based on 6-day post-fix data</w:t>
      </w:r>
      <w:r>
        <w:t xml:space="preserve">. Wait until at least 2026-05-18 for gross directional assessment and 2026-06-01 for any meaningful PF/WR evaluation.</w:t>
      </w:r>
    </w:p>
    <w:bookmarkEnd w:id="80"/>
    <w:bookmarkStart w:id="81" w:name="orphaned-code-goldmines"/>
    <w:p>
      <w:pPr>
        <w:pStyle w:val="Heading3"/>
      </w:pPr>
      <w:r>
        <w:t xml:space="preserve">8.4 Orphaned Code Goldmines</w:t>
      </w:r>
    </w:p>
    <w:p>
      <w:pPr>
        <w:pStyle w:val="FirstParagraph"/>
      </w:pPr>
      <w:r>
        <w:t xml:space="preserve">The high commit velocity and multi-agent development model have likely left dormant but valuable code modules scattered throughout the repository. Table 8.3 identifies the top candidates for resurrection based on cross-dimensional evidence of potential edge.</w:t>
      </w:r>
    </w:p>
    <w:p>
      <w:pPr>
        <w:pStyle w:val="BodyText"/>
      </w:pPr>
      <w:r>
        <w:rPr>
          <w:bCs/>
          <w:b/>
        </w:rPr>
        <w:t xml:space="preserve">Table 8.3 — Top Orphaned Code Candidates for Resurrection</w:t>
      </w:r>
    </w:p>
    <w:tbl>
      <w:tblPr>
        <w:tblStyle w:val="Table"/>
        <w:tblW w:type="pct" w:w="5000"/>
        <w:tblLook w:firstRow="1" w:lastRow="0" w:firstColumn="0" w:lastColumn="0" w:noHBand="0" w:noVBand="0" w:val="0020"/>
      </w:tblPr>
      <w:tblGrid>
        <w:gridCol w:w="2036"/>
        <w:gridCol w:w="1923"/>
        <w:gridCol w:w="2489"/>
        <w:gridCol w:w="1470"/>
      </w:tblGrid>
      <w:tr>
        <w:trPr>
          <w:tblHeader w:val="true"/>
        </w:trPr>
        <w:tc>
          <w:tcPr/>
          <w:p>
            <w:pPr>
              <w:pStyle w:val="Compact"/>
              <w:jc w:val="left"/>
            </w:pPr>
            <w:r>
              <w:t xml:space="preserve">Candidate Module</w:t>
            </w:r>
          </w:p>
        </w:tc>
        <w:tc>
          <w:tcPr/>
          <w:p>
            <w:pPr>
              <w:pStyle w:val="Compact"/>
              <w:jc w:val="left"/>
            </w:pPr>
            <w:r>
              <w:t xml:space="preserve">Evidence of Edge</w:t>
            </w:r>
          </w:p>
        </w:tc>
        <w:tc>
          <w:tcPr/>
          <w:p>
            <w:pPr>
              <w:pStyle w:val="Compact"/>
              <w:jc w:val="left"/>
            </w:pPr>
            <w:r>
              <w:t xml:space="preserve">Resurrection Priority</w:t>
            </w:r>
          </w:p>
        </w:tc>
        <w:tc>
          <w:tcPr/>
          <w:p>
            <w:pPr>
              <w:pStyle w:val="Compact"/>
              <w:jc w:val="left"/>
            </w:pPr>
            <w:r>
              <w:t xml:space="preserve">Est. Effort</w:t>
            </w:r>
          </w:p>
        </w:tc>
      </w:tr>
      <w:tr>
        <w:tc>
          <w:tcPr/>
          <w:p>
            <w:pPr>
              <w:pStyle w:val="Compact"/>
              <w:jc w:val="left"/>
            </w:pPr>
            <w:r>
              <w:t xml:space="preserve">Signal Quality ML predictor</w:t>
            </w:r>
          </w:p>
        </w:tc>
        <w:tc>
          <w:tcPr/>
          <w:p>
            <w:pPr>
              <w:pStyle w:val="Compact"/>
              <w:jc w:val="left"/>
            </w:pPr>
            <w:r>
              <w:t xml:space="preserve">Claims +5–15pp WR improvement;</w:t>
            </w:r>
            <w:r>
              <w:t xml:space="preserve"> </w:t>
            </w:r>
            <w:r>
              <w:t xml:space="preserve">“</w:t>
            </w:r>
            <w:r>
              <w:t xml:space="preserve">code review only</w:t>
            </w:r>
            <w:r>
              <w:t xml:space="preserve">”</w:t>
            </w:r>
            <w:r>
              <w:t xml:space="preserve"> </w:t>
            </w:r>
            <w:r>
              <w:t xml:space="preserve">evidence grade; needs backtest validation</w:t>
            </w:r>
          </w:p>
        </w:tc>
        <w:tc>
          <w:tcPr/>
          <w:p>
            <w:pPr>
              <w:pStyle w:val="Compact"/>
              <w:jc w:val="left"/>
            </w:pPr>
            <w:r>
              <w:t xml:space="preserve">High</w:t>
            </w:r>
          </w:p>
        </w:tc>
        <w:tc>
          <w:tcPr/>
          <w:p>
            <w:pPr>
              <w:pStyle w:val="Compact"/>
              <w:jc w:val="left"/>
            </w:pPr>
            <w:r>
              <w:t xml:space="preserve">2–3 weeks</w:t>
            </w:r>
          </w:p>
        </w:tc>
      </w:tr>
      <w:tr>
        <w:tc>
          <w:tcPr/>
          <w:p>
            <w:pPr>
              <w:pStyle w:val="Compact"/>
              <w:jc w:val="left"/>
            </w:pPr>
            <w:r>
              <w:t xml:space="preserve">Intraday reversal (academic)</w:t>
            </w:r>
          </w:p>
        </w:tc>
        <w:tc>
          <w:tcPr/>
          <w:p>
            <w:pPr>
              <w:pStyle w:val="Compact"/>
              <w:jc w:val="left"/>
            </w:pPr>
            <w:r>
              <w:t xml:space="preserve">0.62–0.85% monthly alpha (t-stats 4.37–6.72); not currently active</w:t>
            </w:r>
          </w:p>
        </w:tc>
        <w:tc>
          <w:tcPr/>
          <w:p>
            <w:pPr>
              <w:pStyle w:val="Compact"/>
              <w:jc w:val="left"/>
            </w:pPr>
            <w:r>
              <w:t xml:space="preserve">High</w:t>
            </w:r>
          </w:p>
        </w:tc>
        <w:tc>
          <w:tcPr/>
          <w:p>
            <w:pPr>
              <w:pStyle w:val="Compact"/>
              <w:jc w:val="left"/>
            </w:pPr>
            <w:r>
              <w:t xml:space="preserve">1–2 weeks</w:t>
            </w:r>
          </w:p>
        </w:tc>
      </w:tr>
      <w:tr>
        <w:tc>
          <w:tcPr/>
          <w:p>
            <w:pPr>
              <w:pStyle w:val="Compact"/>
              <w:jc w:val="left"/>
            </w:pPr>
            <w:r>
              <w:t xml:space="preserve">Acquirer event strategy</w:t>
            </w:r>
          </w:p>
        </w:tc>
        <w:tc>
          <w:tcPr/>
          <w:p>
            <w:pPr>
              <w:pStyle w:val="Compact"/>
              <w:jc w:val="left"/>
            </w:pPr>
            <w:r>
              <w:t xml:space="preserve">Penny stock acquirers earn +1.99% excess CAR over (–5,+5) window</w:t>
            </w:r>
            <w:r>
              <w:t xml:space="preserve"> </w:t>
            </w:r>
            <w:r>
              <w:rPr>
                <w:vertAlign w:val="superscript"/>
              </w:rPr>
              <w:t xml:space="preserve">79</w:t>
            </w:r>
          </w:p>
        </w:tc>
        <w:tc>
          <w:tcPr/>
          <w:p>
            <w:pPr>
              <w:pStyle w:val="Compact"/>
              <w:jc w:val="left"/>
            </w:pPr>
            <w:r>
              <w:t xml:space="preserve">Medium</w:t>
            </w:r>
          </w:p>
        </w:tc>
        <w:tc>
          <w:tcPr/>
          <w:p>
            <w:pPr>
              <w:pStyle w:val="Compact"/>
              <w:jc w:val="left"/>
            </w:pPr>
            <w:r>
              <w:t xml:space="preserve">2–3 weeks</w:t>
            </w:r>
          </w:p>
        </w:tc>
      </w:tr>
      <w:tr>
        <w:tc>
          <w:tcPr/>
          <w:p>
            <w:pPr>
              <w:pStyle w:val="Compact"/>
              <w:jc w:val="left"/>
            </w:pPr>
            <w:r>
              <w:t xml:space="preserve">Sentiment-based L/S (NPos/Neg)</w:t>
            </w:r>
          </w:p>
        </w:tc>
        <w:tc>
          <w:tcPr/>
          <w:p>
            <w:pPr>
              <w:pStyle w:val="Compact"/>
              <w:jc w:val="left"/>
            </w:pPr>
            <w:r>
              <w:t xml:space="preserve">Positive sentiment measure predicts short-term penny returns</w:t>
            </w:r>
            <w:r>
              <w:t xml:space="preserve"> </w:t>
            </w:r>
            <w:r>
              <w:rPr>
                <w:vertAlign w:val="superscript"/>
              </w:rPr>
              <w:t xml:space="preserve">80</w:t>
            </w:r>
          </w:p>
        </w:tc>
        <w:tc>
          <w:tcPr/>
          <w:p>
            <w:pPr>
              <w:pStyle w:val="Compact"/>
              <w:jc w:val="left"/>
            </w:pPr>
            <w:r>
              <w:t xml:space="preserve">Medium</w:t>
            </w:r>
          </w:p>
        </w:tc>
        <w:tc>
          <w:tcPr/>
          <w:p>
            <w:pPr>
              <w:pStyle w:val="Compact"/>
              <w:jc w:val="left"/>
            </w:pPr>
            <w:r>
              <w:t xml:space="preserve">2–3 weeks</w:t>
            </w:r>
          </w:p>
        </w:tc>
      </w:tr>
      <w:tr>
        <w:tc>
          <w:tcPr/>
          <w:p>
            <w:pPr>
              <w:pStyle w:val="Compact"/>
              <w:jc w:val="left"/>
            </w:pPr>
            <w:r>
              <w:t xml:space="preserve">Crisis-timing via high-yield spread</w:t>
            </w:r>
          </w:p>
        </w:tc>
        <w:tc>
          <w:tcPr/>
          <w:p>
            <w:pPr>
              <w:pStyle w:val="Compact"/>
              <w:jc w:val="left"/>
            </w:pPr>
            <w:r>
              <w:t xml:space="preserve">Verdad finding: penny stocks outperform only during spread compression</w:t>
            </w:r>
            <w:r>
              <w:t xml:space="preserve"> </w:t>
            </w:r>
            <w:r>
              <w:rPr>
                <w:vertAlign w:val="superscript"/>
              </w:rPr>
              <w:t xml:space="preserve">64</w:t>
            </w:r>
          </w:p>
        </w:tc>
        <w:tc>
          <w:tcPr/>
          <w:p>
            <w:pPr>
              <w:pStyle w:val="Compact"/>
              <w:jc w:val="left"/>
            </w:pPr>
            <w:r>
              <w:t xml:space="preserve">Medium</w:t>
            </w:r>
          </w:p>
        </w:tc>
        <w:tc>
          <w:tcPr/>
          <w:p>
            <w:pPr>
              <w:pStyle w:val="Compact"/>
              <w:jc w:val="left"/>
            </w:pPr>
            <w:r>
              <w:t xml:space="preserve">3–4 weeks</w:t>
            </w:r>
          </w:p>
        </w:tc>
      </w:tr>
    </w:tbl>
    <w:p>
      <w:pPr>
        <w:pStyle w:val="BodyText"/>
      </w:pPr>
      <w:r>
        <w:t xml:space="preserve">The Signal Quality ML predictor is the highest-priority candidate. While the claimed +5–15 percentage point win-rate improvement remains at</w:t>
      </w:r>
      <w:r>
        <w:t xml:space="preserve"> </w:t>
      </w:r>
      <w:r>
        <w:t xml:space="preserve">“</w:t>
      </w:r>
      <w:r>
        <w:t xml:space="preserve">code review only</w:t>
      </w:r>
      <w:r>
        <w:t xml:space="preserve">”</w:t>
      </w:r>
      <w:r>
        <w:t xml:space="preserve"> </w:t>
      </w:r>
      <w:r>
        <w:t xml:space="preserve">evidence grade (unverified by actual backtest), the potential upside justifies dedicated validation effort. If even a 5pp improvement is achievable on the equity strategy’s current ~57% WR, the resulting 62% WR would push the R:R 1.5–2.0 band’s profit factor well above the institutional threshold of 2.0. However, the predictor must be validated with a minimum 200-trade out-of-sample backtest before any live deployment — the same statistical rigor applied to the resolver fix evaluation. The intraday reversal strategy, with documented monthly alpha and high t-statistics, represents the lowest-effort, highest-confidence resurrection candidate and should be prioritized for immediate testing.</w:t>
      </w:r>
    </w:p>
    <w:p>
      <w:r>
        <w:pict>
          <v:rect style="width:0;height:1.5pt" o:hralign="center" o:hrstd="t" o:hr="t"/>
        </w:pict>
      </w:r>
    </w:p>
    <w:bookmarkEnd w:id="81"/>
    <w:bookmarkEnd w:id="82"/>
    <w:bookmarkStart w:id="88" w:name="institutional-transformation-roadmap"/>
    <w:p>
      <w:pPr>
        <w:pStyle w:val="Heading2"/>
      </w:pPr>
      <w:r>
        <w:t xml:space="preserve">9. Institutional Transformation Roadmap</w:t>
      </w:r>
    </w:p>
    <w:bookmarkStart w:id="83" w:name="gap-analysis-the-5-reality"/>
    <w:p>
      <w:pPr>
        <w:pStyle w:val="Heading3"/>
      </w:pPr>
      <w:r>
        <w:t xml:space="preserve">9.1 Gap Analysis: The 5% Reality</w:t>
      </w:r>
    </w:p>
    <w:p>
      <w:pPr>
        <w:pStyle w:val="FirstParagraph"/>
      </w:pPr>
      <w:r>
        <w:t xml:space="preserve">The gap between current infrastructure and institutional-grade quantitative trading is quantifiable and severe. Cross-referencing the 12-dimension audit findings against operational standards at Renaissance Technologies, Two Sigma, and Citadel reveals that approximately</w:t>
      </w:r>
      <w:r>
        <w:t xml:space="preserve"> </w:t>
      </w:r>
      <w:r>
        <w:rPr>
          <w:bCs/>
          <w:b/>
        </w:rPr>
        <w:t xml:space="preserve">5% of required institutional infrastructure</w:t>
      </w:r>
      <w:r>
        <w:t xml:space="preserve"> </w:t>
      </w:r>
      <w:r>
        <w:t xml:space="preserve">is currently operational</w:t>
      </w:r>
      <w:r>
        <w:t xml:space="preserve"> </w:t>
      </w:r>
      <w:r>
        <w:rPr>
          <w:vertAlign w:val="superscript"/>
        </w:rPr>
        <w:t xml:space="preserve">81</w:t>
      </w:r>
      <w:r>
        <w:t xml:space="preserve">. The walk-forward OOS framework, tier classification system, kill-switch ladder, and feature flags provide a viable skeleton. The critical deficiency, however, is the</w:t>
      </w:r>
      <w:r>
        <w:t xml:space="preserve"> </w:t>
      </w:r>
      <w:r>
        <w:rPr>
          <w:bCs/>
          <w:b/>
        </w:rPr>
        <w:t xml:space="preserve">absence of a unified research-to-production pipeline with statistical validation gates</w:t>
      </w:r>
      <w:r>
        <w:t xml:space="preserve">. Renaissance Technologies discards 99% of tested signals</w:t>
      </w:r>
      <w:r>
        <w:t xml:space="preserve"> </w:t>
      </w:r>
      <w:r>
        <w:rPr>
          <w:vertAlign w:val="superscript"/>
        </w:rPr>
        <w:t xml:space="preserve">81</w:t>
      </w:r>
      <w:r>
        <w:t xml:space="preserve">; this platform deploys signals without PSR/DSR validation, without multiple-testing correction, and with negative OOS Sharpe ratios — an existential risk, not a gap.</w:t>
      </w:r>
    </w:p>
    <w:p>
      <w:pPr>
        <w:pStyle w:val="BodyText"/>
      </w:pPr>
      <w:r>
        <w:rPr>
          <w:bCs/>
          <w:b/>
        </w:rPr>
        <w:t xml:space="preserve">Table 9.1 — Infrastructure Gap: Current vs. Institutional Standard</w:t>
      </w:r>
    </w:p>
    <w:tbl>
      <w:tblPr>
        <w:tblStyle w:val="Table"/>
        <w:tblW w:type="pct" w:w="5000"/>
        <w:tblLook w:firstRow="1" w:lastRow="0" w:firstColumn="0" w:lastColumn="0" w:noHBand="0" w:noVBand="0" w:val="0020"/>
      </w:tblPr>
      <w:tblGrid>
        <w:gridCol w:w="1405"/>
        <w:gridCol w:w="1916"/>
        <w:gridCol w:w="2810"/>
        <w:gridCol w:w="1788"/>
      </w:tblGrid>
      <w:tr>
        <w:trPr>
          <w:tblHeader w:val="true"/>
        </w:trPr>
        <w:tc>
          <w:tcPr/>
          <w:p>
            <w:pPr>
              <w:pStyle w:val="Compact"/>
              <w:jc w:val="left"/>
            </w:pPr>
            <w:r>
              <w:t xml:space="preserve">Component</w:t>
            </w:r>
          </w:p>
        </w:tc>
        <w:tc>
          <w:tcPr/>
          <w:p>
            <w:pPr>
              <w:pStyle w:val="Compact"/>
              <w:jc w:val="left"/>
            </w:pPr>
            <w:r>
              <w:t xml:space="preserve">Current State</w:t>
            </w:r>
          </w:p>
        </w:tc>
        <w:tc>
          <w:tcPr/>
          <w:p>
            <w:pPr>
              <w:pStyle w:val="Compact"/>
              <w:jc w:val="left"/>
            </w:pPr>
            <w:r>
              <w:t xml:space="preserve">Institutional Standard</w:t>
            </w:r>
          </w:p>
        </w:tc>
        <w:tc>
          <w:tcPr/>
          <w:p>
            <w:pPr>
              <w:pStyle w:val="Compact"/>
              <w:jc w:val="left"/>
            </w:pPr>
            <w:r>
              <w:t xml:space="preserve">Gap Severity</w:t>
            </w:r>
          </w:p>
        </w:tc>
      </w:tr>
      <w:tr>
        <w:tc>
          <w:tcPr/>
          <w:p>
            <w:pPr>
              <w:pStyle w:val="Compact"/>
              <w:jc w:val="left"/>
            </w:pPr>
            <w:r>
              <w:t xml:space="preserve">Signal validation (PSR/DSR)</w:t>
            </w:r>
          </w:p>
        </w:tc>
        <w:tc>
          <w:tcPr/>
          <w:p>
            <w:pPr>
              <w:pStyle w:val="Compact"/>
              <w:jc w:val="left"/>
            </w:pPr>
            <w:r>
              <w:t xml:space="preserve">Not deployed; negative OOS Sharpe accepted</w:t>
            </w:r>
          </w:p>
        </w:tc>
        <w:tc>
          <w:tcPr/>
          <w:p>
            <w:pPr>
              <w:pStyle w:val="Compact"/>
              <w:jc w:val="left"/>
            </w:pPr>
            <w:r>
              <w:t xml:space="preserve">PSR &gt; 0.95, DSR &gt; 0.95 required; 99%+ rejection rate</w:t>
            </w:r>
            <w:r>
              <w:t xml:space="preserve"> </w:t>
            </w:r>
            <w:r>
              <w:rPr>
                <w:vertAlign w:val="superscript"/>
              </w:rPr>
              <w:t xml:space="preserve">81</w:t>
            </w:r>
          </w:p>
        </w:tc>
        <w:tc>
          <w:tcPr/>
          <w:p>
            <w:pPr>
              <w:pStyle w:val="Compact"/>
              <w:jc w:val="left"/>
            </w:pPr>
            <w:r>
              <w:rPr>
                <w:bCs/>
                <w:b/>
              </w:rPr>
              <w:t xml:space="preserve">Existential</w:t>
            </w:r>
          </w:p>
        </w:tc>
      </w:tr>
      <w:tr>
        <w:tc>
          <w:tcPr/>
          <w:p>
            <w:pPr>
              <w:pStyle w:val="Compact"/>
              <w:jc w:val="left"/>
            </w:pPr>
            <w:r>
              <w:t xml:space="preserve">Data quality</w:t>
            </w:r>
          </w:p>
        </w:tc>
        <w:tc>
          <w:tcPr/>
          <w:p>
            <w:pPr>
              <w:pStyle w:val="Compact"/>
              <w:jc w:val="left"/>
            </w:pPr>
            <w:r>
              <w:t xml:space="preserve">Free APIs (yfinance, CoinGecko); survivorship bias unaddressed</w:t>
            </w:r>
          </w:p>
        </w:tc>
        <w:tc>
          <w:tcPr/>
          <w:p>
            <w:pPr>
              <w:pStyle w:val="Compact"/>
              <w:jc w:val="left"/>
            </w:pPr>
            <w:r>
              <w:t xml:space="preserve">Point-in-time, survivorship-bias-free data; tick-level history</w:t>
            </w:r>
            <w:r>
              <w:t xml:space="preserve"> </w:t>
            </w:r>
            <w:r>
              <w:rPr>
                <w:vertAlign w:val="superscript"/>
              </w:rPr>
              <w:t xml:space="preserve">82</w:t>
            </w:r>
          </w:p>
        </w:tc>
        <w:tc>
          <w:tcPr/>
          <w:p>
            <w:pPr>
              <w:pStyle w:val="Compact"/>
              <w:jc w:val="left"/>
            </w:pPr>
            <w:r>
              <w:rPr>
                <w:bCs/>
                <w:b/>
              </w:rPr>
              <w:t xml:space="preserve">Existential</w:t>
            </w:r>
          </w:p>
        </w:tc>
      </w:tr>
      <w:tr>
        <w:tc>
          <w:tcPr/>
          <w:p>
            <w:pPr>
              <w:pStyle w:val="Compact"/>
              <w:jc w:val="left"/>
            </w:pPr>
            <w:r>
              <w:t xml:space="preserve">Transaction cost modeling</w:t>
            </w:r>
          </w:p>
        </w:tc>
        <w:tc>
          <w:tcPr/>
          <w:p>
            <w:pPr>
              <w:pStyle w:val="Compact"/>
              <w:jc w:val="left"/>
            </w:pPr>
            <w:r>
              <w:t xml:space="preserve">None; backtests against theoretical prices</w:t>
            </w:r>
          </w:p>
        </w:tc>
        <w:tc>
          <w:tcPr/>
          <w:p>
            <w:pPr>
              <w:pStyle w:val="Compact"/>
              <w:jc w:val="left"/>
            </w:pPr>
            <w:r>
              <w:t xml:space="preserve">Frazzini-Israel-Moskowitz calibration; power-law market impact</w:t>
            </w:r>
            <w:r>
              <w:t xml:space="preserve"> </w:t>
            </w:r>
            <w:r>
              <w:rPr>
                <w:vertAlign w:val="superscript"/>
              </w:rPr>
              <w:t xml:space="preserve">83</w:t>
            </w:r>
          </w:p>
        </w:tc>
        <w:tc>
          <w:tcPr/>
          <w:p>
            <w:pPr>
              <w:pStyle w:val="Compact"/>
              <w:jc w:val="left"/>
            </w:pPr>
            <w:r>
              <w:rPr>
                <w:bCs/>
                <w:b/>
              </w:rPr>
              <w:t xml:space="preserve">Massive</w:t>
            </w:r>
          </w:p>
        </w:tc>
      </w:tr>
      <w:tr>
        <w:tc>
          <w:tcPr/>
          <w:p>
            <w:pPr>
              <w:pStyle w:val="Compact"/>
              <w:jc w:val="left"/>
            </w:pPr>
            <w:r>
              <w:t xml:space="preserve">Execution infrastructure</w:t>
            </w:r>
          </w:p>
        </w:tc>
        <w:tc>
          <w:tcPr/>
          <w:p>
            <w:pPr>
              <w:pStyle w:val="Compact"/>
              <w:jc w:val="left"/>
            </w:pPr>
            <w:r>
              <w:t xml:space="preserve">No OMS/EMS; no broker connectivity</w:t>
            </w:r>
          </w:p>
        </w:tc>
        <w:tc>
          <w:tcPr/>
          <w:p>
            <w:pPr>
              <w:pStyle w:val="Compact"/>
              <w:jc w:val="left"/>
            </w:pPr>
            <w:r>
              <w:t xml:space="preserve">Co-located execution; 0.002-0.003% transaction costs</w:t>
            </w:r>
            <w:r>
              <w:t xml:space="preserve"> </w:t>
            </w:r>
            <w:r>
              <w:rPr>
                <w:vertAlign w:val="superscript"/>
              </w:rPr>
              <w:t xml:space="preserve">82</w:t>
            </w:r>
          </w:p>
        </w:tc>
        <w:tc>
          <w:tcPr/>
          <w:p>
            <w:pPr>
              <w:pStyle w:val="Compact"/>
              <w:jc w:val="left"/>
            </w:pPr>
            <w:r>
              <w:rPr>
                <w:bCs/>
                <w:b/>
              </w:rPr>
              <w:t xml:space="preserve">Massive</w:t>
            </w:r>
          </w:p>
        </w:tc>
      </w:tr>
      <w:tr>
        <w:tc>
          <w:tcPr/>
          <w:p>
            <w:pPr>
              <w:pStyle w:val="Compact"/>
              <w:jc w:val="left"/>
            </w:pPr>
            <w:r>
              <w:t xml:space="preserve">Cross-strategy risk</w:t>
            </w:r>
          </w:p>
        </w:tc>
        <w:tc>
          <w:tcPr/>
          <w:p>
            <w:pPr>
              <w:pStyle w:val="Compact"/>
              <w:jc w:val="left"/>
            </w:pPr>
            <w:r>
              <w:t xml:space="preserve">Kill-switch ladder only; no correlation monitoring</w:t>
            </w:r>
          </w:p>
        </w:tc>
        <w:tc>
          <w:tcPr/>
          <w:p>
            <w:pPr>
              <w:pStyle w:val="Compact"/>
              <w:jc w:val="left"/>
            </w:pPr>
            <w:r>
              <w:t xml:space="preserve">Centralized cross-asset risk platform; real-time VaR/CVaR</w:t>
            </w:r>
            <w:r>
              <w:t xml:space="preserve"> </w:t>
            </w:r>
            <w:r>
              <w:rPr>
                <w:vertAlign w:val="superscript"/>
              </w:rPr>
              <w:t xml:space="preserve">84</w:t>
            </w:r>
          </w:p>
        </w:tc>
        <w:tc>
          <w:tcPr/>
          <w:p>
            <w:pPr>
              <w:pStyle w:val="Compact"/>
              <w:jc w:val="left"/>
            </w:pPr>
            <w:r>
              <w:rPr>
                <w:bCs/>
                <w:b/>
              </w:rPr>
              <w:t xml:space="preserve">Critical</w:t>
            </w:r>
          </w:p>
        </w:tc>
      </w:tr>
      <w:tr>
        <w:tc>
          <w:tcPr/>
          <w:p>
            <w:pPr>
              <w:pStyle w:val="Compact"/>
              <w:jc w:val="left"/>
            </w:pPr>
            <w:r>
              <w:t xml:space="preserve">Code governance</w:t>
            </w:r>
          </w:p>
        </w:tc>
        <w:tc>
          <w:tcPr/>
          <w:p>
            <w:pPr>
              <w:pStyle w:val="Compact"/>
              <w:jc w:val="left"/>
            </w:pPr>
            <w:r>
              <w:t xml:space="preserve">5+ copies of outcome_resolver.py; AI agents commit without review</w:t>
            </w:r>
          </w:p>
        </w:tc>
        <w:tc>
          <w:tcPr/>
          <w:p>
            <w:pPr>
              <w:pStyle w:val="Compact"/>
              <w:jc w:val="left"/>
            </w:pPr>
            <w:r>
              <w:t xml:space="preserve">Mandatory human review; CI/CD; single source of truth</w:t>
            </w:r>
            <w:r>
              <w:t xml:space="preserve"> </w:t>
            </w:r>
            <w:r>
              <w:rPr>
                <w:vertAlign w:val="superscript"/>
              </w:rPr>
              <w:t xml:space="preserve">85</w:t>
            </w:r>
          </w:p>
        </w:tc>
        <w:tc>
          <w:tcPr/>
          <w:p>
            <w:pPr>
              <w:pStyle w:val="Compact"/>
              <w:jc w:val="left"/>
            </w:pPr>
            <w:r>
              <w:rPr>
                <w:bCs/>
                <w:b/>
              </w:rPr>
              <w:t xml:space="preserve">Existential</w:t>
            </w:r>
          </w:p>
        </w:tc>
      </w:tr>
      <w:tr>
        <w:tc>
          <w:tcPr/>
          <w:p>
            <w:pPr>
              <w:pStyle w:val="Compact"/>
              <w:jc w:val="left"/>
            </w:pPr>
            <w:r>
              <w:t xml:space="preserve">Sample size enforcement</w:t>
            </w:r>
          </w:p>
        </w:tc>
        <w:tc>
          <w:tcPr/>
          <w:p>
            <w:pPr>
              <w:pStyle w:val="Compact"/>
              <w:jc w:val="left"/>
            </w:pPr>
            <w:r>
              <w:t xml:space="preserve">Strategies with n=5, n=18, n=32 deployed</w:t>
            </w:r>
          </w:p>
        </w:tc>
        <w:tc>
          <w:tcPr/>
          <w:p>
            <w:pPr>
              <w:pStyle w:val="Compact"/>
              <w:jc w:val="left"/>
            </w:pPr>
            <w:r>
              <w:t xml:space="preserve">Minimum 200-500 trades per strategy before deployment</w:t>
            </w:r>
            <w:r>
              <w:t xml:space="preserve"> </w:t>
            </w:r>
            <w:r>
              <w:rPr>
                <w:vertAlign w:val="superscript"/>
              </w:rPr>
              <w:t xml:space="preserve">81</w:t>
            </w:r>
          </w:p>
        </w:tc>
        <w:tc>
          <w:tcPr/>
          <w:p>
            <w:pPr>
              <w:pStyle w:val="Compact"/>
              <w:jc w:val="left"/>
            </w:pPr>
            <w:r>
              <w:rPr>
                <w:bCs/>
                <w:b/>
              </w:rPr>
              <w:t xml:space="preserve">Existential</w:t>
            </w:r>
          </w:p>
        </w:tc>
      </w:tr>
      <w:tr>
        <w:tc>
          <w:tcPr/>
          <w:p>
            <w:pPr>
              <w:pStyle w:val="Compact"/>
              <w:jc w:val="left"/>
            </w:pPr>
            <w:r>
              <w:t xml:space="preserve">Audit trail</w:t>
            </w:r>
          </w:p>
        </w:tc>
        <w:tc>
          <w:tcPr/>
          <w:p>
            <w:pPr>
              <w:pStyle w:val="Compact"/>
              <w:jc w:val="left"/>
            </w:pPr>
            <w:r>
              <w:t xml:space="preserve">None</w:t>
            </w:r>
          </w:p>
        </w:tc>
        <w:tc>
          <w:tcPr/>
          <w:p>
            <w:pPr>
              <w:pStyle w:val="Compact"/>
              <w:jc w:val="left"/>
            </w:pPr>
            <w:r>
              <w:t xml:space="preserve">Immutable, cryptographically signed trade decision records</w:t>
            </w:r>
            <w:r>
              <w:t xml:space="preserve"> </w:t>
            </w:r>
            <w:r>
              <w:rPr>
                <w:vertAlign w:val="superscript"/>
              </w:rPr>
              <w:t xml:space="preserve">86</w:t>
            </w:r>
          </w:p>
        </w:tc>
        <w:tc>
          <w:tcPr/>
          <w:p>
            <w:pPr>
              <w:pStyle w:val="Compact"/>
              <w:jc w:val="left"/>
            </w:pPr>
            <w:r>
              <w:rPr>
                <w:bCs/>
                <w:b/>
              </w:rPr>
              <w:t xml:space="preserve">Critical</w:t>
            </w:r>
          </w:p>
        </w:tc>
      </w:tr>
      <w:tr>
        <w:tc>
          <w:tcPr/>
          <w:p>
            <w:pPr>
              <w:pStyle w:val="Compact"/>
              <w:jc w:val="left"/>
            </w:pPr>
            <w:r>
              <w:t xml:space="preserve">Regime detection</w:t>
            </w:r>
          </w:p>
        </w:tc>
        <w:tc>
          <w:tcPr/>
          <w:p>
            <w:pPr>
              <w:pStyle w:val="Compact"/>
              <w:jc w:val="left"/>
            </w:pPr>
            <w:r>
              <w:t xml:space="preserve">None</w:t>
            </w:r>
          </w:p>
        </w:tc>
        <w:tc>
          <w:tcPr/>
          <w:p>
            <w:pPr>
              <w:pStyle w:val="Compact"/>
              <w:jc w:val="left"/>
            </w:pPr>
            <w:r>
              <w:t xml:space="preserve">Hidden Markov Model (HMM) with strategy switching</w:t>
            </w:r>
            <w:r>
              <w:t xml:space="preserve"> </w:t>
            </w:r>
            <w:r>
              <w:rPr>
                <w:vertAlign w:val="superscript"/>
              </w:rPr>
              <w:t xml:space="preserve">81</w:t>
            </w:r>
          </w:p>
        </w:tc>
        <w:tc>
          <w:tcPr/>
          <w:p>
            <w:pPr>
              <w:pStyle w:val="Compact"/>
              <w:jc w:val="left"/>
            </w:pPr>
            <w:r>
              <w:rPr>
                <w:bCs/>
                <w:b/>
              </w:rPr>
              <w:t xml:space="preserve">Large</w:t>
            </w:r>
          </w:p>
        </w:tc>
      </w:tr>
    </w:tbl>
    <w:p>
      <w:pPr>
        <w:pStyle w:val="BodyText"/>
      </w:pPr>
      <w:r>
        <w:t xml:space="preserve">The pattern is unmistakable: validation infrastructure is the most deficient dimension.</w:t>
      </w:r>
      <w:r>
        <w:t xml:space="preserve"> </w:t>
      </w:r>
      <w:r>
        <w:rPr>
          <w:bCs/>
          <w:b/>
        </w:rPr>
        <w:t xml:space="preserve">Zero percent</w:t>
      </w:r>
      <w:r>
        <w:t xml:space="preserve"> </w:t>
      </w:r>
      <w:r>
        <w:t xml:space="preserve">of current strategies have PSR &gt; 0.95 or DSR &gt; 0.95, and multiple strategies operate below statistical minimums (n=5, n=18, n=32). The kill-switch ladder is a reactive safety mechanism — it cannot substitute for proactive statistical validation. Closing these gaps requires a phased investment: a 90-day Minimum Viable Product (MVP) at approximately $1,500, followed by a 12-month build-out at $32,400-$78,000.</w:t>
      </w:r>
    </w:p>
    <w:bookmarkEnd w:id="83"/>
    <w:bookmarkStart w:id="84" w:name="what-a-quanthedge-fund-manager-would-add"/>
    <w:p>
      <w:pPr>
        <w:pStyle w:val="Heading3"/>
      </w:pPr>
      <w:r>
        <w:t xml:space="preserve">9.2 What a Quant/Hedge Fund Manager Would Add</w:t>
      </w:r>
    </w:p>
    <w:p>
      <w:pPr>
        <w:pStyle w:val="FirstParagraph"/>
      </w:pPr>
      <w:r>
        <w:t xml:space="preserve">A professional quantitative researcher would introduce three categories of additions: statistical validation methodology, data infrastructure upgrades, and governance frameworks.</w:t>
      </w:r>
    </w:p>
    <w:p>
      <w:pPr>
        <w:pStyle w:val="BodyText"/>
      </w:pPr>
      <w:r>
        <w:rPr>
          <w:bCs/>
          <w:b/>
        </w:rPr>
        <w:t xml:space="preserve">Table 9.2 — Quant/Hedge Fund Methodology Additions</w:t>
      </w:r>
    </w:p>
    <w:tbl>
      <w:tblPr>
        <w:tblStyle w:val="Table"/>
        <w:tblW w:type="pct" w:w="5000"/>
        <w:tblLook w:firstRow="1" w:lastRow="0" w:firstColumn="0" w:lastColumn="0" w:noHBand="0" w:noVBand="0" w:val="0020"/>
      </w:tblPr>
      <w:tblGrid>
        <w:gridCol w:w="1494"/>
        <w:gridCol w:w="1494"/>
        <w:gridCol w:w="2241"/>
        <w:gridCol w:w="1195"/>
        <w:gridCol w:w="1494"/>
      </w:tblGrid>
      <w:tr>
        <w:trPr>
          <w:tblHeader w:val="true"/>
        </w:trPr>
        <w:tc>
          <w:tcPr/>
          <w:p>
            <w:pPr>
              <w:pStyle w:val="Compact"/>
              <w:jc w:val="left"/>
            </w:pPr>
            <w:r>
              <w:t xml:space="preserve">Category</w:t>
            </w:r>
          </w:p>
        </w:tc>
        <w:tc>
          <w:tcPr/>
          <w:p>
            <w:pPr>
              <w:pStyle w:val="Compact"/>
              <w:jc w:val="left"/>
            </w:pPr>
            <w:r>
              <w:t xml:space="preserve">Addition</w:t>
            </w:r>
          </w:p>
        </w:tc>
        <w:tc>
          <w:tcPr/>
          <w:p>
            <w:pPr>
              <w:pStyle w:val="Compact"/>
              <w:jc w:val="left"/>
            </w:pPr>
            <w:r>
              <w:t xml:space="preserve">Estimated Cost</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Statistical validation</w:t>
            </w:r>
          </w:p>
        </w:tc>
        <w:tc>
          <w:tcPr/>
          <w:p>
            <w:pPr>
              <w:pStyle w:val="Compact"/>
              <w:jc w:val="left"/>
            </w:pPr>
            <w:r>
              <w:t xml:space="preserve">PSR &gt; 0.95 hard gate (Bailey &amp; Lopez de Prado, 2012)</w:t>
            </w:r>
            <w:r>
              <w:t xml:space="preserve"> </w:t>
            </w:r>
            <w:r>
              <w:rPr>
                <w:vertAlign w:val="superscript"/>
              </w:rPr>
              <w:t xml:space="preserve">81</w:t>
            </w:r>
          </w:p>
        </w:tc>
        <w:tc>
          <w:tcPr/>
          <w:p>
            <w:pPr>
              <w:pStyle w:val="Compact"/>
              <w:jc w:val="left"/>
            </w:pPr>
            <w:r>
              <w:t xml:space="preserve">~$0 (code only)</w:t>
            </w:r>
          </w:p>
        </w:tc>
        <w:tc>
          <w:tcPr/>
          <w:p>
            <w:pPr>
              <w:pStyle w:val="Compact"/>
              <w:jc w:val="left"/>
            </w:pPr>
            <w:r>
              <w:t xml:space="preserve">Prevents deployment of false-positive strategies</w:t>
            </w:r>
          </w:p>
        </w:tc>
        <w:tc>
          <w:tcPr/>
          <w:p>
            <w:pPr>
              <w:pStyle w:val="Compact"/>
              <w:jc w:val="left"/>
            </w:pPr>
            <w:r>
              <w:t xml:space="preserve">P0 — Week 1</w:t>
            </w:r>
          </w:p>
        </w:tc>
      </w:tr>
      <w:tr>
        <w:tc>
          <w:tcPr/>
          <w:p>
            <w:pPr>
              <w:pStyle w:val="Compact"/>
              <w:jc w:val="left"/>
            </w:pPr>
            <w:r>
              <w:t xml:space="preserve">Statistical validation</w:t>
            </w:r>
          </w:p>
        </w:tc>
        <w:tc>
          <w:tcPr/>
          <w:p>
            <w:pPr>
              <w:pStyle w:val="Compact"/>
              <w:jc w:val="left"/>
            </w:pPr>
            <w:r>
              <w:t xml:space="preserve">DSR &gt; 0.95 hard gate (Bailey &amp; Lopez de Prado, 2014)</w:t>
            </w:r>
          </w:p>
        </w:tc>
        <w:tc>
          <w:tcPr/>
          <w:p>
            <w:pPr>
              <w:pStyle w:val="Compact"/>
              <w:jc w:val="left"/>
            </w:pPr>
            <w:r>
              <w:t xml:space="preserve">~$0 (code only)</w:t>
            </w:r>
          </w:p>
        </w:tc>
        <w:tc>
          <w:tcPr/>
          <w:p>
            <w:pPr>
              <w:pStyle w:val="Compact"/>
              <w:jc w:val="left"/>
            </w:pPr>
            <w:r>
              <w:t xml:space="preserve">Corrects Sharpe ratio for multiple-testing bias</w:t>
            </w:r>
          </w:p>
        </w:tc>
        <w:tc>
          <w:tcPr/>
          <w:p>
            <w:pPr>
              <w:pStyle w:val="Compact"/>
              <w:jc w:val="left"/>
            </w:pPr>
            <w:r>
              <w:t xml:space="preserve">P0 — Week 2</w:t>
            </w:r>
          </w:p>
        </w:tc>
      </w:tr>
      <w:tr>
        <w:tc>
          <w:tcPr/>
          <w:p>
            <w:pPr>
              <w:pStyle w:val="Compact"/>
              <w:jc w:val="left"/>
            </w:pPr>
            <w:r>
              <w:t xml:space="preserve">Statistical validation</w:t>
            </w:r>
          </w:p>
        </w:tc>
        <w:tc>
          <w:tcPr/>
          <w:p>
            <w:pPr>
              <w:pStyle w:val="Compact"/>
              <w:jc w:val="left"/>
            </w:pPr>
            <w:r>
              <w:t xml:space="preserve">Combinatorial Purged Cross-Validation (CPCV)</w:t>
            </w:r>
            <w:r>
              <w:t xml:space="preserve"> </w:t>
            </w:r>
            <w:r>
              <w:rPr>
                <w:vertAlign w:val="superscript"/>
              </w:rPr>
              <w:t xml:space="preserve">87</w:t>
            </w:r>
          </w:p>
        </w:tc>
        <w:tc>
          <w:tcPr/>
          <w:p>
            <w:pPr>
              <w:pStyle w:val="Compact"/>
              <w:jc w:val="left"/>
            </w:pPr>
            <w:r>
              <w:t xml:space="preserve">~$0 (code only)</w:t>
            </w:r>
          </w:p>
        </w:tc>
        <w:tc>
          <w:tcPr/>
          <w:p>
            <w:pPr>
              <w:pStyle w:val="Compact"/>
              <w:jc w:val="left"/>
            </w:pPr>
            <w:r>
              <w:t xml:space="preserve">Eliminates overfitting through embargo-period purging</w:t>
            </w:r>
          </w:p>
        </w:tc>
        <w:tc>
          <w:tcPr/>
          <w:p>
            <w:pPr>
              <w:pStyle w:val="Compact"/>
              <w:jc w:val="left"/>
            </w:pPr>
            <w:r>
              <w:t xml:space="preserve">P1 — Month 2-3</w:t>
            </w:r>
          </w:p>
        </w:tc>
      </w:tr>
      <w:tr>
        <w:tc>
          <w:tcPr/>
          <w:p>
            <w:pPr>
              <w:pStyle w:val="Compact"/>
              <w:jc w:val="left"/>
            </w:pPr>
            <w:r>
              <w:t xml:space="preserve">Statistical validation</w:t>
            </w:r>
          </w:p>
        </w:tc>
        <w:tc>
          <w:tcPr/>
          <w:p>
            <w:pPr>
              <w:pStyle w:val="Compact"/>
              <w:jc w:val="left"/>
            </w:pPr>
            <w:r>
              <w:t xml:space="preserve">Multiple testing correction (Bonferroni/Holm/BH)</w:t>
            </w:r>
          </w:p>
        </w:tc>
        <w:tc>
          <w:tcPr/>
          <w:p>
            <w:pPr>
              <w:pStyle w:val="Compact"/>
              <w:jc w:val="left"/>
            </w:pPr>
            <w:r>
              <w:t xml:space="preserve">~$0 (code only)</w:t>
            </w:r>
          </w:p>
        </w:tc>
        <w:tc>
          <w:tcPr/>
          <w:p>
            <w:pPr>
              <w:pStyle w:val="Compact"/>
              <w:jc w:val="left"/>
            </w:pPr>
            <w:r>
              <w:t xml:space="preserve">False discovery rate exceeds 50% without correction</w:t>
            </w:r>
            <w:r>
              <w:t xml:space="preserve"> </w:t>
            </w:r>
            <w:r>
              <w:rPr>
                <w:vertAlign w:val="superscript"/>
              </w:rPr>
              <w:t xml:space="preserve">88</w:t>
            </w:r>
          </w:p>
        </w:tc>
        <w:tc>
          <w:tcPr/>
          <w:p>
            <w:pPr>
              <w:pStyle w:val="Compact"/>
              <w:jc w:val="left"/>
            </w:pPr>
            <w:r>
              <w:t xml:space="preserve">P0 — Week 2-4</w:t>
            </w:r>
          </w:p>
        </w:tc>
      </w:tr>
      <w:tr>
        <w:tc>
          <w:tcPr/>
          <w:p>
            <w:pPr>
              <w:pStyle w:val="Compact"/>
              <w:jc w:val="left"/>
            </w:pPr>
            <w:r>
              <w:t xml:space="preserve">Data infrastructure</w:t>
            </w:r>
          </w:p>
        </w:tc>
        <w:tc>
          <w:tcPr/>
          <w:p>
            <w:pPr>
              <w:pStyle w:val="Compact"/>
              <w:jc w:val="left"/>
            </w:pPr>
            <w:r>
              <w:t xml:space="preserve">Polygon.io + CCData institutional feeds</w:t>
            </w:r>
          </w:p>
        </w:tc>
        <w:tc>
          <w:tcPr/>
          <w:p>
            <w:pPr>
              <w:pStyle w:val="Compact"/>
              <w:jc w:val="left"/>
            </w:pPr>
            <w:r>
              <w:t xml:space="preserve">~$300/month</w:t>
            </w:r>
          </w:p>
        </w:tc>
        <w:tc>
          <w:tcPr/>
          <w:p>
            <w:pPr>
              <w:pStyle w:val="Compact"/>
              <w:jc w:val="left"/>
            </w:pPr>
            <w:r>
              <w:t xml:space="preserve">Eliminates 1-4% annual survivorship bias inflation</w:t>
            </w:r>
            <w:r>
              <w:t xml:space="preserve"> </w:t>
            </w:r>
            <w:r>
              <w:rPr>
                <w:vertAlign w:val="superscript"/>
              </w:rPr>
              <w:t xml:space="preserve">87</w:t>
            </w:r>
          </w:p>
        </w:tc>
        <w:tc>
          <w:tcPr/>
          <w:p>
            <w:pPr>
              <w:pStyle w:val="Compact"/>
              <w:jc w:val="left"/>
            </w:pPr>
            <w:r>
              <w:t xml:space="preserve">P0 — Week 1</w:t>
            </w:r>
          </w:p>
        </w:tc>
      </w:tr>
      <w:tr>
        <w:tc>
          <w:tcPr/>
          <w:p>
            <w:pPr>
              <w:pStyle w:val="Compact"/>
              <w:jc w:val="left"/>
            </w:pPr>
            <w:r>
              <w:t xml:space="preserve">Data infrastructure</w:t>
            </w:r>
          </w:p>
        </w:tc>
        <w:tc>
          <w:tcPr/>
          <w:p>
            <w:pPr>
              <w:pStyle w:val="Compact"/>
              <w:jc w:val="left"/>
            </w:pPr>
            <w:r>
              <w:t xml:space="preserve">Point-in-time database (TimescaleDB)</w:t>
            </w:r>
          </w:p>
        </w:tc>
        <w:tc>
          <w:tcPr/>
          <w:p>
            <w:pPr>
              <w:pStyle w:val="Compact"/>
              <w:jc w:val="left"/>
            </w:pPr>
            <w:r>
              <w:t xml:space="preserve">~$50/month</w:t>
            </w:r>
          </w:p>
        </w:tc>
        <w:tc>
          <w:tcPr/>
          <w:p>
            <w:pPr>
              <w:pStyle w:val="Compact"/>
              <w:jc w:val="left"/>
            </w:pPr>
            <w:r>
              <w:t xml:space="preserve">Prevents look-ahead bias; enables reproducible backtests</w:t>
            </w:r>
            <w:r>
              <w:t xml:space="preserve"> </w:t>
            </w:r>
            <w:r>
              <w:rPr>
                <w:vertAlign w:val="superscript"/>
              </w:rPr>
              <w:t xml:space="preserve">89</w:t>
            </w:r>
          </w:p>
        </w:tc>
        <w:tc>
          <w:tcPr/>
          <w:p>
            <w:pPr>
              <w:pStyle w:val="Compact"/>
              <w:jc w:val="left"/>
            </w:pPr>
            <w:r>
              <w:t xml:space="preserve">P0 — Week 1-2</w:t>
            </w:r>
          </w:p>
        </w:tc>
      </w:tr>
      <w:tr>
        <w:tc>
          <w:tcPr/>
          <w:p>
            <w:pPr>
              <w:pStyle w:val="Compact"/>
              <w:jc w:val="left"/>
            </w:pPr>
            <w:r>
              <w:t xml:space="preserve">Execution</w:t>
            </w:r>
          </w:p>
        </w:tc>
        <w:tc>
          <w:tcPr/>
          <w:p>
            <w:pPr>
              <w:pStyle w:val="Compact"/>
              <w:jc w:val="left"/>
            </w:pPr>
            <w:r>
              <w:t xml:space="preserve">Transaction cost model (Frazzini-Israel-Moskowitz)</w:t>
            </w:r>
          </w:p>
        </w:tc>
        <w:tc>
          <w:tcPr/>
          <w:p>
            <w:pPr>
              <w:pStyle w:val="Compact"/>
              <w:jc w:val="left"/>
            </w:pPr>
            <w:r>
              <w:t xml:space="preserve">~$0 (code only)</w:t>
            </w:r>
          </w:p>
        </w:tc>
        <w:tc>
          <w:tcPr/>
          <w:p>
            <w:pPr>
              <w:pStyle w:val="Compact"/>
              <w:jc w:val="left"/>
            </w:pPr>
            <w:r>
              <w:t xml:space="preserve">85% of market impact is permanent</w:t>
            </w:r>
            <w:r>
              <w:t xml:space="preserve"> </w:t>
            </w:r>
            <w:r>
              <w:rPr>
                <w:vertAlign w:val="superscript"/>
              </w:rPr>
              <w:t xml:space="preserve">83</w:t>
            </w:r>
            <w:r>
              <w:t xml:space="preserve">; models prevent fiction</w:t>
            </w:r>
          </w:p>
        </w:tc>
        <w:tc>
          <w:tcPr/>
          <w:p>
            <w:pPr>
              <w:pStyle w:val="Compact"/>
              <w:jc w:val="left"/>
            </w:pPr>
            <w:r>
              <w:t xml:space="preserve">P1 — Week 3-4</w:t>
            </w:r>
          </w:p>
        </w:tc>
      </w:tr>
      <w:tr>
        <w:tc>
          <w:tcPr/>
          <w:p>
            <w:pPr>
              <w:pStyle w:val="Compact"/>
              <w:jc w:val="left"/>
            </w:pPr>
            <w:r>
              <w:t xml:space="preserve">Risk management</w:t>
            </w:r>
          </w:p>
        </w:tc>
        <w:tc>
          <w:tcPr/>
          <w:p>
            <w:pPr>
              <w:pStyle w:val="Compact"/>
              <w:jc w:val="left"/>
            </w:pPr>
            <w:r>
              <w:t xml:space="preserve">Cross-position correlation guard (max 0.7 pairwise)</w:t>
            </w:r>
          </w:p>
        </w:tc>
        <w:tc>
          <w:tcPr/>
          <w:p>
            <w:pPr>
              <w:pStyle w:val="Compact"/>
              <w:jc w:val="left"/>
            </w:pPr>
            <w:r>
              <w:t xml:space="preserve">~$0 (code only)</w:t>
            </w:r>
          </w:p>
        </w:tc>
        <w:tc>
          <w:tcPr/>
          <w:p>
            <w:pPr>
              <w:pStyle w:val="Compact"/>
              <w:jc w:val="left"/>
            </w:pPr>
            <w:r>
              <w:t xml:space="preserve">Prevents concentrated risk amplification</w:t>
            </w:r>
          </w:p>
        </w:tc>
        <w:tc>
          <w:tcPr/>
          <w:p>
            <w:pPr>
              <w:pStyle w:val="Compact"/>
              <w:jc w:val="left"/>
            </w:pPr>
            <w:r>
              <w:t xml:space="preserve">P1 — Week 5-6</w:t>
            </w:r>
          </w:p>
        </w:tc>
      </w:tr>
      <w:tr>
        <w:tc>
          <w:tcPr/>
          <w:p>
            <w:pPr>
              <w:pStyle w:val="Compact"/>
              <w:jc w:val="left"/>
            </w:pPr>
            <w:r>
              <w:t xml:space="preserve">Risk management</w:t>
            </w:r>
          </w:p>
        </w:tc>
        <w:tc>
          <w:tcPr/>
          <w:p>
            <w:pPr>
              <w:pStyle w:val="Compact"/>
              <w:jc w:val="left"/>
            </w:pPr>
            <w:r>
              <w:t xml:space="preserve">Regime detection (VIX-based 5-regime)</w:t>
            </w:r>
          </w:p>
        </w:tc>
        <w:tc>
          <w:tcPr/>
          <w:p>
            <w:pPr>
              <w:pStyle w:val="Compact"/>
              <w:jc w:val="left"/>
            </w:pPr>
            <w:r>
              <w:t xml:space="preserve">~$0 (code only)</w:t>
            </w:r>
          </w:p>
        </w:tc>
        <w:tc>
          <w:tcPr/>
          <w:p>
            <w:pPr>
              <w:pStyle w:val="Compact"/>
              <w:jc w:val="left"/>
            </w:pPr>
            <w:r>
              <w:t xml:space="preserve">Blocks momentum strategies in bear markets</w:t>
            </w:r>
            <w:r>
              <w:t xml:space="preserve"> </w:t>
            </w:r>
            <w:r>
              <w:rPr>
                <w:vertAlign w:val="superscript"/>
              </w:rPr>
              <w:t xml:space="preserve">42</w:t>
            </w:r>
          </w:p>
        </w:tc>
        <w:tc>
          <w:tcPr/>
          <w:p>
            <w:pPr>
              <w:pStyle w:val="Compact"/>
              <w:jc w:val="left"/>
            </w:pPr>
            <w:r>
              <w:t xml:space="preserve">P1 — Week 5-6</w:t>
            </w:r>
          </w:p>
        </w:tc>
      </w:tr>
      <w:tr>
        <w:tc>
          <w:tcPr/>
          <w:p>
            <w:pPr>
              <w:pStyle w:val="Compact"/>
              <w:jc w:val="left"/>
            </w:pPr>
            <w:r>
              <w:t xml:space="preserve">Governance</w:t>
            </w:r>
          </w:p>
        </w:tc>
        <w:tc>
          <w:tcPr/>
          <w:p>
            <w:pPr>
              <w:pStyle w:val="Compact"/>
              <w:jc w:val="left"/>
            </w:pPr>
            <w:r>
              <w:t xml:space="preserve">Mandatory human code review for all AI-generated commits</w:t>
            </w:r>
          </w:p>
        </w:tc>
        <w:tc>
          <w:tcPr/>
          <w:p>
            <w:pPr>
              <w:pStyle w:val="Compact"/>
              <w:jc w:val="left"/>
            </w:pPr>
            <w:r>
              <w:t xml:space="preserve">~$0 (process)</w:t>
            </w:r>
          </w:p>
        </w:tc>
        <w:tc>
          <w:tcPr/>
          <w:p>
            <w:pPr>
              <w:pStyle w:val="Compact"/>
              <w:jc w:val="left"/>
            </w:pPr>
            <w:r>
              <w:t xml:space="preserve">Eliminates version-control chaos from 5+ file copies</w:t>
            </w:r>
            <w:r>
              <w:t xml:space="preserve"> </w:t>
            </w:r>
            <w:r>
              <w:rPr>
                <w:vertAlign w:val="superscript"/>
              </w:rPr>
              <w:t xml:space="preserve">85</w:t>
            </w:r>
          </w:p>
        </w:tc>
        <w:tc>
          <w:tcPr/>
          <w:p>
            <w:pPr>
              <w:pStyle w:val="Compact"/>
              <w:jc w:val="left"/>
            </w:pPr>
            <w:r>
              <w:t xml:space="preserve">P0 — Week 1</w:t>
            </w:r>
          </w:p>
        </w:tc>
      </w:tr>
      <w:tr>
        <w:tc>
          <w:tcPr/>
          <w:p>
            <w:pPr>
              <w:pStyle w:val="Compact"/>
              <w:jc w:val="left"/>
            </w:pPr>
            <w:r>
              <w:t xml:space="preserve">Governance</w:t>
            </w:r>
          </w:p>
        </w:tc>
        <w:tc>
          <w:tcPr/>
          <w:p>
            <w:pPr>
              <w:pStyle w:val="Compact"/>
              <w:jc w:val="left"/>
            </w:pPr>
            <w:r>
              <w:t xml:space="preserve">CI/CD pipeline (GitHub Actions)</w:t>
            </w:r>
          </w:p>
        </w:tc>
        <w:tc>
          <w:tcPr/>
          <w:p>
            <w:pPr>
              <w:pStyle w:val="Compact"/>
              <w:jc w:val="left"/>
            </w:pPr>
            <w:r>
              <w:t xml:space="preserve">~$0-$20/month</w:t>
            </w:r>
          </w:p>
        </w:tc>
        <w:tc>
          <w:tcPr/>
          <w:p>
            <w:pPr>
              <w:pStyle w:val="Compact"/>
              <w:jc w:val="left"/>
            </w:pPr>
            <w:r>
              <w:t xml:space="preserve">Automated testing prevents broken code in production</w:t>
            </w:r>
          </w:p>
        </w:tc>
        <w:tc>
          <w:tcPr/>
          <w:p>
            <w:pPr>
              <w:pStyle w:val="Compact"/>
              <w:jc w:val="left"/>
            </w:pPr>
            <w:r>
              <w:t xml:space="preserve">P1 — Week 1-2</w:t>
            </w:r>
          </w:p>
        </w:tc>
      </w:tr>
      <w:tr>
        <w:tc>
          <w:tcPr/>
          <w:p>
            <w:pPr>
              <w:pStyle w:val="Compact"/>
              <w:jc w:val="left"/>
            </w:pPr>
            <w:r>
              <w:t xml:space="preserve">Compliance</w:t>
            </w:r>
          </w:p>
        </w:tc>
        <w:tc>
          <w:tcPr/>
          <w:p>
            <w:pPr>
              <w:pStyle w:val="Compact"/>
              <w:jc w:val="left"/>
            </w:pPr>
            <w:r>
              <w:t xml:space="preserve">Immutable audit trail</w:t>
            </w:r>
          </w:p>
        </w:tc>
        <w:tc>
          <w:tcPr/>
          <w:p>
            <w:pPr>
              <w:pStyle w:val="Compact"/>
              <w:jc w:val="left"/>
            </w:pPr>
            <w:r>
              <w:t xml:space="preserve">~$0 (code only)</w:t>
            </w:r>
          </w:p>
        </w:tc>
        <w:tc>
          <w:tcPr/>
          <w:p>
            <w:pPr>
              <w:pStyle w:val="Compact"/>
              <w:jc w:val="left"/>
            </w:pPr>
            <w:r>
              <w:t xml:space="preserve">Complete trade decision reconstruction</w:t>
            </w:r>
            <w:r>
              <w:t xml:space="preserve"> </w:t>
            </w:r>
            <w:r>
              <w:rPr>
                <w:vertAlign w:val="superscript"/>
              </w:rPr>
              <w:t xml:space="preserve">86</w:t>
            </w:r>
          </w:p>
        </w:tc>
        <w:tc>
          <w:tcPr/>
          <w:p>
            <w:pPr>
              <w:pStyle w:val="Compact"/>
              <w:jc w:val="left"/>
            </w:pPr>
            <w:r>
              <w:t xml:space="preserve">P2 — Week 11-12</w:t>
            </w:r>
          </w:p>
        </w:tc>
      </w:tr>
    </w:tbl>
    <w:p>
      <w:pPr>
        <w:pStyle w:val="BodyText"/>
      </w:pPr>
      <w:r>
        <w:t xml:space="preserve">The highest-impact additions are also the cheapest. PSR/DSR gates, CPCV, and multiple testing correction require only developer time — no capital expenditure — yet their absence is an existential risk. Data infrastructure upgrades cost approximately $350/month, less than the expected loss from a single bad trade based on survivorship-biased data. The 90-day MVP implements all P0 and P1 items in sequence, creating statistical rigor before any capital is deployed to new strategies.</w:t>
      </w:r>
    </w:p>
    <w:bookmarkEnd w:id="84"/>
    <w:bookmarkStart w:id="85" w:name="the-90-day-mvp-six-hard-gates"/>
    <w:p>
      <w:pPr>
        <w:pStyle w:val="Heading3"/>
      </w:pPr>
      <w:r>
        <w:t xml:space="preserve">9.3 The 90-Day MVP: Six Hard Gates</w:t>
      </w:r>
    </w:p>
    <w:p>
      <w:pPr>
        <w:pStyle w:val="FirstParagraph"/>
      </w:pPr>
      <w:r>
        <w:t xml:space="preserve">The 90-day transformation targets</w:t>
      </w:r>
      <w:r>
        <w:t xml:space="preserve"> </w:t>
      </w:r>
      <w:r>
        <w:t xml:space="preserve">“</w:t>
      </w:r>
      <w:r>
        <w:t xml:space="preserve">minimum viable institutional</w:t>
      </w:r>
      <w:r>
        <w:t xml:space="preserve">”</w:t>
      </w:r>
      <w:r>
        <w:t xml:space="preserve"> </w:t>
      </w:r>
      <w:r>
        <w:t xml:space="preserve">status — defined as: a professional quant would not immediately reject the platform as unfit for serious capital. This requires six non-negotiable hard gates.</w:t>
      </w:r>
    </w:p>
    <w:p>
      <w:pPr>
        <w:pStyle w:val="BodyText"/>
      </w:pPr>
      <w:r>
        <w:rPr>
          <w:bCs/>
          <w:b/>
        </w:rPr>
        <w:t xml:space="preserve">The Six Hard Gates:</w:t>
      </w:r>
      <w:r>
        <w:t xml:space="preserve"> </w:t>
      </w:r>
      <w:r>
        <w:t xml:space="preserve">(1)</w:t>
      </w:r>
      <w:r>
        <w:t xml:space="preserve"> </w:t>
      </w:r>
      <w:r>
        <w:rPr>
          <w:bCs/>
          <w:b/>
        </w:rPr>
        <w:t xml:space="preserve">PSR &gt; 0.95</w:t>
      </w:r>
      <w:r>
        <w:t xml:space="preserve"> </w:t>
      </w:r>
      <w:r>
        <w:t xml:space="preserve">— 95% confidence that the true Sharpe is positive</w:t>
      </w:r>
      <w:r>
        <w:t xml:space="preserve"> </w:t>
      </w:r>
      <w:r>
        <w:rPr>
          <w:vertAlign w:val="superscript"/>
        </w:rPr>
        <w:t xml:space="preserve">81</w:t>
      </w:r>
      <w:r>
        <w:t xml:space="preserve">; (2)</w:t>
      </w:r>
      <w:r>
        <w:t xml:space="preserve"> </w:t>
      </w:r>
      <w:r>
        <w:rPr>
          <w:bCs/>
          <w:b/>
        </w:rPr>
        <w:t xml:space="preserve">DSR &gt; 0.95</w:t>
      </w:r>
      <w:r>
        <w:t xml:space="preserve"> </w:t>
      </w:r>
      <w:r>
        <w:t xml:space="preserve">— 95% confidence after multiple-testing correction; (3)</w:t>
      </w:r>
      <w:r>
        <w:t xml:space="preserve"> </w:t>
      </w:r>
      <w:r>
        <w:rPr>
          <w:bCs/>
          <w:b/>
        </w:rPr>
        <w:t xml:space="preserve">n &gt;= 200</w:t>
      </w:r>
      <w:r>
        <w:t xml:space="preserve"> </w:t>
      </w:r>
      <w:r>
        <w:t xml:space="preserve">— minimum 200 trades (equity/commodity), 300 (forex), 500 (crypto); (4)</w:t>
      </w:r>
      <w:r>
        <w:t xml:space="preserve"> </w:t>
      </w:r>
      <w:r>
        <w:rPr>
          <w:bCs/>
          <w:b/>
        </w:rPr>
        <w:t xml:space="preserve">Transaction costs modeled</w:t>
      </w:r>
      <w:r>
        <w:t xml:space="preserve"> </w:t>
      </w:r>
      <w:r>
        <w:t xml:space="preserve">— per-asset-class spread + slippage + commission in all backtests</w:t>
      </w:r>
      <w:r>
        <w:t xml:space="preserve"> </w:t>
      </w:r>
      <w:r>
        <w:rPr>
          <w:vertAlign w:val="superscript"/>
        </w:rPr>
        <w:t xml:space="preserve">83</w:t>
      </w:r>
      <w:r>
        <w:t xml:space="preserve">; (5)</w:t>
      </w:r>
      <w:r>
        <w:t xml:space="preserve"> </w:t>
      </w:r>
      <w:r>
        <w:rPr>
          <w:bCs/>
          <w:b/>
        </w:rPr>
        <w:t xml:space="preserve">Single source of truth</w:t>
      </w:r>
      <w:r>
        <w:t xml:space="preserve"> </w:t>
      </w:r>
      <w:r>
        <w:t xml:space="preserve">— one outcome_resolver.py, all changes via pull request with human review</w:t>
      </w:r>
      <w:r>
        <w:t xml:space="preserve"> </w:t>
      </w:r>
      <w:r>
        <w:rPr>
          <w:vertAlign w:val="superscript"/>
        </w:rPr>
        <w:t xml:space="preserve">85</w:t>
      </w:r>
      <w:r>
        <w:t xml:space="preserve">; (6)</w:t>
      </w:r>
      <w:r>
        <w:t xml:space="preserve"> </w:t>
      </w:r>
      <w:r>
        <w:rPr>
          <w:bCs/>
          <w:b/>
        </w:rPr>
        <w:t xml:space="preserve">Correlation guard active</w:t>
      </w:r>
      <w:r>
        <w:t xml:space="preserve"> </w:t>
      </w:r>
      <w:r>
        <w:t xml:space="preserve">— max pairwise correlation 0.7, portfolio VaR (95%, 1-day) capped at 2% of NAV.</w:t>
      </w:r>
    </w:p>
    <w:p>
      <w:pPr>
        <w:pStyle w:val="BodyText"/>
      </w:pPr>
      <w:r>
        <w:rPr>
          <w:bCs/>
          <w:b/>
        </w:rPr>
        <w:t xml:space="preserve">Table 9.3 — 90-Day MVP Week-by-Week Plan</w:t>
      </w:r>
    </w:p>
    <w:tbl>
      <w:tblPr>
        <w:tblStyle w:val="Table"/>
        <w:tblW w:type="pct" w:w="5000"/>
        <w:tblLook w:firstRow="1" w:lastRow="0" w:firstColumn="0" w:lastColumn="0" w:noHBand="0" w:noVBand="0" w:val="0020"/>
      </w:tblPr>
      <w:tblGrid>
        <w:gridCol w:w="1320"/>
        <w:gridCol w:w="1540"/>
        <w:gridCol w:w="3740"/>
        <w:gridCol w:w="1320"/>
      </w:tblGrid>
      <w:tr>
        <w:trPr>
          <w:tblHeader w:val="true"/>
        </w:trPr>
        <w:tc>
          <w:tcPr/>
          <w:p>
            <w:pPr>
              <w:pStyle w:val="Compact"/>
              <w:jc w:val="left"/>
            </w:pPr>
            <w:r>
              <w:t xml:space="preserve">Week</w:t>
            </w:r>
          </w:p>
        </w:tc>
        <w:tc>
          <w:tcPr/>
          <w:p>
            <w:pPr>
              <w:pStyle w:val="Compact"/>
              <w:jc w:val="left"/>
            </w:pPr>
            <w:r>
              <w:t xml:space="preserve">Focus</w:t>
            </w:r>
          </w:p>
        </w:tc>
        <w:tc>
          <w:tcPr/>
          <w:p>
            <w:pPr>
              <w:pStyle w:val="Compact"/>
              <w:jc w:val="left"/>
            </w:pPr>
            <w:r>
              <w:t xml:space="preserve">Key Deliverables</w:t>
            </w:r>
          </w:p>
        </w:tc>
        <w:tc>
          <w:tcPr/>
          <w:p>
            <w:pPr>
              <w:pStyle w:val="Compact"/>
              <w:jc w:val="left"/>
            </w:pPr>
            <w:r>
              <w:t xml:space="preserve">Cost</w:t>
            </w:r>
          </w:p>
        </w:tc>
      </w:tr>
      <w:tr>
        <w:tc>
          <w:tcPr/>
          <w:p>
            <w:pPr>
              <w:pStyle w:val="Compact"/>
              <w:jc w:val="left"/>
            </w:pPr>
            <w:r>
              <w:t xml:space="preserve">1-2</w:t>
            </w:r>
          </w:p>
        </w:tc>
        <w:tc>
          <w:tcPr/>
          <w:p>
            <w:pPr>
              <w:pStyle w:val="Compact"/>
              <w:jc w:val="left"/>
            </w:pPr>
            <w:r>
              <w:t xml:space="preserve">Foundation: data + validation</w:t>
            </w:r>
          </w:p>
        </w:tc>
        <w:tc>
          <w:tcPr/>
          <w:p>
            <w:pPr>
              <w:pStyle w:val="Compact"/>
              <w:jc w:val="left"/>
            </w:pPr>
            <w:r>
              <w:t xml:space="preserve">Polygon.io/CCData subscription; PSR/DSR deployed; protected main branch; consolidate outcome_resolver.py</w:t>
            </w:r>
          </w:p>
        </w:tc>
        <w:tc>
          <w:tcPr/>
          <w:p>
            <w:pPr>
              <w:pStyle w:val="Compact"/>
              <w:jc w:val="left"/>
            </w:pPr>
            <w:r>
              <w:t xml:space="preserve">~$500</w:t>
            </w:r>
          </w:p>
        </w:tc>
      </w:tr>
      <w:tr>
        <w:tc>
          <w:tcPr/>
          <w:p>
            <w:pPr>
              <w:pStyle w:val="Compact"/>
              <w:jc w:val="left"/>
            </w:pPr>
            <w:r>
              <w:t xml:space="preserve">3-4</w:t>
            </w:r>
          </w:p>
        </w:tc>
        <w:tc>
          <w:tcPr/>
          <w:p>
            <w:pPr>
              <w:pStyle w:val="Compact"/>
              <w:jc w:val="left"/>
            </w:pPr>
            <w:r>
              <w:t xml:space="preserve">Transaction cost integration</w:t>
            </w:r>
          </w:p>
        </w:tc>
        <w:tc>
          <w:tcPr/>
          <w:p>
            <w:pPr>
              <w:pStyle w:val="Compact"/>
              <w:jc w:val="left"/>
            </w:pPr>
            <w:r>
              <w:t xml:space="preserve">Per-asset-class cost models (3-140 bps); re-run all backtests net-of-costs; flag unprofitable strategies</w:t>
            </w:r>
          </w:p>
        </w:tc>
        <w:tc>
          <w:tcPr/>
          <w:p>
            <w:pPr>
              <w:pStyle w:val="Compact"/>
              <w:jc w:val="left"/>
            </w:pPr>
            <w:r>
              <w:t xml:space="preserve">~$300</w:t>
            </w:r>
          </w:p>
        </w:tc>
      </w:tr>
      <w:tr>
        <w:tc>
          <w:tcPr/>
          <w:p>
            <w:pPr>
              <w:pStyle w:val="Compact"/>
              <w:jc w:val="left"/>
            </w:pPr>
            <w:r>
              <w:t xml:space="preserve">5-6</w:t>
            </w:r>
          </w:p>
        </w:tc>
        <w:tc>
          <w:tcPr/>
          <w:p>
            <w:pPr>
              <w:pStyle w:val="Compact"/>
              <w:jc w:val="left"/>
            </w:pPr>
            <w:r>
              <w:t xml:space="preserve">Risk framework</w:t>
            </w:r>
          </w:p>
        </w:tc>
        <w:tc>
          <w:tcPr/>
          <w:p>
            <w:pPr>
              <w:pStyle w:val="Compact"/>
              <w:jc w:val="left"/>
            </w:pPr>
            <w:r>
              <w:t xml:space="preserve">Correlation guard (max 0.7); portfolio VaR; 3% daily loss kill switch; 10% drawdown limit; VIX regime detection</w:t>
            </w:r>
          </w:p>
        </w:tc>
        <w:tc>
          <w:tcPr/>
          <w:p>
            <w:pPr>
              <w:pStyle w:val="Compact"/>
              <w:jc w:val="left"/>
            </w:pPr>
            <w:r>
              <w:t xml:space="preserve">~$200</w:t>
            </w:r>
          </w:p>
        </w:tc>
      </w:tr>
      <w:tr>
        <w:tc>
          <w:tcPr/>
          <w:p>
            <w:pPr>
              <w:pStyle w:val="Compact"/>
              <w:jc w:val="left"/>
            </w:pPr>
            <w:r>
              <w:t xml:space="preserve">7-8</w:t>
            </w:r>
          </w:p>
        </w:tc>
        <w:tc>
          <w:tcPr/>
          <w:p>
            <w:pPr>
              <w:pStyle w:val="Compact"/>
              <w:jc w:val="left"/>
            </w:pPr>
            <w:r>
              <w:t xml:space="preserve">Bootstrap + confidence intervals</w:t>
            </w:r>
          </w:p>
        </w:tc>
        <w:tc>
          <w:tcPr/>
          <w:p>
            <w:pPr>
              <w:pStyle w:val="Compact"/>
              <w:jc w:val="left"/>
            </w:pPr>
            <w:r>
              <w:t xml:space="preserve">10,000-path bootstrap with BCa bias correction; Sharpe CI on all strategy reports; strategy health monitoring</w:t>
            </w:r>
          </w:p>
        </w:tc>
        <w:tc>
          <w:tcPr/>
          <w:p>
            <w:pPr>
              <w:pStyle w:val="Compact"/>
              <w:jc w:val="left"/>
            </w:pPr>
            <w:r>
              <w:t xml:space="preserve">~$200</w:t>
            </w:r>
          </w:p>
        </w:tc>
      </w:tr>
      <w:tr>
        <w:tc>
          <w:tcPr/>
          <w:p>
            <w:pPr>
              <w:pStyle w:val="Compact"/>
              <w:jc w:val="left"/>
            </w:pPr>
            <w:r>
              <w:t xml:space="preserve">9-10</w:t>
            </w:r>
          </w:p>
        </w:tc>
        <w:tc>
          <w:tcPr/>
          <w:p>
            <w:pPr>
              <w:pStyle w:val="Compact"/>
              <w:jc w:val="left"/>
            </w:pPr>
            <w:r>
              <w:t xml:space="preserve">Execution simulation</w:t>
            </w:r>
          </w:p>
        </w:tc>
        <w:tc>
          <w:tcPr/>
          <w:p>
            <w:pPr>
              <w:pStyle w:val="Compact"/>
              <w:jc w:val="left"/>
            </w:pPr>
            <w:r>
              <w:t xml:space="preserve">Market impact (power law); slippage (volume-weighted); Alpaca API paper trading; OMS-lite</w:t>
            </w:r>
          </w:p>
        </w:tc>
        <w:tc>
          <w:tcPr/>
          <w:p>
            <w:pPr>
              <w:pStyle w:val="Compact"/>
              <w:jc w:val="left"/>
            </w:pPr>
            <w:r>
              <w:t xml:space="preserve">~$200</w:t>
            </w:r>
          </w:p>
        </w:tc>
      </w:tr>
      <w:tr>
        <w:tc>
          <w:tcPr/>
          <w:p>
            <w:pPr>
              <w:pStyle w:val="Compact"/>
              <w:jc w:val="left"/>
            </w:pPr>
            <w:r>
              <w:t xml:space="preserve">11-12</w:t>
            </w:r>
          </w:p>
        </w:tc>
        <w:tc>
          <w:tcPr/>
          <w:p>
            <w:pPr>
              <w:pStyle w:val="Compact"/>
              <w:jc w:val="left"/>
            </w:pPr>
            <w:r>
              <w:t xml:space="preserve">Audit + compliance foundation</w:t>
            </w:r>
          </w:p>
        </w:tc>
        <w:tc>
          <w:tcPr/>
          <w:p>
            <w:pPr>
              <w:pStyle w:val="Compact"/>
              <w:jc w:val="left"/>
            </w:pPr>
            <w:r>
              <w:t xml:space="preserve">Immutable audit trail; trade reconstruction; compliance templates; final gate review</w:t>
            </w:r>
          </w:p>
        </w:tc>
        <w:tc>
          <w:tcPr/>
          <w:p>
            <w:pPr>
              <w:pStyle w:val="Compact"/>
              <w:jc w:val="left"/>
            </w:pPr>
            <w:r>
              <w:t xml:space="preserve">~$100</w:t>
            </w:r>
          </w:p>
        </w:tc>
      </w:tr>
    </w:tbl>
    <w:p>
      <w:pPr>
        <w:pStyle w:val="BodyText"/>
      </w:pPr>
      <w:r>
        <w:rPr>
          <w:bCs/>
          <w:b/>
        </w:rPr>
        <w:t xml:space="preserve">Total 90-day cost: approximately $1,500.</w:t>
      </w:r>
      <w:r>
        <w:t xml:space="preserve"> </w:t>
      </w:r>
      <w:r>
        <w:t xml:space="preserve">Expected ROI: 867%-5,233%, based on avoiding deployment of negative-OOS-Sharpe strategies. The platform currently has three asset classes with negative OOS Sharpe (CRYPTO: -0.242, FOREX: -1.406, COMMODITY: -2.412)</w:t>
      </w:r>
      <w:r>
        <w:t xml:space="preserve"> </w:t>
      </w:r>
      <w:r>
        <w:rPr>
          <w:vertAlign w:val="superscript"/>
        </w:rPr>
        <w:t xml:space="preserve">81</w:t>
      </w:r>
      <w:r>
        <w:t xml:space="preserve">. Deploying $50,000 across these without the six gates would risk $5,000-$10,000 in annual losses. The MVP cost pays for itself by preventing a single such deployment.</w:t>
      </w:r>
    </w:p>
    <w:bookmarkEnd w:id="85"/>
    <w:bookmarkStart w:id="86" w:name="the-12-month-full-transformation"/>
    <w:p>
      <w:pPr>
        <w:pStyle w:val="Heading3"/>
      </w:pPr>
      <w:r>
        <w:t xml:space="preserve">9.4 The 12-Month Full Transformation</w:t>
      </w:r>
    </w:p>
    <w:p>
      <w:pPr>
        <w:pStyle w:val="FirstParagraph"/>
      </w:pPr>
      <w:r>
        <w:t xml:space="preserve">The 12-month roadmap targets</w:t>
      </w:r>
      <w:r>
        <w:t xml:space="preserve"> </w:t>
      </w:r>
      <w:r>
        <w:t xml:space="preserve">“</w:t>
      </w:r>
      <w:r>
        <w:t xml:space="preserve">credible quant fund</w:t>
      </w:r>
      <w:r>
        <w:t xml:space="preserve">”</w:t>
      </w:r>
      <w:r>
        <w:t xml:space="preserve"> </w:t>
      </w:r>
      <w:r>
        <w:t xml:space="preserve">quality — capable of managing external capital. The scope expands from validation gates to full infrastructure: CPCV on all strategies, complete OMS/EMS with best execution, real-time risk monitoring with stress testing, HMM regime detection, and regulatory compliance readiness.</w:t>
      </w:r>
    </w:p>
    <w:p>
      <w:pPr>
        <w:pStyle w:val="BodyText"/>
      </w:pPr>
      <w:r>
        <w:rPr>
          <w:bCs/>
          <w:b/>
        </w:rPr>
        <w:t xml:space="preserve">Table 9.4 — Quarterly Milestone Roadmap (12-Month Transformation)</w:t>
      </w:r>
    </w:p>
    <w:tbl>
      <w:tblPr>
        <w:tblStyle w:val="Table"/>
        <w:tblW w:type="pct" w:w="5000"/>
        <w:tblLook w:firstRow="1" w:lastRow="0" w:firstColumn="0" w:lastColumn="0" w:noHBand="0" w:noVBand="0" w:val="0020"/>
      </w:tblPr>
      <w:tblGrid>
        <w:gridCol w:w="1454"/>
        <w:gridCol w:w="1777"/>
        <w:gridCol w:w="2747"/>
        <w:gridCol w:w="1939"/>
      </w:tblGrid>
      <w:tr>
        <w:trPr>
          <w:tblHeader w:val="true"/>
        </w:trPr>
        <w:tc>
          <w:tcPr/>
          <w:p>
            <w:pPr>
              <w:pStyle w:val="Compact"/>
              <w:jc w:val="left"/>
            </w:pPr>
            <w:r>
              <w:t xml:space="preserve">Quarter</w:t>
            </w:r>
          </w:p>
        </w:tc>
        <w:tc>
          <w:tcPr/>
          <w:p>
            <w:pPr>
              <w:pStyle w:val="Compact"/>
              <w:jc w:val="left"/>
            </w:pPr>
            <w:r>
              <w:t xml:space="preserve">Milestone</w:t>
            </w:r>
          </w:p>
        </w:tc>
        <w:tc>
          <w:tcPr/>
          <w:p>
            <w:pPr>
              <w:pStyle w:val="Compact"/>
              <w:jc w:val="left"/>
            </w:pPr>
            <w:r>
              <w:t xml:space="preserve">Key Deliverables</w:t>
            </w:r>
          </w:p>
        </w:tc>
        <w:tc>
          <w:tcPr/>
          <w:p>
            <w:pPr>
              <w:pStyle w:val="Compact"/>
              <w:jc w:val="left"/>
            </w:pPr>
            <w:r>
              <w:t xml:space="preserve">Investment</w:t>
            </w:r>
          </w:p>
        </w:tc>
      </w:tr>
      <w:tr>
        <w:tc>
          <w:tcPr/>
          <w:p>
            <w:pPr>
              <w:pStyle w:val="Compact"/>
              <w:jc w:val="left"/>
            </w:pPr>
            <w:r>
              <w:t xml:space="preserve">Q1 (M1-3)</w:t>
            </w:r>
          </w:p>
        </w:tc>
        <w:tc>
          <w:tcPr/>
          <w:p>
            <w:pPr>
              <w:pStyle w:val="Compact"/>
              <w:jc w:val="left"/>
            </w:pPr>
            <w:r>
              <w:t xml:space="preserve">Minimum Viable Institutional</w:t>
            </w:r>
          </w:p>
        </w:tc>
        <w:tc>
          <w:tcPr/>
          <w:p>
            <w:pPr>
              <w:pStyle w:val="Compact"/>
              <w:jc w:val="left"/>
            </w:pPr>
            <w:r>
              <w:t xml:space="preserve">All 90-day MVP gates operational; 100% of strategies pass PSR/DSR/n&gt;=200; paper trading top 5 strategies</w:t>
            </w:r>
          </w:p>
        </w:tc>
        <w:tc>
          <w:tcPr/>
          <w:p>
            <w:pPr>
              <w:pStyle w:val="Compact"/>
              <w:jc w:val="left"/>
            </w:pPr>
            <w:r>
              <w:t xml:space="preserve">~$1,500</w:t>
            </w:r>
          </w:p>
        </w:tc>
      </w:tr>
      <w:tr>
        <w:tc>
          <w:tcPr/>
          <w:p>
            <w:pPr>
              <w:pStyle w:val="Compact"/>
              <w:jc w:val="left"/>
            </w:pPr>
            <w:r>
              <w:t xml:space="preserve">Q2 (M4-6)</w:t>
            </w:r>
          </w:p>
        </w:tc>
        <w:tc>
          <w:tcPr/>
          <w:p>
            <w:pPr>
              <w:pStyle w:val="Compact"/>
              <w:jc w:val="left"/>
            </w:pPr>
            <w:r>
              <w:t xml:space="preserve">Advanced validation + data</w:t>
            </w:r>
          </w:p>
        </w:tc>
        <w:tc>
          <w:tcPr/>
          <w:p>
            <w:pPr>
              <w:pStyle w:val="Compact"/>
              <w:jc w:val="left"/>
            </w:pPr>
            <w:r>
              <w:t xml:space="preserve">CPCV on all strategies; tick data (Polygon.io T&amp;Q); alternative data (sentiment, options flow); Airflow + dbt pipeline</w:t>
            </w:r>
            <w:r>
              <w:t xml:space="preserve"> </w:t>
            </w:r>
            <w:r>
              <w:rPr>
                <w:vertAlign w:val="superscript"/>
              </w:rPr>
              <w:t xml:space="preserve">85</w:t>
            </w:r>
            <w:r>
              <w:t xml:space="preserve">; MLflow experiment tracking</w:t>
            </w:r>
          </w:p>
        </w:tc>
        <w:tc>
          <w:tcPr/>
          <w:p>
            <w:pPr>
              <w:pStyle w:val="Compact"/>
              <w:jc w:val="left"/>
            </w:pPr>
            <w:r>
              <w:t xml:space="preserve">~$6,000-10,000</w:t>
            </w:r>
          </w:p>
        </w:tc>
      </w:tr>
      <w:tr>
        <w:tc>
          <w:tcPr/>
          <w:p>
            <w:pPr>
              <w:pStyle w:val="Compact"/>
              <w:jc w:val="left"/>
            </w:pPr>
            <w:r>
              <w:t xml:space="preserve">Q3 (M7-9)</w:t>
            </w:r>
          </w:p>
        </w:tc>
        <w:tc>
          <w:tcPr/>
          <w:p>
            <w:pPr>
              <w:pStyle w:val="Compact"/>
              <w:jc w:val="left"/>
            </w:pPr>
            <w:r>
              <w:t xml:space="preserve">Execution + risk infrastructure</w:t>
            </w:r>
          </w:p>
        </w:tc>
        <w:tc>
          <w:tcPr/>
          <w:p>
            <w:pPr>
              <w:pStyle w:val="Compact"/>
              <w:jc w:val="left"/>
            </w:pPr>
            <w:r>
              <w:t xml:space="preserve">Full OMS with pre-trade compliance; EMS with VWAP/TWAP routing; real-time VaR/CVaR; stress testing (2008, 2020, 2022); TCA framework</w:t>
            </w:r>
          </w:p>
        </w:tc>
        <w:tc>
          <w:tcPr/>
          <w:p>
            <w:pPr>
              <w:pStyle w:val="Compact"/>
              <w:jc w:val="left"/>
            </w:pPr>
            <w:r>
              <w:t xml:space="preserve">~$10,000-15,000</w:t>
            </w:r>
          </w:p>
        </w:tc>
      </w:tr>
      <w:tr>
        <w:tc>
          <w:tcPr/>
          <w:p>
            <w:pPr>
              <w:pStyle w:val="Compact"/>
              <w:jc w:val="left"/>
            </w:pPr>
            <w:r>
              <w:t xml:space="preserve">Q4 (M10-12)</w:t>
            </w:r>
          </w:p>
        </w:tc>
        <w:tc>
          <w:tcPr/>
          <w:p>
            <w:pPr>
              <w:pStyle w:val="Compact"/>
              <w:jc w:val="left"/>
            </w:pPr>
            <w:r>
              <w:t xml:space="preserve">Regime detection + scaling</w:t>
            </w:r>
          </w:p>
        </w:tc>
        <w:tc>
          <w:tcPr/>
          <w:p>
            <w:pPr>
              <w:pStyle w:val="Compact"/>
              <w:jc w:val="left"/>
            </w:pPr>
            <w:r>
              <w:t xml:space="preserve">HMM regime detection (Baum-Welch + Viterbi)</w:t>
            </w:r>
            <w:r>
              <w:t xml:space="preserve"> </w:t>
            </w:r>
            <w:r>
              <w:rPr>
                <w:vertAlign w:val="superscript"/>
              </w:rPr>
              <w:t xml:space="preserve">81</w:t>
            </w:r>
            <w:r>
              <w:t xml:space="preserve">; strategy-level AUM capacity limits; LP reporting; Brinson-Fachler attribution; external capital readiness at $500K AUM</w:t>
            </w:r>
          </w:p>
        </w:tc>
        <w:tc>
          <w:tcPr/>
          <w:p>
            <w:pPr>
              <w:pStyle w:val="Compact"/>
              <w:jc w:val="left"/>
            </w:pPr>
            <w:r>
              <w:t xml:space="preserve">~$15,000-50,000</w:t>
            </w:r>
          </w:p>
        </w:tc>
      </w:tr>
    </w:tbl>
    <w:p>
      <w:pPr>
        <w:pStyle w:val="BodyText"/>
      </w:pPr>
      <w:r>
        <w:rPr>
          <w:bCs/>
          <w:b/>
        </w:rPr>
        <w:t xml:space="preserve">Total 12-month cost: $32,400-$78,000.</w:t>
      </w:r>
      <w:r>
        <w:t xml:space="preserve"> </w:t>
      </w:r>
      <w:r>
        <w:t xml:space="preserve">At $500K AUM, this represents 6.5%-15.6% of assets — standard for quantitative fund infrastructure. Projected ROI at $500K AUM: 64%-1,400%, scaling to 250%-5,600% at $2M AUM, driven by CPCV preventing overfitted deployments, execution infrastructure saving 10-50 bps per trade, and compliance enabling institutional capital access</w:t>
      </w:r>
      <w:r>
        <w:t xml:space="preserve"> </w:t>
      </w:r>
      <w:r>
        <w:rPr>
          <w:vertAlign w:val="superscript"/>
        </w:rPr>
        <w:t xml:space="preserve">90</w:t>
      </w:r>
      <w:r>
        <w:t xml:space="preserve">.</w:t>
      </w:r>
    </w:p>
    <w:bookmarkEnd w:id="86"/>
    <w:bookmarkStart w:id="87" w:name="the-binary-choice"/>
    <w:p>
      <w:pPr>
        <w:pStyle w:val="Heading3"/>
      </w:pPr>
      <w:r>
        <w:t xml:space="preserve">9.5 The Binary Choice</w:t>
      </w:r>
    </w:p>
    <w:p>
      <w:pPr>
        <w:pStyle w:val="FirstParagraph"/>
      </w:pPr>
      <w:r>
        <w:t xml:space="preserve">The audit presents a binary decision, not a spectrum.</w:t>
      </w:r>
    </w:p>
    <w:p>
      <w:pPr>
        <w:pStyle w:val="BodyText"/>
      </w:pPr>
      <w:r>
        <w:rPr>
          <w:bCs/>
          <w:b/>
        </w:rPr>
        <w:t xml:space="preserve">Option A: Stay Retail.</w:t>
      </w:r>
      <w:r>
        <w:t xml:space="preserve"> </w:t>
      </w:r>
      <w:r>
        <w:t xml:space="preserve">Accept current limitations, radically simplify to the only validated edge (Equity + High Conviction + R:R 1.5-2.0 + ml_score &gt;= 0.90), and target disciplined retail users. Expected outcome: 15-25% annual returns for disciplined users, most users losing money due to behavioral override.</w:t>
      </w:r>
    </w:p>
    <w:p>
      <w:pPr>
        <w:pStyle w:val="BodyText"/>
      </w:pPr>
      <w:r>
        <w:rPr>
          <w:bCs/>
          <w:b/>
        </w:rPr>
        <w:t xml:space="preserve">Option B: Commit to Institutional MVP.</w:t>
      </w:r>
      <w:r>
        <w:t xml:space="preserve"> </w:t>
      </w:r>
      <w:r>
        <w:t xml:space="preserve">Invest $1,500 and 90 days to implement the six hard gates. No PhDs or data centers required — only statistical discipline on existing strategies. Expected outcome: all deployed strategies have validated edge, external capital path becomes viable.</w:t>
      </w:r>
    </w:p>
    <w:p>
      <w:pPr>
        <w:pStyle w:val="BodyText"/>
      </w:pPr>
      <w:r>
        <w:rPr>
          <w:bCs/>
          <w:b/>
        </w:rPr>
        <w:t xml:space="preserve">Recommendation: pursue Option B.</w:t>
      </w:r>
      <w:r>
        <w:t xml:space="preserve"> </w:t>
      </w:r>
      <w:r>
        <w:t xml:space="preserve">The $1,500 cost is immaterial relative to the risk of continuing to deploy unvalidated strategies. However, do not commit to the full $32,400-$78,000 12-month transformation until the 90-day MVP demonstrates execution discipline — specifically, until the signal rejection rate exceeds 80% and 100% of deployed strategies pass all six gates. As Peter Brown of Renaissance Technologies noted:</w:t>
      </w:r>
      <w:r>
        <w:t xml:space="preserve"> </w:t>
      </w:r>
      <w:r>
        <w:t xml:space="preserve">“</w:t>
      </w:r>
      <w:r>
        <w:t xml:space="preserve">We want our scientists to be as productive as possible. And that means providing them with the best infrastructure money can buy</w:t>
      </w:r>
      <w:r>
        <w:t xml:space="preserve">”</w:t>
      </w:r>
      <w:r>
        <w:t xml:space="preserve"> </w:t>
      </w:r>
      <w:r>
        <w:rPr>
          <w:vertAlign w:val="superscript"/>
        </w:rPr>
        <w:t xml:space="preserve">91</w:t>
      </w:r>
      <w:r>
        <w:t xml:space="preserve">. The 90-day MVP is that investment — modest in cost, transformative in impact.</w:t>
      </w:r>
    </w:p>
    <w:p>
      <w:r>
        <w:pict>
          <v:rect style="width:0;height:1.5pt" o:hralign="center" o:hrstd="t" o:hr="t"/>
        </w:pict>
      </w:r>
    </w:p>
    <w:bookmarkEnd w:id="87"/>
    <w:bookmarkEnd w:id="88"/>
    <w:bookmarkStart w:id="95" w:name="X1129607363c2cb29678c58a3a73fab5e6b4644f"/>
    <w:p>
      <w:pPr>
        <w:pStyle w:val="Heading2"/>
      </w:pPr>
      <w:r>
        <w:t xml:space="preserve">10. User Safety Guide: What to Invest Real Money In</w:t>
      </w:r>
    </w:p>
    <w:bookmarkStart w:id="89" w:name="the-30-second-decision-rule"/>
    <w:p>
      <w:pPr>
        <w:pStyle w:val="Heading3"/>
      </w:pPr>
      <w:r>
        <w:t xml:space="preserve">10.1 The 30-Second Decision Rule</w:t>
      </w:r>
    </w:p>
    <w:p>
      <w:pPr>
        <w:pStyle w:val="FirstParagraph"/>
      </w:pPr>
      <w:r>
        <w:t xml:space="preserve">The platform’s genuine edge is narrow, specific, and perishable. The following matrix enables rapid, evidence-based determination for any pick.</w:t>
      </w:r>
    </w:p>
    <w:p>
      <w:pPr>
        <w:pStyle w:val="BodyText"/>
      </w:pPr>
      <w:r>
        <w:rPr>
          <w:bCs/>
          <w:b/>
        </w:rPr>
        <w:t xml:space="preserve">Table 10.1 — Quick Decision Matrix</w:t>
      </w:r>
    </w:p>
    <w:tbl>
      <w:tblPr>
        <w:tblStyle w:val="Table"/>
        <w:tblW w:type="pct" w:w="5000"/>
        <w:tblLook w:firstRow="1" w:lastRow="0" w:firstColumn="0" w:lastColumn="0" w:noHBand="0" w:noVBand="0" w:val="0020"/>
      </w:tblPr>
      <w:tblGrid>
        <w:gridCol w:w="2904"/>
        <w:gridCol w:w="2112"/>
        <w:gridCol w:w="2904"/>
      </w:tblGrid>
      <w:tr>
        <w:trPr>
          <w:tblHeader w:val="true"/>
        </w:trPr>
        <w:tc>
          <w:tcPr/>
          <w:p>
            <w:pPr>
              <w:pStyle w:val="Compact"/>
              <w:jc w:val="left"/>
            </w:pPr>
            <w:r>
              <w:t xml:space="preserve">Condition</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Equity + ml_score &gt;= 0.90 + R:R 1.5-2.0 + tracking &gt;= 120h</w:t>
            </w:r>
          </w:p>
        </w:tc>
        <w:tc>
          <w:tcPr/>
          <w:p>
            <w:pPr>
              <w:pStyle w:val="Compact"/>
              <w:jc w:val="left"/>
            </w:pPr>
            <w:r>
              <w:rPr>
                <w:bCs/>
                <w:b/>
              </w:rPr>
              <w:t xml:space="preserve">GREAT IDEA — full size</w:t>
            </w:r>
          </w:p>
        </w:tc>
        <w:tc>
          <w:tcPr/>
          <w:p>
            <w:pPr>
              <w:pStyle w:val="Compact"/>
              <w:jc w:val="left"/>
            </w:pPr>
            <w:r>
              <w:t xml:space="preserve">Only validated edge (PF 5.81, OOS Sharpe 3.527)</w:t>
            </w:r>
            <w:r>
              <w:t xml:space="preserve"> </w:t>
            </w:r>
            <w:r>
              <w:rPr>
                <w:vertAlign w:val="superscript"/>
              </w:rPr>
              <w:t xml:space="preserve">81</w:t>
            </w:r>
          </w:p>
        </w:tc>
      </w:tr>
      <w:tr>
        <w:tc>
          <w:tcPr/>
          <w:p>
            <w:pPr>
              <w:pStyle w:val="Compact"/>
              <w:jc w:val="left"/>
            </w:pPr>
            <w:r>
              <w:t xml:space="preserve">Crypto B-Tier L20 + trust_score &gt;= 5 + R:R 1.5-2.0</w:t>
            </w:r>
          </w:p>
        </w:tc>
        <w:tc>
          <w:tcPr/>
          <w:p>
            <w:pPr>
              <w:pStyle w:val="Compact"/>
              <w:jc w:val="left"/>
            </w:pPr>
            <w:r>
              <w:rPr>
                <w:bCs/>
                <w:b/>
              </w:rPr>
              <w:t xml:space="preserve">CAUTION — half size</w:t>
            </w:r>
          </w:p>
        </w:tc>
        <w:tc>
          <w:tcPr/>
          <w:p>
            <w:pPr>
              <w:pStyle w:val="Compact"/>
              <w:jc w:val="left"/>
            </w:pPr>
            <w:r>
              <w:t xml:space="preserve">Viable workhorse (PF 1.28, WR 45%); cap at 5%</w:t>
            </w:r>
          </w:p>
        </w:tc>
      </w:tr>
      <w:tr>
        <w:tc>
          <w:tcPr/>
          <w:p>
            <w:pPr>
              <w:pStyle w:val="Compact"/>
              <w:jc w:val="left"/>
            </w:pPr>
            <w:r>
              <w:t xml:space="preserve">ETF + High Conviction + R:R 1.5-2.0 + 10-day stop set</w:t>
            </w:r>
          </w:p>
        </w:tc>
        <w:tc>
          <w:tcPr/>
          <w:p>
            <w:pPr>
              <w:pStyle w:val="Compact"/>
              <w:jc w:val="left"/>
            </w:pPr>
            <w:r>
              <w:rPr>
                <w:bCs/>
                <w:b/>
              </w:rPr>
              <w:t xml:space="preserve">CAUTION — quarter size</w:t>
            </w:r>
          </w:p>
        </w:tc>
        <w:tc>
          <w:tcPr/>
          <w:p>
            <w:pPr>
              <w:pStyle w:val="Compact"/>
              <w:jc w:val="left"/>
            </w:pPr>
            <w:r>
              <w:t xml:space="preserve">Time-decay structural edge; moderate conviction</w:t>
            </w:r>
          </w:p>
        </w:tc>
      </w:tr>
      <w:tr>
        <w:tc>
          <w:tcPr/>
          <w:p>
            <w:pPr>
              <w:pStyle w:val="Compact"/>
              <w:jc w:val="left"/>
            </w:pPr>
            <w:r>
              <w:t xml:space="preserve">Bond + all gates green + awareness of n=18 sample</w:t>
            </w:r>
          </w:p>
        </w:tc>
        <w:tc>
          <w:tcPr/>
          <w:p>
            <w:pPr>
              <w:pStyle w:val="Compact"/>
              <w:jc w:val="left"/>
            </w:pPr>
            <w:r>
              <w:rPr>
                <w:bCs/>
                <w:b/>
              </w:rPr>
              <w:t xml:space="preserve">CAUTION — minimal size</w:t>
            </w:r>
          </w:p>
        </w:tc>
        <w:tc>
          <w:tcPr/>
          <w:p>
            <w:pPr>
              <w:pStyle w:val="Compact"/>
              <w:jc w:val="left"/>
            </w:pPr>
            <w:r>
              <w:t xml:space="preserve">Promising but unproven; max 5% allocation</w:t>
            </w:r>
          </w:p>
        </w:tc>
      </w:tr>
      <w:tr>
        <w:tc>
          <w:tcPr/>
          <w:p>
            <w:pPr>
              <w:pStyle w:val="Compact"/>
              <w:jc w:val="left"/>
            </w:pPr>
            <w:r>
              <w:t xml:space="preserve">Commodity (any level)</w:t>
            </w:r>
          </w:p>
        </w:tc>
        <w:tc>
          <w:tcPr/>
          <w:p>
            <w:pPr>
              <w:pStyle w:val="Compact"/>
              <w:jc w:val="left"/>
            </w:pPr>
            <w:r>
              <w:rPr>
                <w:bCs/>
                <w:b/>
              </w:rPr>
              <w:t xml:space="preserve">DO NOT INVEST</w:t>
            </w:r>
          </w:p>
        </w:tc>
        <w:tc>
          <w:tcPr/>
          <w:p>
            <w:pPr>
              <w:pStyle w:val="Compact"/>
              <w:jc w:val="left"/>
            </w:pPr>
            <w:r>
              <w:t xml:space="preserve">21% WR, negative OOS Sharpe; statistically random</w:t>
            </w:r>
          </w:p>
        </w:tc>
      </w:tr>
      <w:tr>
        <w:tc>
          <w:tcPr/>
          <w:p>
            <w:pPr>
              <w:pStyle w:val="Compact"/>
              <w:jc w:val="left"/>
            </w:pPr>
            <w:r>
              <w:t xml:space="preserve">Forex (post-bug)</w:t>
            </w:r>
          </w:p>
        </w:tc>
        <w:tc>
          <w:tcPr/>
          <w:p>
            <w:pPr>
              <w:pStyle w:val="Compact"/>
              <w:jc w:val="left"/>
            </w:pPr>
            <w:r>
              <w:rPr>
                <w:bCs/>
                <w:b/>
              </w:rPr>
              <w:t xml:space="preserve">DO NOT INVEST</w:t>
            </w:r>
          </w:p>
        </w:tc>
        <w:tc>
          <w:tcPr/>
          <w:p>
            <w:pPr>
              <w:pStyle w:val="Compact"/>
              <w:jc w:val="left"/>
            </w:pPr>
            <w:r>
              <w:t xml:space="preserve">PF 0.27, OOS Sharpe -1.406; broken strategy revealed</w:t>
            </w:r>
            <w:r>
              <w:t xml:space="preserve"> </w:t>
            </w:r>
            <w:r>
              <w:rPr>
                <w:vertAlign w:val="superscript"/>
              </w:rPr>
              <w:t xml:space="preserve">81</w:t>
            </w:r>
          </w:p>
        </w:tc>
      </w:tr>
      <w:tr>
        <w:tc>
          <w:tcPr/>
          <w:p>
            <w:pPr>
              <w:pStyle w:val="Compact"/>
              <w:jc w:val="left"/>
            </w:pPr>
            <w:r>
              <w:t xml:space="preserve">Crypto C-Tier</w:t>
            </w:r>
          </w:p>
        </w:tc>
        <w:tc>
          <w:tcPr/>
          <w:p>
            <w:pPr>
              <w:pStyle w:val="Compact"/>
              <w:jc w:val="left"/>
            </w:pPr>
            <w:r>
              <w:rPr>
                <w:bCs/>
                <w:b/>
              </w:rPr>
              <w:t xml:space="preserve">DO NOT INVEST</w:t>
            </w:r>
          </w:p>
        </w:tc>
        <w:tc>
          <w:tcPr/>
          <w:p>
            <w:pPr>
              <w:pStyle w:val="Compact"/>
              <w:jc w:val="left"/>
            </w:pPr>
            <w:r>
              <w:t xml:space="preserve">72% chance of loss per pick (PF 0.56, WR 28%)</w:t>
            </w:r>
          </w:p>
        </w:tc>
      </w:tr>
      <w:tr>
        <w:tc>
          <w:tcPr/>
          <w:p>
            <w:pPr>
              <w:pStyle w:val="Compact"/>
              <w:jc w:val="left"/>
            </w:pPr>
            <w:r>
              <w:t xml:space="preserve">Meme coins</w:t>
            </w:r>
          </w:p>
        </w:tc>
        <w:tc>
          <w:tcPr/>
          <w:p>
            <w:pPr>
              <w:pStyle w:val="Compact"/>
              <w:jc w:val="left"/>
            </w:pPr>
            <w:r>
              <w:rPr>
                <w:bCs/>
                <w:b/>
              </w:rPr>
              <w:t xml:space="preserve">DO NOT INVEST</w:t>
            </w:r>
          </w:p>
        </w:tc>
        <w:tc>
          <w:tcPr/>
          <w:p>
            <w:pPr>
              <w:pStyle w:val="Compact"/>
              <w:jc w:val="left"/>
            </w:pPr>
            <w:r>
              <w:t xml:space="preserve">65.6% WR masks -12.96% avg PnL;</w:t>
            </w:r>
            <w:r>
              <w:t xml:space="preserve"> </w:t>
            </w:r>
            <w:r>
              <w:t xml:space="preserve">“</w:t>
            </w:r>
            <w:r>
              <w:t xml:space="preserve">win often, lose big</w:t>
            </w:r>
            <w:r>
              <w:t xml:space="preserve">”</w:t>
            </w:r>
          </w:p>
        </w:tc>
      </w:tr>
      <w:tr>
        <w:tc>
          <w:tcPr/>
          <w:p>
            <w:pPr>
              <w:pStyle w:val="Compact"/>
              <w:jc w:val="left"/>
            </w:pPr>
            <w:r>
              <w:t xml:space="preserve">R:R &lt; 1.5 or R:R &gt; 2.0 (any asset)</w:t>
            </w:r>
          </w:p>
        </w:tc>
        <w:tc>
          <w:tcPr/>
          <w:p>
            <w:pPr>
              <w:pStyle w:val="Compact"/>
              <w:jc w:val="left"/>
            </w:pPr>
            <w:r>
              <w:rPr>
                <w:bCs/>
                <w:b/>
              </w:rPr>
              <w:t xml:space="preserve">DO NOT INVEST</w:t>
            </w:r>
          </w:p>
        </w:tc>
        <w:tc>
          <w:tcPr/>
          <w:p>
            <w:pPr>
              <w:pStyle w:val="Compact"/>
              <w:jc w:val="left"/>
            </w:pPr>
            <w:r>
              <w:t xml:space="preserve">&lt;1.5: PF ~0.8; &gt;2.0: PF ~0.6</w:t>
            </w:r>
            <w:r>
              <w:t xml:space="preserve"> </w:t>
            </w:r>
            <w:r>
              <w:rPr>
                <w:vertAlign w:val="superscript"/>
              </w:rPr>
              <w:t xml:space="preserve">81</w:t>
            </w:r>
          </w:p>
        </w:tc>
      </w:tr>
    </w:tbl>
    <w:p>
      <w:pPr>
        <w:pStyle w:val="BodyText"/>
      </w:pPr>
      <w:r>
        <w:rPr>
          <w:bCs/>
          <w:b/>
        </w:rPr>
        <w:t xml:space="preserve">Green flags:</w:t>
      </w:r>
      <w:r>
        <w:t xml:space="preserve"> </w:t>
      </w:r>
      <w:r>
        <w:t xml:space="preserve">Equity with trust_score &gt;= 5, forward WR 50-65%, R:R 1.5-2.0, ml_score &gt;= 0.90, Verified Alpha with &gt;= 20 historical picks, per-strategy WR &gt;= 50%, PF &gt;= 1.3.</w:t>
      </w:r>
      <w:r>
        <w:t xml:space="preserve"> </w:t>
      </w:r>
      <w:r>
        <w:rPr>
          <w:bCs/>
          <w:b/>
        </w:rPr>
        <w:t xml:space="preserve">Red flags:</w:t>
      </w:r>
      <w:r>
        <w:t xml:space="preserve"> </w:t>
      </w:r>
      <w:r>
        <w:t xml:space="preserve">R:R outside 1.5-2.0, ml_score &lt; 0.90, tracking &lt; 120 hours (72.7% of picks unresolved at 24h), no stop-loss set, position size &gt; 11.8% (Equity) or 5% (other assets).</w:t>
      </w:r>
    </w:p>
    <w:bookmarkEnd w:id="89"/>
    <w:bookmarkStart w:id="90" w:name="X79750f068e6ec66d53f0da260aedb01aea457f3"/>
    <w:p>
      <w:pPr>
        <w:pStyle w:val="Heading3"/>
      </w:pPr>
      <w:r>
        <w:t xml:space="preserve">10.2 What Is SAFE vs GREAT IDEA vs DO NOT INVEST</w:t>
      </w:r>
    </w:p>
    <w:p>
      <w:pPr>
        <w:pStyle w:val="FirstParagraph"/>
      </w:pPr>
      <w:r>
        <w:rPr>
          <w:bCs/>
          <w:b/>
        </w:rPr>
        <w:t xml:space="preserve">SAFE:</w:t>
      </w:r>
      <w:r>
        <w:t xml:space="preserve"> </w:t>
      </w:r>
      <w:r>
        <w:t xml:space="preserve">Equity picks with Verified Alpha + High Conviction + R:R 1.5-2.0 + ml_score &gt;= 0.90 + tracking &gt;= 120h + position size &lt;= 11.8%. These have a statistical advantage compounding over 50+ trades — not guaranteed wins, but genuine edge.</w:t>
      </w:r>
    </w:p>
    <w:p>
      <w:pPr>
        <w:pStyle w:val="BodyText"/>
      </w:pPr>
      <w:r>
        <w:rPr>
          <w:bCs/>
          <w:b/>
        </w:rPr>
        <w:t xml:space="preserve">GREAT IDEA:</w:t>
      </w:r>
      <w:r>
        <w:t xml:space="preserve"> </w:t>
      </w:r>
      <w:r>
        <w:t xml:space="preserve">Equity Tier-2 strategies at full allocation with all six gates green, entered within 48 hours of signal generation. Signal alpha decays: peak at 0-48h, viable at 48-120h, approaching random after 120h+</w:t>
      </w:r>
      <w:r>
        <w:t xml:space="preserve"> </w:t>
      </w:r>
      <w:r>
        <w:rPr>
          <w:vertAlign w:val="superscript"/>
        </w:rPr>
        <w:t xml:space="preserve">81</w:t>
      </w:r>
      <w:r>
        <w:t xml:space="preserve">. Entry within 48 hours is statistically critical.</w:t>
      </w:r>
    </w:p>
    <w:p>
      <w:pPr>
        <w:pStyle w:val="BodyText"/>
      </w:pPr>
      <w:r>
        <w:rPr>
          <w:bCs/>
          <w:b/>
        </w:rPr>
        <w:t xml:space="preserve">Table 10.2 — The DO NOT INVEST List (8 Items)</w:t>
      </w:r>
    </w:p>
    <w:tbl>
      <w:tblPr>
        <w:tblStyle w:val="Table"/>
        <w:tblW w:type="pct" w:w="5000"/>
        <w:tblLook w:firstRow="1" w:lastRow="0" w:firstColumn="0" w:lastColumn="0" w:noHBand="0" w:noVBand="0" w:val="0020"/>
      </w:tblPr>
      <w:tblGrid>
        <w:gridCol w:w="516"/>
        <w:gridCol w:w="1721"/>
        <w:gridCol w:w="2410"/>
        <w:gridCol w:w="3271"/>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Specific Item</w:t>
            </w:r>
          </w:p>
        </w:tc>
        <w:tc>
          <w:tcPr/>
          <w:p>
            <w:pPr>
              <w:pStyle w:val="Compact"/>
              <w:jc w:val="left"/>
            </w:pPr>
            <w:r>
              <w:t xml:space="preserve">Why It’s Excluded</w:t>
            </w:r>
          </w:p>
        </w:tc>
      </w:tr>
      <w:tr>
        <w:tc>
          <w:tcPr/>
          <w:p>
            <w:pPr>
              <w:pStyle w:val="Compact"/>
              <w:jc w:val="left"/>
            </w:pPr>
            <w:r>
              <w:t xml:space="preserve">1</w:t>
            </w:r>
          </w:p>
        </w:tc>
        <w:tc>
          <w:tcPr/>
          <w:p>
            <w:pPr>
              <w:pStyle w:val="Compact"/>
              <w:jc w:val="left"/>
            </w:pPr>
            <w:r>
              <w:t xml:space="preserve">Commodity</w:t>
            </w:r>
          </w:p>
        </w:tc>
        <w:tc>
          <w:tcPr/>
          <w:p>
            <w:pPr>
              <w:pStyle w:val="Compact"/>
              <w:jc w:val="left"/>
            </w:pPr>
            <w:r>
              <w:t xml:space="preserve">Any commodity pick, any level</w:t>
            </w:r>
          </w:p>
        </w:tc>
        <w:tc>
          <w:tcPr/>
          <w:p>
            <w:pPr>
              <w:pStyle w:val="Compact"/>
              <w:jc w:val="left"/>
            </w:pPr>
            <w:r>
              <w:t xml:space="preserve">21% WR, 58% flat exits, OOS Sharpe -2.412</w:t>
            </w:r>
            <w:r>
              <w:t xml:space="preserve"> </w:t>
            </w:r>
            <w:r>
              <w:rPr>
                <w:vertAlign w:val="superscript"/>
              </w:rPr>
              <w:t xml:space="preserve">81</w:t>
            </w:r>
          </w:p>
        </w:tc>
      </w:tr>
      <w:tr>
        <w:tc>
          <w:tcPr/>
          <w:p>
            <w:pPr>
              <w:pStyle w:val="Compact"/>
              <w:jc w:val="left"/>
            </w:pPr>
            <w:r>
              <w:t xml:space="preserve">2</w:t>
            </w:r>
          </w:p>
        </w:tc>
        <w:tc>
          <w:tcPr/>
          <w:p>
            <w:pPr>
              <w:pStyle w:val="Compact"/>
              <w:jc w:val="left"/>
            </w:pPr>
            <w:r>
              <w:t xml:space="preserve">Forex</w:t>
            </w:r>
          </w:p>
        </w:tc>
        <w:tc>
          <w:tcPr/>
          <w:p>
            <w:pPr>
              <w:pStyle w:val="Compact"/>
              <w:jc w:val="left"/>
            </w:pPr>
            <w:r>
              <w:t xml:space="preserve">Any forex pick, post-bug-fix</w:t>
            </w:r>
          </w:p>
        </w:tc>
        <w:tc>
          <w:tcPr/>
          <w:p>
            <w:pPr>
              <w:pStyle w:val="Compact"/>
              <w:jc w:val="left"/>
            </w:pPr>
            <w:r>
              <w:t xml:space="preserve">PF 0.27, OOS Sharpe -1.406; strategy failure revealed</w:t>
            </w:r>
            <w:r>
              <w:t xml:space="preserve"> </w:t>
            </w:r>
            <w:r>
              <w:rPr>
                <w:vertAlign w:val="superscript"/>
              </w:rPr>
              <w:t xml:space="preserve">81</w:t>
            </w:r>
          </w:p>
        </w:tc>
      </w:tr>
      <w:tr>
        <w:tc>
          <w:tcPr/>
          <w:p>
            <w:pPr>
              <w:pStyle w:val="Compact"/>
              <w:jc w:val="left"/>
            </w:pPr>
            <w:r>
              <w:t xml:space="preserve">3</w:t>
            </w:r>
          </w:p>
        </w:tc>
        <w:tc>
          <w:tcPr/>
          <w:p>
            <w:pPr>
              <w:pStyle w:val="Compact"/>
              <w:jc w:val="left"/>
            </w:pPr>
            <w:r>
              <w:t xml:space="preserve">Crypto C-Tier</w:t>
            </w:r>
          </w:p>
        </w:tc>
        <w:tc>
          <w:tcPr/>
          <w:p>
            <w:pPr>
              <w:pStyle w:val="Compact"/>
              <w:jc w:val="left"/>
            </w:pPr>
            <w:r>
              <w:t xml:space="preserve">Any C-Tier pick</w:t>
            </w:r>
          </w:p>
        </w:tc>
        <w:tc>
          <w:tcPr/>
          <w:p>
            <w:pPr>
              <w:pStyle w:val="Compact"/>
              <w:jc w:val="left"/>
            </w:pPr>
            <w:r>
              <w:t xml:space="preserve">72% lose rate, PF 0.56; value destruction</w:t>
            </w:r>
          </w:p>
        </w:tc>
      </w:tr>
      <w:tr>
        <w:tc>
          <w:tcPr/>
          <w:p>
            <w:pPr>
              <w:pStyle w:val="Compact"/>
              <w:jc w:val="left"/>
            </w:pPr>
            <w:r>
              <w:t xml:space="preserve">4</w:t>
            </w:r>
          </w:p>
        </w:tc>
        <w:tc>
          <w:tcPr/>
          <w:p>
            <w:pPr>
              <w:pStyle w:val="Compact"/>
              <w:jc w:val="left"/>
            </w:pPr>
            <w:r>
              <w:t xml:space="preserve">Meme coins</w:t>
            </w:r>
          </w:p>
        </w:tc>
        <w:tc>
          <w:tcPr/>
          <w:p>
            <w:pPr>
              <w:pStyle w:val="Compact"/>
              <w:jc w:val="left"/>
            </w:pPr>
            <w:r>
              <w:t xml:space="preserve">DOGE, SHIB, PEPE, any meme token</w:t>
            </w:r>
          </w:p>
        </w:tc>
        <w:tc>
          <w:tcPr/>
          <w:p>
            <w:pPr>
              <w:pStyle w:val="Compact"/>
              <w:jc w:val="left"/>
            </w:pPr>
            <w:r>
              <w:t xml:space="preserve">-12.96% avg PnL despite 65.6% WR</w:t>
            </w:r>
          </w:p>
        </w:tc>
      </w:tr>
      <w:tr>
        <w:tc>
          <w:tcPr/>
          <w:p>
            <w:pPr>
              <w:pStyle w:val="Compact"/>
              <w:jc w:val="left"/>
            </w:pPr>
            <w:r>
              <w:t xml:space="preserve">5</w:t>
            </w:r>
          </w:p>
        </w:tc>
        <w:tc>
          <w:tcPr/>
          <w:p>
            <w:pPr>
              <w:pStyle w:val="Compact"/>
              <w:jc w:val="left"/>
            </w:pPr>
            <w:r>
              <w:t xml:space="preserve">R:R &lt; 1.5</w:t>
            </w:r>
          </w:p>
        </w:tc>
        <w:tc>
          <w:tcPr/>
          <w:p>
            <w:pPr>
              <w:pStyle w:val="Compact"/>
              <w:jc w:val="left"/>
            </w:pPr>
            <w:r>
              <w:t xml:space="preserve">Any pick in this band</w:t>
            </w:r>
          </w:p>
        </w:tc>
        <w:tc>
          <w:tcPr/>
          <w:p>
            <w:pPr>
              <w:pStyle w:val="Compact"/>
              <w:jc w:val="left"/>
            </w:pPr>
            <w:r>
              <w:t xml:space="preserve">PF ~0.8, Kelly negative; insufficient reward</w:t>
            </w:r>
            <w:r>
              <w:t xml:space="preserve"> </w:t>
            </w:r>
            <w:r>
              <w:rPr>
                <w:vertAlign w:val="superscript"/>
              </w:rPr>
              <w:t xml:space="preserve">81</w:t>
            </w:r>
          </w:p>
        </w:tc>
      </w:tr>
      <w:tr>
        <w:tc>
          <w:tcPr/>
          <w:p>
            <w:pPr>
              <w:pStyle w:val="Compact"/>
              <w:jc w:val="left"/>
            </w:pPr>
            <w:r>
              <w:t xml:space="preserve">6</w:t>
            </w:r>
          </w:p>
        </w:tc>
        <w:tc>
          <w:tcPr/>
          <w:p>
            <w:pPr>
              <w:pStyle w:val="Compact"/>
              <w:jc w:val="left"/>
            </w:pPr>
            <w:r>
              <w:t xml:space="preserve">R:R &gt; 2.0</w:t>
            </w:r>
          </w:p>
        </w:tc>
        <w:tc>
          <w:tcPr/>
          <w:p>
            <w:pPr>
              <w:pStyle w:val="Compact"/>
              <w:jc w:val="left"/>
            </w:pPr>
            <w:r>
              <w:t xml:space="preserve">Any pick in this band</w:t>
            </w:r>
          </w:p>
        </w:tc>
        <w:tc>
          <w:tcPr/>
          <w:p>
            <w:pPr>
              <w:pStyle w:val="Compact"/>
              <w:jc w:val="left"/>
            </w:pPr>
            <w:r>
              <w:t xml:space="preserve">PF ~0.6, Kelly -102%; unrealistic targets</w:t>
            </w:r>
            <w:r>
              <w:t xml:space="preserve"> </w:t>
            </w:r>
            <w:r>
              <w:rPr>
                <w:vertAlign w:val="superscript"/>
              </w:rPr>
              <w:t xml:space="preserve">81</w:t>
            </w:r>
          </w:p>
        </w:tc>
      </w:tr>
      <w:tr>
        <w:tc>
          <w:tcPr/>
          <w:p>
            <w:pPr>
              <w:pStyle w:val="Compact"/>
              <w:jc w:val="left"/>
            </w:pPr>
            <w:r>
              <w:t xml:space="preserve">7</w:t>
            </w:r>
          </w:p>
        </w:tc>
        <w:tc>
          <w:tcPr/>
          <w:p>
            <w:pPr>
              <w:pStyle w:val="Compact"/>
              <w:jc w:val="left"/>
            </w:pPr>
            <w:r>
              <w:t xml:space="preserve">ml_score &lt; 0.90</w:t>
            </w:r>
          </w:p>
        </w:tc>
        <w:tc>
          <w:tcPr/>
          <w:p>
            <w:pPr>
              <w:pStyle w:val="Compact"/>
              <w:jc w:val="left"/>
            </w:pPr>
            <w:r>
              <w:t xml:space="preserve">Any pick below this threshold</w:t>
            </w:r>
          </w:p>
        </w:tc>
        <w:tc>
          <w:tcPr/>
          <w:p>
            <w:pPr>
              <w:pStyle w:val="Compact"/>
              <w:jc w:val="left"/>
            </w:pPr>
            <w:r>
              <w:t xml:space="preserve">39.3% accuracy at 0.8-0.9 (worse than coin flip)</w:t>
            </w:r>
          </w:p>
        </w:tc>
      </w:tr>
      <w:tr>
        <w:tc>
          <w:tcPr/>
          <w:p>
            <w:pPr>
              <w:pStyle w:val="Compact"/>
              <w:jc w:val="left"/>
            </w:pPr>
            <w:r>
              <w:t xml:space="preserve">8</w:t>
            </w:r>
          </w:p>
        </w:tc>
        <w:tc>
          <w:tcPr/>
          <w:p>
            <w:pPr>
              <w:pStyle w:val="Compact"/>
              <w:jc w:val="left"/>
            </w:pPr>
            <w:r>
              <w:t xml:space="preserve">S-Tier Crypto at scale</w:t>
            </w:r>
          </w:p>
        </w:tc>
        <w:tc>
          <w:tcPr/>
          <w:p>
            <w:pPr>
              <w:pStyle w:val="Compact"/>
              <w:jc w:val="left"/>
            </w:pPr>
            <w:r>
              <w:t xml:space="preserve">Any S-Tier pick with &gt;5% allocation</w:t>
            </w:r>
          </w:p>
        </w:tc>
        <w:tc>
          <w:tcPr/>
          <w:p>
            <w:pPr>
              <w:pStyle w:val="Compact"/>
              <w:jc w:val="left"/>
            </w:pPr>
            <w:r>
              <w:t xml:space="preserve">n=14-27; survivorship filter, not strategy</w:t>
            </w:r>
            <w:r>
              <w:t xml:space="preserve"> </w:t>
            </w:r>
            <w:r>
              <w:rPr>
                <w:vertAlign w:val="superscript"/>
              </w:rPr>
              <w:t xml:space="preserve">81</w:t>
            </w:r>
          </w:p>
        </w:tc>
      </w:tr>
    </w:tbl>
    <w:p>
      <w:pPr>
        <w:pStyle w:val="BodyText"/>
      </w:pPr>
      <w:r>
        <w:t xml:space="preserve">There are no exceptions. A commodity pick with ml_score 0.95 and a beautiful chart is still a commodity pick — 1.04 profit factor, 21% win rate across 500+ historical picks. Discipline means saying no to good-looking bad bets.</w:t>
      </w:r>
    </w:p>
    <w:bookmarkEnd w:id="90"/>
    <w:bookmarkStart w:id="91" w:name="expected-returns-by-discipline-level"/>
    <w:p>
      <w:pPr>
        <w:pStyle w:val="Heading3"/>
      </w:pPr>
      <w:r>
        <w:t xml:space="preserve">10.3 Expected Returns by Discipline Level</w:t>
      </w:r>
    </w:p>
    <w:p>
      <w:pPr>
        <w:pStyle w:val="FirstParagraph"/>
      </w:pPr>
      <w:r>
        <w:t xml:space="preserve">The platform’s edge behaves like card counting — a slight statistical advantage compounding over time. Human behavior, not the platform’s metrics, is the primary determinant of outcomes.</w:t>
      </w:r>
    </w:p>
    <w:p>
      <w:pPr>
        <w:pStyle w:val="BodyText"/>
      </w:pPr>
      <w:r>
        <w:rPr>
          <w:bCs/>
          <w:b/>
        </w:rPr>
        <w:t xml:space="preserve">Table 10.3 — Expected Returns by Discipline Level</w:t>
      </w:r>
    </w:p>
    <w:tbl>
      <w:tblPr>
        <w:tblStyle w:val="Table"/>
        <w:tblW w:type="pct" w:w="5000"/>
        <w:tblLook w:firstRow="1" w:lastRow="0" w:firstColumn="0" w:lastColumn="0" w:noHBand="0" w:noVBand="0" w:val="0020"/>
      </w:tblPr>
      <w:tblGrid>
        <w:gridCol w:w="1496"/>
        <w:gridCol w:w="1496"/>
        <w:gridCol w:w="1936"/>
        <w:gridCol w:w="1144"/>
        <w:gridCol w:w="1848"/>
      </w:tblGrid>
      <w:tr>
        <w:trPr>
          <w:tblHeader w:val="true"/>
        </w:trPr>
        <w:tc>
          <w:tcPr/>
          <w:p>
            <w:pPr>
              <w:pStyle w:val="Compact"/>
              <w:jc w:val="left"/>
            </w:pPr>
            <w:r>
              <w:t xml:space="preserve">Discipline Level</w:t>
            </w:r>
          </w:p>
        </w:tc>
        <w:tc>
          <w:tcPr/>
          <w:p>
            <w:pPr>
              <w:pStyle w:val="Compact"/>
              <w:jc w:val="left"/>
            </w:pPr>
            <w:r>
              <w:t xml:space="preserve">Filter Adherence</w:t>
            </w:r>
          </w:p>
        </w:tc>
        <w:tc>
          <w:tcPr/>
          <w:p>
            <w:pPr>
              <w:pStyle w:val="Compact"/>
              <w:jc w:val="left"/>
            </w:pPr>
            <w:r>
              <w:t xml:space="preserve">Annual Return Estimate</w:t>
            </w:r>
          </w:p>
        </w:tc>
        <w:tc>
          <w:tcPr/>
          <w:p>
            <w:pPr>
              <w:pStyle w:val="Compact"/>
              <w:jc w:val="left"/>
            </w:pPr>
            <w:r>
              <w:t xml:space="preserve">Max Drawdown</w:t>
            </w:r>
          </w:p>
        </w:tc>
        <w:tc>
          <w:tcPr/>
          <w:p>
            <w:pPr>
              <w:pStyle w:val="Compact"/>
              <w:jc w:val="left"/>
            </w:pPr>
            <w:r>
              <w:t xml:space="preserve">Probability of Profit</w:t>
            </w:r>
          </w:p>
        </w:tc>
      </w:tr>
      <w:tr>
        <w:tc>
          <w:tcPr/>
          <w:p>
            <w:pPr>
              <w:pStyle w:val="Compact"/>
              <w:jc w:val="left"/>
            </w:pPr>
            <w:r>
              <w:rPr>
                <w:bCs/>
                <w:b/>
              </w:rPr>
              <w:t xml:space="preserve">Disciplined</w:t>
            </w:r>
          </w:p>
        </w:tc>
        <w:tc>
          <w:tcPr/>
          <w:p>
            <w:pPr>
              <w:pStyle w:val="Compact"/>
              <w:jc w:val="left"/>
            </w:pPr>
            <w:r>
              <w:t xml:space="preserve">Equity only, all filters, Quarter-Kelly sizing</w:t>
            </w:r>
          </w:p>
        </w:tc>
        <w:tc>
          <w:tcPr/>
          <w:p>
            <w:pPr>
              <w:pStyle w:val="Compact"/>
              <w:jc w:val="left"/>
            </w:pPr>
            <w:r>
              <w:rPr>
                <w:bCs/>
                <w:b/>
              </w:rPr>
              <w:t xml:space="preserve">15-25%</w:t>
            </w:r>
          </w:p>
        </w:tc>
        <w:tc>
          <w:tcPr/>
          <w:p>
            <w:pPr>
              <w:pStyle w:val="Compact"/>
              <w:jc w:val="left"/>
            </w:pPr>
            <w:r>
              <w:t xml:space="preserve">8-12%</w:t>
            </w:r>
          </w:p>
        </w:tc>
        <w:tc>
          <w:tcPr/>
          <w:p>
            <w:pPr>
              <w:pStyle w:val="Compact"/>
              <w:jc w:val="left"/>
            </w:pPr>
            <w:r>
              <w:t xml:space="preserve">~70%</w:t>
            </w:r>
          </w:p>
        </w:tc>
      </w:tr>
      <w:tr>
        <w:tc>
          <w:tcPr/>
          <w:p>
            <w:pPr>
              <w:pStyle w:val="Compact"/>
              <w:jc w:val="left"/>
            </w:pPr>
            <w:r>
              <w:rPr>
                <w:bCs/>
                <w:b/>
              </w:rPr>
              <w:t xml:space="preserve">Moderate</w:t>
            </w:r>
          </w:p>
        </w:tc>
        <w:tc>
          <w:tcPr/>
          <w:p>
            <w:pPr>
              <w:pStyle w:val="Compact"/>
              <w:jc w:val="left"/>
            </w:pPr>
            <w:r>
              <w:t xml:space="preserve">Equity + Crypto B-Tier + ETF, strict filters</w:t>
            </w:r>
          </w:p>
        </w:tc>
        <w:tc>
          <w:tcPr/>
          <w:p>
            <w:pPr>
              <w:pStyle w:val="Compact"/>
              <w:jc w:val="left"/>
            </w:pPr>
            <w:r>
              <w:rPr>
                <w:bCs/>
                <w:b/>
              </w:rPr>
              <w:t xml:space="preserve">12-20%</w:t>
            </w:r>
          </w:p>
        </w:tc>
        <w:tc>
          <w:tcPr/>
          <w:p>
            <w:pPr>
              <w:pStyle w:val="Compact"/>
              <w:jc w:val="left"/>
            </w:pPr>
            <w:r>
              <w:t xml:space="preserve">12-18%</w:t>
            </w:r>
          </w:p>
        </w:tc>
        <w:tc>
          <w:tcPr/>
          <w:p>
            <w:pPr>
              <w:pStyle w:val="Compact"/>
              <w:jc w:val="left"/>
            </w:pPr>
            <w:r>
              <w:t xml:space="preserve">~60%</w:t>
            </w:r>
          </w:p>
        </w:tc>
      </w:tr>
      <w:tr>
        <w:tc>
          <w:tcPr/>
          <w:p>
            <w:pPr>
              <w:pStyle w:val="Compact"/>
              <w:jc w:val="left"/>
            </w:pPr>
            <w:r>
              <w:rPr>
                <w:bCs/>
                <w:b/>
              </w:rPr>
              <w:t xml:space="preserve">Casual</w:t>
            </w:r>
          </w:p>
        </w:tc>
        <w:tc>
          <w:tcPr/>
          <w:p>
            <w:pPr>
              <w:pStyle w:val="Compact"/>
              <w:jc w:val="left"/>
            </w:pPr>
            <w:r>
              <w:t xml:space="preserve">Mix of SAFE + CAUTION assets, loose filters</w:t>
            </w:r>
          </w:p>
        </w:tc>
        <w:tc>
          <w:tcPr/>
          <w:p>
            <w:pPr>
              <w:pStyle w:val="Compact"/>
              <w:jc w:val="left"/>
            </w:pPr>
            <w:r>
              <w:rPr>
                <w:bCs/>
                <w:b/>
              </w:rPr>
              <w:t xml:space="preserve">5-10%</w:t>
            </w:r>
          </w:p>
        </w:tc>
        <w:tc>
          <w:tcPr/>
          <w:p>
            <w:pPr>
              <w:pStyle w:val="Compact"/>
              <w:jc w:val="left"/>
            </w:pPr>
            <w:r>
              <w:t xml:space="preserve">15-25%</w:t>
            </w:r>
          </w:p>
        </w:tc>
        <w:tc>
          <w:tcPr/>
          <w:p>
            <w:pPr>
              <w:pStyle w:val="Compact"/>
              <w:jc w:val="left"/>
            </w:pPr>
            <w:r>
              <w:t xml:space="preserve">~50%</w:t>
            </w:r>
          </w:p>
        </w:tc>
      </w:tr>
      <w:tr>
        <w:tc>
          <w:tcPr/>
          <w:p>
            <w:pPr>
              <w:pStyle w:val="Compact"/>
              <w:jc w:val="left"/>
            </w:pPr>
            <w:r>
              <w:rPr>
                <w:bCs/>
                <w:b/>
              </w:rPr>
              <w:t xml:space="preserve">YOLO</w:t>
            </w:r>
          </w:p>
        </w:tc>
        <w:tc>
          <w:tcPr/>
          <w:p>
            <w:pPr>
              <w:pStyle w:val="Compact"/>
              <w:jc w:val="left"/>
            </w:pPr>
            <w:r>
              <w:t xml:space="preserve">All assets including DANGEROUS, no filters</w:t>
            </w:r>
          </w:p>
        </w:tc>
        <w:tc>
          <w:tcPr/>
          <w:p>
            <w:pPr>
              <w:pStyle w:val="Compact"/>
              <w:jc w:val="left"/>
            </w:pPr>
            <w:r>
              <w:rPr>
                <w:bCs/>
                <w:b/>
              </w:rPr>
              <w:t xml:space="preserve">-20 to -40%</w:t>
            </w:r>
          </w:p>
        </w:tc>
        <w:tc>
          <w:tcPr/>
          <w:p>
            <w:pPr>
              <w:pStyle w:val="Compact"/>
              <w:jc w:val="left"/>
            </w:pPr>
            <w:r>
              <w:t xml:space="preserve">40-60%</w:t>
            </w:r>
          </w:p>
        </w:tc>
        <w:tc>
          <w:tcPr/>
          <w:p>
            <w:pPr>
              <w:pStyle w:val="Compact"/>
              <w:jc w:val="left"/>
            </w:pPr>
            <w:r>
              <w:t xml:space="preserve">~20%</w:t>
            </w:r>
          </w:p>
        </w:tc>
      </w:tr>
    </w:tbl>
    <w:p>
      <w:pPr>
        <w:pStyle w:val="BodyText"/>
      </w:pPr>
      <w:r>
        <w:t xml:space="preserve">Signal alpha decay further constrains timing. The</w:t>
      </w:r>
      <w:r>
        <w:t xml:space="preserve"> </w:t>
      </w:r>
      <w:r>
        <w:rPr>
          <w:bCs/>
          <w:b/>
        </w:rPr>
        <w:t xml:space="preserve">0-48 hour window</w:t>
      </w:r>
      <w:r>
        <w:t xml:space="preserve"> </w:t>
      </w:r>
      <w:r>
        <w:t xml:space="preserve">after signal generation represents peak strength. Between 48-120 hours, the signal is viable but degraded. After 120 hours, the edge approaches random. Entry within 48 hours is the largest controllable factor after asset class selection. A disciplined investor entering at hour 6 in the optimal R:R band has a materially different expected outcome than the same investor entering the same pick at hour 96.</w:t>
      </w:r>
    </w:p>
    <w:bookmarkEnd w:id="91"/>
    <w:bookmarkStart w:id="92" w:name="practical-capital-guide"/>
    <w:p>
      <w:pPr>
        <w:pStyle w:val="Heading3"/>
      </w:pPr>
      <w:r>
        <w:t xml:space="preserve">10.4 Practical Capital Guide</w:t>
      </w:r>
    </w:p>
    <w:p>
      <w:pPr>
        <w:pStyle w:val="FirstParagraph"/>
      </w:pPr>
      <w:r>
        <w:t xml:space="preserve">The practical minimum is</w:t>
      </w:r>
      <w:r>
        <w:t xml:space="preserve"> </w:t>
      </w:r>
      <w:r>
        <w:rPr>
          <w:bCs/>
          <w:b/>
        </w:rPr>
        <w:t xml:space="preserve">$5,000</w:t>
      </w:r>
      <w:r>
        <w:t xml:space="preserve">. Below this threshold, transaction costs consume disproportionate edge, and the 5% minimum position size becomes impractical. With $5,000, a user can maintain 3-4 equity positions at ~$250 each, providing enough diversification to survive learning-curve losses. The ideal starting capital is</w:t>
      </w:r>
      <w:r>
        <w:t xml:space="preserve"> </w:t>
      </w:r>
      <w:r>
        <w:rPr>
          <w:bCs/>
          <w:b/>
        </w:rPr>
        <w:t xml:space="preserve">$25,000+</w:t>
      </w:r>
      <w:r>
        <w:t xml:space="preserve">, enabling full Quarter-Kelly sizing across 4-6 positions with adequate cash reserves.</w:t>
      </w:r>
    </w:p>
    <w:p>
      <w:pPr>
        <w:pStyle w:val="BodyText"/>
      </w:pPr>
      <w:r>
        <w:rPr>
          <w:bCs/>
          <w:b/>
        </w:rPr>
        <w:t xml:space="preserve">Table 10.4 — Position Sizing by Capital Level</w:t>
      </w:r>
    </w:p>
    <w:tbl>
      <w:tblPr>
        <w:tblStyle w:val="Table"/>
        <w:tblW w:type="pct" w:w="5000"/>
        <w:tblLook w:firstRow="1" w:lastRow="0" w:firstColumn="0" w:lastColumn="0" w:noHBand="0" w:noVBand="0" w:val="0020"/>
      </w:tblPr>
      <w:tblGrid>
        <w:gridCol w:w="1087"/>
        <w:gridCol w:w="2096"/>
        <w:gridCol w:w="1630"/>
        <w:gridCol w:w="2096"/>
        <w:gridCol w:w="1009"/>
      </w:tblGrid>
      <w:tr>
        <w:trPr>
          <w:tblHeader w:val="true"/>
        </w:trPr>
        <w:tc>
          <w:tcPr/>
          <w:p>
            <w:pPr>
              <w:pStyle w:val="Compact"/>
              <w:jc w:val="left"/>
            </w:pPr>
            <w:r>
              <w:t xml:space="preserve">Capital Level</w:t>
            </w:r>
          </w:p>
        </w:tc>
        <w:tc>
          <w:tcPr/>
          <w:p>
            <w:pPr>
              <w:pStyle w:val="Compact"/>
              <w:jc w:val="left"/>
            </w:pPr>
            <w:r>
              <w:t xml:space="preserve">Equity Position Size (each)</w:t>
            </w:r>
          </w:p>
        </w:tc>
        <w:tc>
          <w:tcPr/>
          <w:p>
            <w:pPr>
              <w:pStyle w:val="Compact"/>
              <w:jc w:val="left"/>
            </w:pPr>
            <w:r>
              <w:t xml:space="preserve">Crypto B-Tier (each)</w:t>
            </w:r>
          </w:p>
        </w:tc>
        <w:tc>
          <w:tcPr/>
          <w:p>
            <w:pPr>
              <w:pStyle w:val="Compact"/>
              <w:jc w:val="left"/>
            </w:pPr>
            <w:r>
              <w:t xml:space="preserve">Max Simultaneous Positions</w:t>
            </w:r>
          </w:p>
        </w:tc>
        <w:tc>
          <w:tcPr/>
          <w:p>
            <w:pPr>
              <w:pStyle w:val="Compact"/>
              <w:jc w:val="left"/>
            </w:pPr>
            <w:r>
              <w:t xml:space="preserve">Cash Reserve</w:t>
            </w:r>
          </w:p>
        </w:tc>
      </w:tr>
      <w:tr>
        <w:tc>
          <w:tcPr/>
          <w:p>
            <w:pPr>
              <w:pStyle w:val="Compact"/>
              <w:jc w:val="left"/>
            </w:pPr>
            <w:r>
              <w:t xml:space="preserve">$5,000 (minimum)</w:t>
            </w:r>
          </w:p>
        </w:tc>
        <w:tc>
          <w:tcPr/>
          <w:p>
            <w:pPr>
              <w:pStyle w:val="Compact"/>
              <w:jc w:val="left"/>
            </w:pPr>
            <w:r>
              <w:t xml:space="preserve">$250-500 (5-10%)</w:t>
            </w:r>
          </w:p>
        </w:tc>
        <w:tc>
          <w:tcPr/>
          <w:p>
            <w:pPr>
              <w:pStyle w:val="Compact"/>
              <w:jc w:val="left"/>
            </w:pPr>
            <w:r>
              <w:t xml:space="preserve">$125-250 (2.5-5%)</w:t>
            </w:r>
          </w:p>
        </w:tc>
        <w:tc>
          <w:tcPr/>
          <w:p>
            <w:pPr>
              <w:pStyle w:val="Compact"/>
              <w:jc w:val="left"/>
            </w:pPr>
            <w:r>
              <w:t xml:space="preserve">3-4</w:t>
            </w:r>
          </w:p>
        </w:tc>
        <w:tc>
          <w:tcPr/>
          <w:p>
            <w:pPr>
              <w:pStyle w:val="Compact"/>
              <w:jc w:val="left"/>
            </w:pPr>
            <w:r>
              <w:t xml:space="preserve">$1,000 (20%)</w:t>
            </w:r>
          </w:p>
        </w:tc>
      </w:tr>
      <w:tr>
        <w:tc>
          <w:tcPr/>
          <w:p>
            <w:pPr>
              <w:pStyle w:val="Compact"/>
              <w:jc w:val="left"/>
            </w:pPr>
            <w:r>
              <w:t xml:space="preserve">$10,000</w:t>
            </w:r>
          </w:p>
        </w:tc>
        <w:tc>
          <w:tcPr/>
          <w:p>
            <w:pPr>
              <w:pStyle w:val="Compact"/>
              <w:jc w:val="left"/>
            </w:pPr>
            <w:r>
              <w:t xml:space="preserve">$500-1,000 (5-10%)</w:t>
            </w:r>
          </w:p>
        </w:tc>
        <w:tc>
          <w:tcPr/>
          <w:p>
            <w:pPr>
              <w:pStyle w:val="Compact"/>
              <w:jc w:val="left"/>
            </w:pPr>
            <w:r>
              <w:t xml:space="preserve">$250-500 (2.5-5%)</w:t>
            </w:r>
          </w:p>
        </w:tc>
        <w:tc>
          <w:tcPr/>
          <w:p>
            <w:pPr>
              <w:pStyle w:val="Compact"/>
              <w:jc w:val="left"/>
            </w:pPr>
            <w:r>
              <w:t xml:space="preserve">4-5</w:t>
            </w:r>
          </w:p>
        </w:tc>
        <w:tc>
          <w:tcPr/>
          <w:p>
            <w:pPr>
              <w:pStyle w:val="Compact"/>
              <w:jc w:val="left"/>
            </w:pPr>
            <w:r>
              <w:t xml:space="preserve">$2,000 (20%)</w:t>
            </w:r>
          </w:p>
        </w:tc>
      </w:tr>
      <w:tr>
        <w:tc>
          <w:tcPr/>
          <w:p>
            <w:pPr>
              <w:pStyle w:val="Compact"/>
              <w:jc w:val="left"/>
            </w:pPr>
            <w:r>
              <w:t xml:space="preserve">$25,000</w:t>
            </w:r>
          </w:p>
        </w:tc>
        <w:tc>
          <w:tcPr/>
          <w:p>
            <w:pPr>
              <w:pStyle w:val="Compact"/>
              <w:jc w:val="left"/>
            </w:pPr>
            <w:r>
              <w:t xml:space="preserve">$1,250-2,500 (5-10%)</w:t>
            </w:r>
          </w:p>
        </w:tc>
        <w:tc>
          <w:tcPr/>
          <w:p>
            <w:pPr>
              <w:pStyle w:val="Compact"/>
              <w:jc w:val="left"/>
            </w:pPr>
            <w:r>
              <w:t xml:space="preserve">$625-1,250 (2.5-5%)</w:t>
            </w:r>
          </w:p>
        </w:tc>
        <w:tc>
          <w:tcPr/>
          <w:p>
            <w:pPr>
              <w:pStyle w:val="Compact"/>
              <w:jc w:val="left"/>
            </w:pPr>
            <w:r>
              <w:t xml:space="preserve">5-6</w:t>
            </w:r>
          </w:p>
        </w:tc>
        <w:tc>
          <w:tcPr/>
          <w:p>
            <w:pPr>
              <w:pStyle w:val="Compact"/>
              <w:jc w:val="left"/>
            </w:pPr>
            <w:r>
              <w:t xml:space="preserve">$5,000 (20%)</w:t>
            </w:r>
          </w:p>
        </w:tc>
      </w:tr>
      <w:tr>
        <w:tc>
          <w:tcPr/>
          <w:p>
            <w:pPr>
              <w:pStyle w:val="Compact"/>
              <w:jc w:val="left"/>
            </w:pPr>
            <w:r>
              <w:t xml:space="preserve">$50,000</w:t>
            </w:r>
          </w:p>
        </w:tc>
        <w:tc>
          <w:tcPr/>
          <w:p>
            <w:pPr>
              <w:pStyle w:val="Compact"/>
              <w:jc w:val="left"/>
            </w:pPr>
            <w:r>
              <w:t xml:space="preserve">$2,500-5,000 (5-10%)</w:t>
            </w:r>
          </w:p>
        </w:tc>
        <w:tc>
          <w:tcPr/>
          <w:p>
            <w:pPr>
              <w:pStyle w:val="Compact"/>
              <w:jc w:val="left"/>
            </w:pPr>
            <w:r>
              <w:t xml:space="preserve">$1,250-2,500 (2.5-5%)</w:t>
            </w:r>
          </w:p>
        </w:tc>
        <w:tc>
          <w:tcPr/>
          <w:p>
            <w:pPr>
              <w:pStyle w:val="Compact"/>
              <w:jc w:val="left"/>
            </w:pPr>
            <w:r>
              <w:t xml:space="preserve">6-8</w:t>
            </w:r>
          </w:p>
        </w:tc>
        <w:tc>
          <w:tcPr/>
          <w:p>
            <w:pPr>
              <w:pStyle w:val="Compact"/>
              <w:jc w:val="left"/>
            </w:pPr>
            <w:r>
              <w:t xml:space="preserve">$10,000 (20%)</w:t>
            </w:r>
          </w:p>
        </w:tc>
      </w:tr>
    </w:tbl>
    <w:p>
      <w:pPr>
        <w:pStyle w:val="BodyText"/>
      </w:pPr>
      <w:r>
        <w:rPr>
          <w:bCs/>
          <w:b/>
        </w:rPr>
        <w:t xml:space="preserve">Kelly Criterion Worked Example ($10,000 account):</w:t>
      </w:r>
      <w:r>
        <w:t xml:space="preserve"> </w:t>
      </w:r>
      <w:r>
        <w:t xml:space="preserve">For the optimal R:R 1.5-2.0 band (PF 5.81, WR 53%), the Quarter-Kelly calculation is:</w:t>
      </w:r>
    </w:p>
    <w:p>
      <w:pPr>
        <w:pStyle w:val="BodyText"/>
      </w:pPr>
      <m:oMathPara>
        <m:oMathParaPr>
          <m:jc m:val="center"/>
        </m:oMathParaPr>
        <m:oMath>
          <m:sSup>
            <m:e>
              <m:r>
                <m:t>f</m:t>
              </m:r>
            </m:e>
            <m:sup>
              <m:r>
                <m:rPr>
                  <m:sty m:val="p"/>
                </m:rPr>
                <m:t>*</m:t>
              </m:r>
            </m:sup>
          </m:sSup>
          <m:r>
            <m:rPr>
              <m:sty m:val="p"/>
            </m:rPr>
            <m:t>=</m:t>
          </m:r>
          <m:f>
            <m:fPr>
              <m:type m:val="bar"/>
            </m:fPr>
            <m:num>
              <m:r>
                <m:t>p</m:t>
              </m:r>
              <m:r>
                <m:rPr>
                  <m:sty m:val="p"/>
                </m:rPr>
                <m:t>⋅</m:t>
              </m:r>
              <m:r>
                <m:t>b</m:t>
              </m:r>
              <m:r>
                <m:rPr>
                  <m:sty m:val="p"/>
                </m:rPr>
                <m:t>−</m:t>
              </m:r>
              <m:r>
                <m:t>q</m:t>
              </m:r>
            </m:num>
            <m:den>
              <m:r>
                <m:t>b</m:t>
              </m:r>
            </m:den>
          </m:f>
          <m:r>
            <m:rPr>
              <m:sty m:val="p"/>
            </m:rPr>
            <m:t>=</m:t>
          </m:r>
          <m:f>
            <m:fPr>
              <m:type m:val="bar"/>
            </m:fPr>
            <m:num>
              <m:r>
                <m:t>0.53</m:t>
              </m:r>
              <m:r>
                <m:rPr>
                  <m:sty m:val="p"/>
                </m:rPr>
                <m:t>⋅</m:t>
              </m:r>
              <m:r>
                <m:t>1.72</m:t>
              </m:r>
              <m:r>
                <m:rPr>
                  <m:sty m:val="p"/>
                </m:rPr>
                <m:t>−</m:t>
              </m:r>
              <m:r>
                <m:t>0.47</m:t>
              </m:r>
            </m:num>
            <m:den>
              <m:r>
                <m:t>1.72</m:t>
              </m:r>
            </m:den>
          </m:f>
          <m:r>
            <m:rPr>
              <m:sty m:val="p"/>
            </m:rPr>
            <m:t>≈</m:t>
          </m:r>
          <m:r>
            <m:t>0.472</m:t>
          </m:r>
          <m:r>
            <m:rPr>
              <m:nor/>
              <m:sty m:val="p"/>
            </m:rPr>
            <m:t> (Full Kelly)</m:t>
          </m:r>
        </m:oMath>
      </m:oMathPara>
    </w:p>
    <w:p>
      <w:pPr>
        <w:pStyle w:val="FirstParagraph"/>
      </w:pPr>
      <w:r>
        <w:t xml:space="preserve">Quarter-Kelly =</w:t>
      </w:r>
      <w:r>
        <w:t xml:space="preserve"> </w:t>
      </w:r>
      <m:oMath>
        <m:r>
          <m:t>47.2</m:t>
        </m:r>
        <m:r>
          <m:rPr>
            <m:sty m:val="p"/>
          </m:rPr>
          <m:t>%</m:t>
        </m:r>
        <m:r>
          <m:rPr>
            <m:sty m:val="p"/>
          </m:rPr>
          <m:t>÷</m:t>
        </m:r>
        <m:r>
          <m:t>4</m:t>
        </m:r>
        <m:r>
          <m:rPr>
            <m:sty m:val="p"/>
          </m:rPr>
          <m:t>=</m:t>
        </m:r>
        <m:r>
          <m:t>11.8</m:t>
        </m:r>
        <m:r>
          <m:rPr>
            <m:sty m:val="p"/>
          </m:rPr>
          <m:t>%</m:t>
        </m:r>
      </m:oMath>
      <w:r>
        <w:t xml:space="preserve">. For a $10,000 account, maximum position size per equity pick is</w:t>
      </w:r>
      <w:r>
        <w:t xml:space="preserve"> </w:t>
      </w:r>
      <w:r>
        <w:rPr>
          <w:bCs/>
          <w:b/>
        </w:rPr>
        <w:t xml:space="preserve">$1,180</w:t>
      </w:r>
      <w:r>
        <w:t xml:space="preserve">. The practical size is reduced to $1,000 (10%) to maintain the mandatory 20% cash reserve and accommodate multiple simultaneous positions.</w:t>
      </w:r>
    </w:p>
    <w:bookmarkEnd w:id="92"/>
    <w:bookmarkStart w:id="93" w:name="the-worthy-of-investing-final-list"/>
    <w:p>
      <w:pPr>
        <w:pStyle w:val="Heading3"/>
      </w:pPr>
      <w:r>
        <w:t xml:space="preserve">10.5 The</w:t>
      </w:r>
      <w:r>
        <w:t xml:space="preserve"> </w:t>
      </w:r>
      <w:r>
        <w:t xml:space="preserve">“</w:t>
      </w:r>
      <w:r>
        <w:t xml:space="preserve">Worthy of Investing</w:t>
      </w:r>
      <w:r>
        <w:t xml:space="preserve">”</w:t>
      </w:r>
      <w:r>
        <w:t xml:space="preserve"> </w:t>
      </w:r>
      <w:r>
        <w:t xml:space="preserve">Final List</w:t>
      </w:r>
    </w:p>
    <w:p>
      <w:pPr>
        <w:pStyle w:val="FirstParagraph"/>
      </w:pPr>
      <w:r>
        <w:t xml:space="preserve">The following classifications represent the definitive judgment from the complete 12-dimension quantitative audit.</w:t>
      </w:r>
    </w:p>
    <w:p>
      <w:pPr>
        <w:pStyle w:val="BodyText"/>
      </w:pPr>
      <w:r>
        <w:rPr>
          <w:bCs/>
          <w:b/>
        </w:rPr>
        <w:t xml:space="preserve">Table 10.5 — Items Meeting All Criteria (Worthy of Real Capital)</w:t>
      </w:r>
    </w:p>
    <w:tbl>
      <w:tblPr>
        <w:tblStyle w:val="Table"/>
        <w:tblW w:type="pct" w:w="5000"/>
        <w:tblLook w:firstRow="1" w:lastRow="0" w:firstColumn="0" w:lastColumn="0" w:noHBand="0" w:noVBand="0" w:val="0020"/>
      </w:tblPr>
      <w:tblGrid>
        <w:gridCol w:w="969"/>
        <w:gridCol w:w="3394"/>
        <w:gridCol w:w="2424"/>
        <w:gridCol w:w="1131"/>
      </w:tblGrid>
      <w:tr>
        <w:trPr>
          <w:tblHeader w:val="true"/>
        </w:trPr>
        <w:tc>
          <w:tcPr/>
          <w:p>
            <w:pPr>
              <w:pStyle w:val="Compact"/>
              <w:jc w:val="left"/>
            </w:pPr>
            <w:r>
              <w:t xml:space="preserve">Item</w:t>
            </w:r>
          </w:p>
        </w:tc>
        <w:tc>
          <w:tcPr/>
          <w:p>
            <w:pPr>
              <w:pStyle w:val="Compact"/>
              <w:jc w:val="left"/>
            </w:pPr>
            <w:r>
              <w:t xml:space="preserve">Filter Configuration</w:t>
            </w:r>
          </w:p>
        </w:tc>
        <w:tc>
          <w:tcPr/>
          <w:p>
            <w:pPr>
              <w:pStyle w:val="Compact"/>
              <w:jc w:val="left"/>
            </w:pPr>
            <w:r>
              <w:t xml:space="preserve">Position Size</w:t>
            </w:r>
          </w:p>
        </w:tc>
        <w:tc>
          <w:tcPr/>
          <w:p>
            <w:pPr>
              <w:pStyle w:val="Compact"/>
              <w:jc w:val="left"/>
            </w:pPr>
            <w:r>
              <w:t xml:space="preserve">Notes</w:t>
            </w:r>
          </w:p>
        </w:tc>
      </w:tr>
      <w:tr>
        <w:tc>
          <w:tcPr/>
          <w:p>
            <w:pPr>
              <w:pStyle w:val="Compact"/>
              <w:jc w:val="left"/>
            </w:pPr>
            <w:r>
              <w:t xml:space="preserve">Equity L50 picks (High Conviction)</w:t>
            </w:r>
          </w:p>
        </w:tc>
        <w:tc>
          <w:tcPr/>
          <w:p>
            <w:pPr>
              <w:pStyle w:val="Compact"/>
              <w:jc w:val="left"/>
            </w:pPr>
            <w:r>
              <w:t xml:space="preserve">Verified Alpha + ml_score &gt;= 0.90 + R:R 1.5-2.0 + tracking &gt;= 120h</w:t>
            </w:r>
          </w:p>
        </w:tc>
        <w:tc>
          <w:tcPr/>
          <w:p>
            <w:pPr>
              <w:pStyle w:val="Compact"/>
              <w:jc w:val="left"/>
            </w:pPr>
            <w:r>
              <w:t xml:space="preserve">Up to 11.8% of portfolio</w:t>
            </w:r>
          </w:p>
        </w:tc>
        <w:tc>
          <w:tcPr/>
          <w:p>
            <w:pPr>
              <w:pStyle w:val="Compact"/>
              <w:jc w:val="left"/>
            </w:pPr>
            <w:r>
              <w:t xml:space="preserve">Crown jewel: PF 1.72, OOS Sharpe 3.527, WR 53%</w:t>
            </w:r>
            <w:r>
              <w:t xml:space="preserve"> </w:t>
            </w:r>
            <w:r>
              <w:rPr>
                <w:vertAlign w:val="superscript"/>
              </w:rPr>
              <w:t xml:space="preserve">81</w:t>
            </w:r>
          </w:p>
        </w:tc>
      </w:tr>
      <w:tr>
        <w:tc>
          <w:tcPr/>
          <w:p>
            <w:pPr>
              <w:pStyle w:val="Compact"/>
              <w:jc w:val="left"/>
            </w:pPr>
            <w:r>
              <w:t xml:space="preserve">Equity Tier-2 strategies (full allocation)</w:t>
            </w:r>
          </w:p>
        </w:tc>
        <w:tc>
          <w:tcPr/>
          <w:p>
            <w:pPr>
              <w:pStyle w:val="Compact"/>
              <w:jc w:val="left"/>
            </w:pPr>
            <w:r>
              <w:t xml:space="preserve">All six gates green + entry within 48h</w:t>
            </w:r>
          </w:p>
        </w:tc>
        <w:tc>
          <w:tcPr/>
          <w:p>
            <w:pPr>
              <w:pStyle w:val="Compact"/>
              <w:jc w:val="left"/>
            </w:pPr>
            <w:r>
              <w:t xml:space="preserve">Up to 10% of portfolio</w:t>
            </w:r>
          </w:p>
        </w:tc>
        <w:tc>
          <w:tcPr/>
          <w:p>
            <w:pPr>
              <w:pStyle w:val="Compact"/>
              <w:jc w:val="left"/>
            </w:pPr>
            <w:r>
              <w:t xml:space="preserve">PF 5.81 in R:R 1.5-2.0 band; highest conviction subset</w:t>
            </w:r>
          </w:p>
        </w:tc>
      </w:tr>
    </w:tbl>
    <w:p>
      <w:pPr>
        <w:pStyle w:val="BodyText"/>
      </w:pPr>
      <w:r>
        <w:rPr>
          <w:bCs/>
          <w:b/>
        </w:rPr>
        <w:t xml:space="preserve">Table 10.6 — Conditional</w:t>
      </w:r>
      <w:r>
        <w:rPr>
          <w:bCs/>
          <w:b/>
        </w:rPr>
        <w:t xml:space="preserve"> </w:t>
      </w:r>
      <w:r>
        <w:rPr>
          <w:bCs/>
          <w:b/>
        </w:rPr>
        <w:t xml:space="preserve">“</w:t>
      </w:r>
      <w:r>
        <w:rPr>
          <w:bCs/>
          <w:b/>
        </w:rPr>
        <w:t xml:space="preserve">Worth the Risk</w:t>
      </w:r>
      <w:r>
        <w:rPr>
          <w:bCs/>
          <w:b/>
        </w:rPr>
        <w:t xml:space="preserve">”</w:t>
      </w:r>
      <w:r>
        <w:rPr>
          <w:bCs/>
          <w:b/>
        </w:rPr>
        <w:t xml:space="preserve"> </w:t>
      </w:r>
      <w:r>
        <w:rPr>
          <w:bCs/>
          <w:b/>
        </w:rPr>
        <w:t xml:space="preserve">Items</w:t>
      </w:r>
    </w:p>
    <w:tbl>
      <w:tblPr>
        <w:tblStyle w:val="Table"/>
        <w:tblW w:type="pct" w:w="5000"/>
        <w:tblLook w:firstRow="1" w:lastRow="0" w:firstColumn="0" w:lastColumn="0" w:noHBand="0" w:noVBand="0" w:val="0020"/>
      </w:tblPr>
      <w:tblGrid>
        <w:gridCol w:w="969"/>
        <w:gridCol w:w="1777"/>
        <w:gridCol w:w="2424"/>
        <w:gridCol w:w="2747"/>
      </w:tblGrid>
      <w:tr>
        <w:trPr>
          <w:tblHeader w:val="true"/>
        </w:trPr>
        <w:tc>
          <w:tcPr/>
          <w:p>
            <w:pPr>
              <w:pStyle w:val="Compact"/>
              <w:jc w:val="left"/>
            </w:pPr>
            <w:r>
              <w:t xml:space="preserve">Item</w:t>
            </w:r>
          </w:p>
        </w:tc>
        <w:tc>
          <w:tcPr/>
          <w:p>
            <w:pPr>
              <w:pStyle w:val="Compact"/>
              <w:jc w:val="left"/>
            </w:pPr>
            <w:r>
              <w:t xml:space="preserve">Conditions</w:t>
            </w:r>
          </w:p>
        </w:tc>
        <w:tc>
          <w:tcPr/>
          <w:p>
            <w:pPr>
              <w:pStyle w:val="Compact"/>
              <w:jc w:val="left"/>
            </w:pPr>
            <w:r>
              <w:t xml:space="preserve">Position Size</w:t>
            </w:r>
          </w:p>
        </w:tc>
        <w:tc>
          <w:tcPr/>
          <w:p>
            <w:pPr>
              <w:pStyle w:val="Compact"/>
              <w:jc w:val="left"/>
            </w:pPr>
            <w:r>
              <w:t xml:space="preserve">Risk Adjustment</w:t>
            </w:r>
          </w:p>
        </w:tc>
      </w:tr>
      <w:tr>
        <w:tc>
          <w:tcPr/>
          <w:p>
            <w:pPr>
              <w:pStyle w:val="Compact"/>
              <w:jc w:val="left"/>
            </w:pPr>
            <w:r>
              <w:t xml:space="preserve">Crypto B-Tier L20</w:t>
            </w:r>
          </w:p>
        </w:tc>
        <w:tc>
          <w:tcPr/>
          <w:p>
            <w:pPr>
              <w:pStyle w:val="Compact"/>
              <w:jc w:val="left"/>
            </w:pPr>
            <w:r>
              <w:t xml:space="preserve">trust_score &gt;= 5 + R:R 1.5-2.0 only</w:t>
            </w:r>
          </w:p>
        </w:tc>
        <w:tc>
          <w:tcPr/>
          <w:p>
            <w:pPr>
              <w:pStyle w:val="Compact"/>
              <w:jc w:val="left"/>
            </w:pPr>
            <w:r>
              <w:t xml:space="preserve">Max 5% of portfolio</w:t>
            </w:r>
          </w:p>
        </w:tc>
        <w:tc>
          <w:tcPr/>
          <w:p>
            <w:pPr>
              <w:pStyle w:val="Compact"/>
              <w:jc w:val="left"/>
            </w:pPr>
            <w:r>
              <w:t xml:space="preserve">Hard cap regardless of conviction; 10-day hard stop</w:t>
            </w:r>
          </w:p>
        </w:tc>
      </w:tr>
      <w:tr>
        <w:tc>
          <w:tcPr/>
          <w:p>
            <w:pPr>
              <w:pStyle w:val="Compact"/>
              <w:jc w:val="left"/>
            </w:pPr>
            <w:r>
              <w:t xml:space="preserve">ETF L20-L50</w:t>
            </w:r>
          </w:p>
        </w:tc>
        <w:tc>
          <w:tcPr/>
          <w:p>
            <w:pPr>
              <w:pStyle w:val="Compact"/>
              <w:jc w:val="left"/>
            </w:pPr>
            <w:r>
              <w:t xml:space="preserve">High Conviction + 10-day stop set manually</w:t>
            </w:r>
          </w:p>
        </w:tc>
        <w:tc>
          <w:tcPr/>
          <w:p>
            <w:pPr>
              <w:pStyle w:val="Compact"/>
              <w:jc w:val="left"/>
            </w:pPr>
            <w:r>
              <w:t xml:space="preserve">Max 5% of portfolio</w:t>
            </w:r>
          </w:p>
        </w:tc>
        <w:tc>
          <w:tcPr/>
          <w:p>
            <w:pPr>
              <w:pStyle w:val="Compact"/>
              <w:jc w:val="left"/>
            </w:pPr>
            <w:r>
              <w:t xml:space="preserve">Time-decay erosion requires active management</w:t>
            </w:r>
          </w:p>
        </w:tc>
      </w:tr>
      <w:tr>
        <w:tc>
          <w:tcPr/>
          <w:p>
            <w:pPr>
              <w:pStyle w:val="Compact"/>
              <w:jc w:val="left"/>
            </w:pPr>
            <w:r>
              <w:t xml:space="preserve">Bond picks (any)</w:t>
            </w:r>
          </w:p>
        </w:tc>
        <w:tc>
          <w:tcPr/>
          <w:p>
            <w:pPr>
              <w:pStyle w:val="Compact"/>
              <w:jc w:val="left"/>
            </w:pPr>
            <w:r>
              <w:t xml:space="preserve">All gates green + awareness of n=18 sample</w:t>
            </w:r>
          </w:p>
        </w:tc>
        <w:tc>
          <w:tcPr/>
          <w:p>
            <w:pPr>
              <w:pStyle w:val="Compact"/>
              <w:jc w:val="left"/>
            </w:pPr>
            <w:r>
              <w:t xml:space="preserve">Max 5% of portfolio</w:t>
            </w:r>
          </w:p>
        </w:tc>
        <w:tc>
          <w:tcPr/>
          <w:p>
            <w:pPr>
              <w:pStyle w:val="Compact"/>
              <w:jc w:val="left"/>
            </w:pPr>
            <w:r>
              <w:t xml:space="preserve">Reduce to 2-3% given small-sample uncertainty</w:t>
            </w:r>
          </w:p>
        </w:tc>
      </w:tr>
    </w:tbl>
    <w:p>
      <w:pPr>
        <w:pStyle w:val="BodyText"/>
      </w:pPr>
      <w:r>
        <w:rPr>
          <w:bCs/>
          <w:b/>
        </w:rPr>
        <w:t xml:space="preserve">Table 10.7 — Explicit DO NOT INVEST List (Comprehensive)</w:t>
      </w:r>
    </w:p>
    <w:tbl>
      <w:tblPr>
        <w:tblStyle w:val="Table"/>
        <w:tblW w:type="pct" w:w="5000"/>
        <w:tblLook w:firstRow="1" w:lastRow="0" w:firstColumn="0" w:lastColumn="0" w:noHBand="0" w:noVBand="0" w:val="0020"/>
      </w:tblPr>
      <w:tblGrid>
        <w:gridCol w:w="660"/>
        <w:gridCol w:w="1320"/>
        <w:gridCol w:w="59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Metric That Disqualifies It</w:t>
            </w:r>
          </w:p>
        </w:tc>
      </w:tr>
      <w:tr>
        <w:tc>
          <w:tcPr/>
          <w:p>
            <w:pPr>
              <w:pStyle w:val="Compact"/>
              <w:jc w:val="left"/>
            </w:pPr>
            <w:r>
              <w:t xml:space="preserve">1</w:t>
            </w:r>
          </w:p>
        </w:tc>
        <w:tc>
          <w:tcPr/>
          <w:p>
            <w:pPr>
              <w:pStyle w:val="Compact"/>
              <w:jc w:val="left"/>
            </w:pPr>
            <w:r>
              <w:t xml:space="preserve">Commodity — any pick</w:t>
            </w:r>
          </w:p>
        </w:tc>
        <w:tc>
          <w:tcPr/>
          <w:p>
            <w:pPr>
              <w:pStyle w:val="Compact"/>
              <w:jc w:val="left"/>
            </w:pPr>
            <w:r>
              <w:t xml:space="preserve">21% WR, PF 1.04, OOS Sharpe -2.412</w:t>
            </w:r>
            <w:r>
              <w:t xml:space="preserve"> </w:t>
            </w:r>
            <w:r>
              <w:rPr>
                <w:vertAlign w:val="superscript"/>
              </w:rPr>
              <w:t xml:space="preserve">81</w:t>
            </w:r>
          </w:p>
        </w:tc>
      </w:tr>
      <w:tr>
        <w:tc>
          <w:tcPr/>
          <w:p>
            <w:pPr>
              <w:pStyle w:val="Compact"/>
              <w:jc w:val="left"/>
            </w:pPr>
            <w:r>
              <w:t xml:space="preserve">2</w:t>
            </w:r>
          </w:p>
        </w:tc>
        <w:tc>
          <w:tcPr/>
          <w:p>
            <w:pPr>
              <w:pStyle w:val="Compact"/>
              <w:jc w:val="left"/>
            </w:pPr>
            <w:r>
              <w:t xml:space="preserve">Forex — any pick (post-bug)</w:t>
            </w:r>
          </w:p>
        </w:tc>
        <w:tc>
          <w:tcPr/>
          <w:p>
            <w:pPr>
              <w:pStyle w:val="Compact"/>
              <w:jc w:val="left"/>
            </w:pPr>
            <w:r>
              <w:t xml:space="preserve">PF 0.27, OOS Sharpe -1.406</w:t>
            </w:r>
            <w:r>
              <w:t xml:space="preserve"> </w:t>
            </w:r>
            <w:r>
              <w:rPr>
                <w:vertAlign w:val="superscript"/>
              </w:rPr>
              <w:t xml:space="preserve">81</w:t>
            </w:r>
          </w:p>
        </w:tc>
      </w:tr>
      <w:tr>
        <w:tc>
          <w:tcPr/>
          <w:p>
            <w:pPr>
              <w:pStyle w:val="Compact"/>
              <w:jc w:val="left"/>
            </w:pPr>
            <w:r>
              <w:t xml:space="preserve">3</w:t>
            </w:r>
          </w:p>
        </w:tc>
        <w:tc>
          <w:tcPr/>
          <w:p>
            <w:pPr>
              <w:pStyle w:val="Compact"/>
              <w:jc w:val="left"/>
            </w:pPr>
            <w:r>
              <w:t xml:space="preserve">Crypto C-Tier</w:t>
            </w:r>
          </w:p>
        </w:tc>
        <w:tc>
          <w:tcPr/>
          <w:p>
            <w:pPr>
              <w:pStyle w:val="Compact"/>
              <w:jc w:val="left"/>
            </w:pPr>
            <w:r>
              <w:t xml:space="preserve">28% WR, PF 0.56; 72% chance of loss</w:t>
            </w:r>
          </w:p>
        </w:tc>
      </w:tr>
      <w:tr>
        <w:tc>
          <w:tcPr/>
          <w:p>
            <w:pPr>
              <w:pStyle w:val="Compact"/>
              <w:jc w:val="left"/>
            </w:pPr>
            <w:r>
              <w:t xml:space="preserve">4</w:t>
            </w:r>
          </w:p>
        </w:tc>
        <w:tc>
          <w:tcPr/>
          <w:p>
            <w:pPr>
              <w:pStyle w:val="Compact"/>
              <w:jc w:val="left"/>
            </w:pPr>
            <w:r>
              <w:t xml:space="preserve">Meme coins (DOGE, SHIB, PEPE)</w:t>
            </w:r>
          </w:p>
        </w:tc>
        <w:tc>
          <w:tcPr/>
          <w:p>
            <w:pPr>
              <w:pStyle w:val="Compact"/>
              <w:jc w:val="left"/>
            </w:pPr>
            <w:r>
              <w:t xml:space="preserve">-12.96% avg PnL despite 65.6% WR</w:t>
            </w:r>
          </w:p>
        </w:tc>
      </w:tr>
      <w:tr>
        <w:tc>
          <w:tcPr/>
          <w:p>
            <w:pPr>
              <w:pStyle w:val="Compact"/>
              <w:jc w:val="left"/>
            </w:pPr>
            <w:r>
              <w:t xml:space="preserve">5</w:t>
            </w:r>
          </w:p>
        </w:tc>
        <w:tc>
          <w:tcPr/>
          <w:p>
            <w:pPr>
              <w:pStyle w:val="Compact"/>
              <w:jc w:val="left"/>
            </w:pPr>
            <w:r>
              <w:t xml:space="preserve">Any pick with R:R &lt; 1.5</w:t>
            </w:r>
          </w:p>
        </w:tc>
        <w:tc>
          <w:tcPr/>
          <w:p>
            <w:pPr>
              <w:pStyle w:val="Compact"/>
              <w:jc w:val="left"/>
            </w:pPr>
            <w:r>
              <w:t xml:space="preserve">PF ~0.8, Kelly negative</w:t>
            </w:r>
          </w:p>
        </w:tc>
      </w:tr>
      <w:tr>
        <w:tc>
          <w:tcPr/>
          <w:p>
            <w:pPr>
              <w:pStyle w:val="Compact"/>
              <w:jc w:val="left"/>
            </w:pPr>
            <w:r>
              <w:t xml:space="preserve">6</w:t>
            </w:r>
          </w:p>
        </w:tc>
        <w:tc>
          <w:tcPr/>
          <w:p>
            <w:pPr>
              <w:pStyle w:val="Compact"/>
              <w:jc w:val="left"/>
            </w:pPr>
            <w:r>
              <w:t xml:space="preserve">Any pick with R:R &gt; 2.0</w:t>
            </w:r>
          </w:p>
        </w:tc>
        <w:tc>
          <w:tcPr/>
          <w:p>
            <w:pPr>
              <w:pStyle w:val="Compact"/>
              <w:jc w:val="left"/>
            </w:pPr>
            <w:r>
              <w:t xml:space="preserve">PF ~0.6, Kelly -102%</w:t>
            </w:r>
          </w:p>
        </w:tc>
      </w:tr>
      <w:tr>
        <w:tc>
          <w:tcPr/>
          <w:p>
            <w:pPr>
              <w:pStyle w:val="Compact"/>
              <w:jc w:val="left"/>
            </w:pPr>
            <w:r>
              <w:t xml:space="preserve">7</w:t>
            </w:r>
          </w:p>
        </w:tc>
        <w:tc>
          <w:tcPr/>
          <w:p>
            <w:pPr>
              <w:pStyle w:val="Compact"/>
              <w:jc w:val="left"/>
            </w:pPr>
            <w:r>
              <w:t xml:space="preserve">Any pick with ml_score &lt; 0.90</w:t>
            </w:r>
          </w:p>
        </w:tc>
        <w:tc>
          <w:tcPr/>
          <w:p>
            <w:pPr>
              <w:pStyle w:val="Compact"/>
              <w:jc w:val="left"/>
            </w:pPr>
            <w:r>
              <w:t xml:space="preserve">39.3% accuracy (worse than random)</w:t>
            </w:r>
          </w:p>
        </w:tc>
      </w:tr>
      <w:tr>
        <w:tc>
          <w:tcPr/>
          <w:p>
            <w:pPr>
              <w:pStyle w:val="Compact"/>
              <w:jc w:val="left"/>
            </w:pPr>
            <w:r>
              <w:t xml:space="preserve">8</w:t>
            </w:r>
          </w:p>
        </w:tc>
        <w:tc>
          <w:tcPr/>
          <w:p>
            <w:pPr>
              <w:pStyle w:val="Compact"/>
              <w:jc w:val="left"/>
            </w:pPr>
            <w:r>
              <w:t xml:space="preserve">S-Tier Crypto at &gt;5% allocation</w:t>
            </w:r>
          </w:p>
        </w:tc>
        <w:tc>
          <w:tcPr/>
          <w:p>
            <w:pPr>
              <w:pStyle w:val="Compact"/>
              <w:jc w:val="left"/>
            </w:pPr>
            <w:r>
              <w:t xml:space="preserve">n=14-27, survivorship filter, not strategy</w:t>
            </w:r>
            <w:r>
              <w:t xml:space="preserve"> </w:t>
            </w:r>
            <w:r>
              <w:rPr>
                <w:vertAlign w:val="superscript"/>
              </w:rPr>
              <w:t xml:space="preserve">81</w:t>
            </w:r>
          </w:p>
        </w:tc>
      </w:tr>
      <w:tr>
        <w:tc>
          <w:tcPr/>
          <w:p>
            <w:pPr>
              <w:pStyle w:val="Compact"/>
              <w:jc w:val="left"/>
            </w:pPr>
            <w:r>
              <w:t xml:space="preserve">9</w:t>
            </w:r>
          </w:p>
        </w:tc>
        <w:tc>
          <w:tcPr/>
          <w:p>
            <w:pPr>
              <w:pStyle w:val="Compact"/>
              <w:jc w:val="left"/>
            </w:pPr>
            <w:r>
              <w:t xml:space="preserve">Any pick with tracking &lt; 120h</w:t>
            </w:r>
          </w:p>
        </w:tc>
        <w:tc>
          <w:tcPr/>
          <w:p>
            <w:pPr>
              <w:pStyle w:val="Compact"/>
              <w:jc w:val="left"/>
            </w:pPr>
            <w:r>
              <w:t xml:space="preserve">72.7% unresolved at 24h; insufficient data</w:t>
            </w:r>
          </w:p>
        </w:tc>
      </w:tr>
      <w:tr>
        <w:tc>
          <w:tcPr/>
          <w:p>
            <w:pPr>
              <w:pStyle w:val="Compact"/>
              <w:jc w:val="left"/>
            </w:pPr>
            <w:r>
              <w:t xml:space="preserve">10</w:t>
            </w:r>
          </w:p>
        </w:tc>
        <w:tc>
          <w:tcPr/>
          <w:p>
            <w:pPr>
              <w:pStyle w:val="Compact"/>
              <w:jc w:val="left"/>
            </w:pPr>
            <w:r>
              <w:t xml:space="preserve">Any pick without stop-loss set</w:t>
            </w:r>
          </w:p>
        </w:tc>
        <w:tc>
          <w:tcPr/>
          <w:p>
            <w:pPr>
              <w:pStyle w:val="Compact"/>
              <w:jc w:val="left"/>
            </w:pPr>
            <w:r>
              <w:t xml:space="preserve">Unlimited downside; never enter</w:t>
            </w:r>
          </w:p>
        </w:tc>
      </w:tr>
      <w:tr>
        <w:tc>
          <w:tcPr/>
          <w:p>
            <w:pPr>
              <w:pStyle w:val="Compact"/>
              <w:jc w:val="left"/>
            </w:pPr>
            <w:r>
              <w:t xml:space="preserve">11</w:t>
            </w:r>
          </w:p>
        </w:tc>
        <w:tc>
          <w:tcPr/>
          <w:p>
            <w:pPr>
              <w:pStyle w:val="Compact"/>
              <w:jc w:val="left"/>
            </w:pPr>
            <w:r>
              <w:t xml:space="preserve">Penny stocks (pending analysis)</w:t>
            </w:r>
          </w:p>
        </w:tc>
        <w:tc>
          <w:tcPr/>
          <w:p>
            <w:pPr>
              <w:pStyle w:val="Compact"/>
              <w:jc w:val="left"/>
            </w:pPr>
            <w:r>
              <w:t xml:space="preserve">Treat as DANGEROUS until proven otherwise</w:t>
            </w:r>
          </w:p>
        </w:tc>
      </w:tr>
    </w:tbl>
    <w:p>
      <w:pPr>
        <w:pStyle w:val="BodyText"/>
      </w:pPr>
      <w:r>
        <w:t xml:space="preserve">Tables 10.5-10.7 illustrate the audit’s central finding: the platform’s value is</w:t>
      </w:r>
      <w:r>
        <w:t xml:space="preserve"> </w:t>
      </w:r>
      <w:r>
        <w:rPr>
          <w:bCs/>
          <w:b/>
        </w:rPr>
        <w:t xml:space="preserve">preventing bad trades, not generating many picks</w:t>
      </w:r>
      <w:r>
        <w:t xml:space="preserve">. The optimal filter combination produces only 0-2 picks from 210 active</w:t>
      </w:r>
      <w:r>
        <w:t xml:space="preserve"> </w:t>
      </w:r>
      <w:r>
        <w:rPr>
          <w:vertAlign w:val="superscript"/>
        </w:rPr>
        <w:t xml:space="preserve">81</w:t>
      </w:r>
      <w:r>
        <w:t xml:space="preserve">. The real edge is in exclusion. The UI should celebrate empty results —</w:t>
      </w:r>
      <w:r>
        <w:t xml:space="preserve"> </w:t>
      </w:r>
      <w:r>
        <w:t xml:space="preserve">“</w:t>
      </w:r>
      <w:r>
        <w:t xml:space="preserve">No picks passed all quality gates today</w:t>
      </w:r>
      <w:r>
        <w:t xml:space="preserve">”</w:t>
      </w:r>
      <w:r>
        <w:t xml:space="preserve"> </w:t>
      </w:r>
      <w:r>
        <w:t xml:space="preserve">is capital preservation, not failure.</w:t>
      </w:r>
    </w:p>
    <w:bookmarkEnd w:id="93"/>
    <w:bookmarkStart w:id="94" w:name="dashboard-enhancement-recommendations"/>
    <w:p>
      <w:pPr>
        <w:pStyle w:val="Heading3"/>
      </w:pPr>
      <w:r>
        <w:t xml:space="preserve">10.6 Dashboard Enhancement Recommendations</w:t>
      </w:r>
    </w:p>
    <w:p>
      <w:pPr>
        <w:pStyle w:val="FirstParagraph"/>
      </w:pPr>
      <w:r>
        <w:t xml:space="preserve">Three enhancements would materially improve user safety without backend changes.</w:t>
      </w:r>
    </w:p>
    <w:p>
      <w:pPr>
        <w:pStyle w:val="BodyText"/>
      </w:pPr>
      <w:r>
        <w:rPr>
          <w:bCs/>
          <w:b/>
        </w:rPr>
        <w:t xml:space="preserve">Score tooltips</w:t>
      </w:r>
      <w:r>
        <w:t xml:space="preserve"> </w:t>
      </w:r>
      <w:r>
        <w:t xml:space="preserve">are the highest-impact, lowest-effort improvement. Every score (F-Score, Score, ml_score) should display a hover tooltip explaining what it measures, the investable threshold, and the action to take if below threshold. Current confusion between F-Score (Piotroski fundamental quality, 0-9), Score (composite signal strength, 0-1), and ml_score (ML confidence, 0-1) leads users to decide on the wrong metric. The ml_score tooltip should state:</w:t>
      </w:r>
      <w:r>
        <w:t xml:space="preserve"> </w:t>
      </w:r>
      <w:r>
        <w:t xml:space="preserve">“</w:t>
      </w:r>
      <w:r>
        <w:t xml:space="preserve">ml_score &gt;= 0.90 required for real-money deployment. Values below 0.90 have 39.3% accuracy — worse than random.</w:t>
      </w:r>
      <w:r>
        <w:t xml:space="preserve">”</w:t>
      </w:r>
      <w:r>
        <w:t xml:space="preserve"> </w:t>
      </w:r>
      <w:r>
        <w:rPr>
          <w:vertAlign w:val="superscript"/>
        </w:rPr>
        <w:t xml:space="preserve">81</w:t>
      </w:r>
      <w:r>
        <w:rPr>
          <w:bCs/>
          <w:b/>
        </w:rPr>
        <w:t xml:space="preserve">Tier definition cards</w:t>
      </w:r>
      <w:r>
        <w:t xml:space="preserve"> </w:t>
      </w:r>
      <w:r>
        <w:t xml:space="preserve">should appear adjacent to the tier selector. Each card (S-Tier through C-Tier) should display: historical pick count, overall PF and WR, and a color-coded verdict. S-Tier’s card would show n=27 with a yellow</w:t>
      </w:r>
      <w:r>
        <w:t xml:space="preserve"> </w:t>
      </w:r>
      <w:r>
        <w:t xml:space="preserve">“</w:t>
      </w:r>
      <w:r>
        <w:t xml:space="preserve">CAUTION — small sample</w:t>
      </w:r>
      <w:r>
        <w:t xml:space="preserve">”</w:t>
      </w:r>
      <w:r>
        <w:t xml:space="preserve"> </w:t>
      </w:r>
      <w:r>
        <w:t xml:space="preserve">warning; B-Tier would show n=940 with a green</w:t>
      </w:r>
      <w:r>
        <w:t xml:space="preserve"> </w:t>
      </w:r>
      <w:r>
        <w:t xml:space="preserve">“</w:t>
      </w:r>
      <w:r>
        <w:t xml:space="preserve">WORKHORSE — reliable</w:t>
      </w:r>
      <w:r>
        <w:t xml:space="preserve">”</w:t>
      </w:r>
      <w:r>
        <w:t xml:space="preserve"> </w:t>
      </w:r>
      <w:r>
        <w:t xml:space="preserve">endorsement. This prevents overallocating to the shiniest-looking tier.</w:t>
      </w:r>
    </w:p>
    <w:p>
      <w:pPr>
        <w:pStyle w:val="BodyText"/>
      </w:pPr>
      <w:r>
        <w:rPr>
          <w:bCs/>
          <w:b/>
        </w:rPr>
        <w:t xml:space="preserve">Risk warnings</w:t>
      </w:r>
      <w:r>
        <w:t xml:space="preserve"> </w:t>
      </w:r>
      <w:r>
        <w:t xml:space="preserve">should appear as a persistent banner when any DANGEROUS filter combination is active. If a user selects Commodity, Forex, C-Tier, or R:R outside 1.5-2.0, the banner should read:</w:t>
      </w:r>
      <w:r>
        <w:t xml:space="preserve"> </w:t>
      </w:r>
      <w:r>
        <w:t xml:space="preserve">“</w:t>
      </w:r>
      <w:r>
        <w:t xml:space="preserve">This filter combination has historically produced negative returns. [Click for details]</w:t>
      </w:r>
      <w:r>
        <w:t xml:space="preserve">”</w:t>
      </w:r>
      <w:r>
        <w:t xml:space="preserve"> </w:t>
      </w:r>
      <w:r>
        <w:t xml:space="preserve">with a link to the specific disqualifying metrics. The warning should not block interaction — users retain agency — but ignoring the risk becomes a conscious, documented choice rather than an uninformed one.</w:t>
      </w:r>
    </w:p>
    <w:p>
      <w:pPr>
        <w:pStyle w:val="BodyText"/>
      </w:pPr>
      <w:r>
        <w:t xml:space="preserve">These three enhancements — score tooltips, tier definition cards, and contextual risk warnings — would transform the dashboard from data presentation into decision support. The platform has genuine edge in a narrow domain; the dashboard’s job is to guide users precisely to that domain and away from everything else.</w:t>
      </w:r>
    </w:p>
    <w:p>
      <w:r>
        <w:pict>
          <v:rect style="width:0;height:1.5pt" o:hralign="center" o:hrstd="t" o:hr="t"/>
        </w:pic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2026-05-03T20:37:23Z</dcterms:created>
  <dcterms:modified xsi:type="dcterms:W3CDTF">2026-05-03T20:37:23Z</dcterms:modified>
</cp:coreProperties>
</file>

<file path=docProps/custom.xml><?xml version="1.0" encoding="utf-8"?>
<Properties xmlns="http://schemas.openxmlformats.org/officeDocument/2006/custom-properties" xmlns:vt="http://schemas.openxmlformats.org/officeDocument/2006/docPropsVTypes"/>
</file>