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2.png" ContentType="image/png"/>
  <Override PartName="/word/media/rId72.png" ContentType="image/png"/>
  <Override PartName="/word/media/rId90.png" ContentType="image/png"/>
  <Override PartName="/word/media/rId385.png" ContentType="image/png"/>
  <Override PartName="/word/media/rId25.png" ContentType="image/png"/>
  <Override PartName="/word/media/rId152.png" ContentType="image/png"/>
  <Override PartName="/word/media/rId176.png" ContentType="image/png"/>
  <Override PartName="/word/media/rId185.png" ContentType="image/png"/>
  <Override PartName="/word/media/rId226.png" ContentType="image/png"/>
  <Override PartName="/word/media/rId337.png" ContentType="image/png"/>
  <Override PartName="/word/media/rId351.png" ContentType="image/png"/>
  <Override PartName="/word/media/rId254.png" ContentType="image/png"/>
  <Override PartName="/word/media/rId415.png" ContentType="image/png"/>
  <Override PartName="/word/media/rId276.png" ContentType="image/png"/>
  <Override PartName="/word/media/rId170.png" ContentType="image/png"/>
  <Override PartName="/word/media/rId30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Hedge Fund Quality Enhancement PR</w:t>
      </w:r>
    </w:p>
    <w:p>
      <w:pPr>
        <w:pStyle w:val="Author"/>
      </w:pPr>
      <w:r>
        <w:t xml:space="preserve">Quantitative Audit Team</w:t>
      </w:r>
    </w:p>
    <w:p>
      <w:pPr>
        <w:pStyle w:val="Date"/>
      </w:pPr>
      <w:r>
        <w:t xml:space="preserve">2026-05-02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40" w:name="hedge-fund-quality-enhancement-pr"/>
    <w:p>
      <w:pPr>
        <w:pStyle w:val="Heading1"/>
      </w:pPr>
      <w:r>
        <w:t xml:space="preserve">Hedge Fund Quality Enhancement PR</w:t>
      </w:r>
    </w:p>
    <w:bookmarkStart w:id="20" w:name="X7a9470ceff71154b132bad09a181064649d2e9e"/>
    <w:p>
      <w:pPr>
        <w:pStyle w:val="Heading2"/>
      </w:pPr>
      <w:r>
        <w:t xml:space="preserve">Comprehensive Audit &amp; Enhancement Proposal for findtorontoevents.ca/audit</w:t>
      </w:r>
    </w:p>
    <w:p>
      <w:pPr>
        <w:pStyle w:val="FirstParagraph"/>
      </w:pPr>
      <w:r>
        <w:rPr>
          <w:bCs/>
          <w:b/>
        </w:rPr>
        <w:t xml:space="preserve">Date:</w:t>
      </w:r>
      <w:r>
        <w:t xml:space="preserve"> </w:t>
      </w:r>
      <w:r>
        <w:t xml:space="preserve">2026-05-02</w:t>
      </w:r>
      <w:r>
        <w:br/>
      </w:r>
      <w:r>
        <w:rPr>
          <w:bCs/>
          <w:b/>
        </w:rPr>
        <w:t xml:space="preserve">Repository:</w:t>
      </w:r>
      <w:r>
        <w:t xml:space="preserve"> </w:t>
      </w:r>
      <w:r>
        <w:t xml:space="preserve">https://github.com/eltonaguiar/findtorontoevents_antigravity.ca</w:t>
      </w:r>
      <w:r>
        <w:br/>
      </w:r>
      <w:r>
        <w:rPr>
          <w:bCs/>
          <w:b/>
        </w:rPr>
        <w:t xml:space="preserve">Target:</w:t>
      </w:r>
      <w:r>
        <w:t xml:space="preserve"> </w:t>
      </w:r>
      <w:r>
        <w:t xml:space="preserve">Transform from failing signals to world-class hedge fund quality</w:t>
      </w:r>
      <w:r>
        <w:br/>
      </w:r>
      <w:r>
        <w:rPr>
          <w:bCs/>
          <w:b/>
        </w:rPr>
        <w:t xml:space="preserve">Status:</w:t>
      </w:r>
      <w:r>
        <w:t xml:space="preserve"> </w:t>
      </w:r>
      <w:r>
        <w:t xml:space="preserve">READY FOR REVIEW</w:t>
      </w:r>
    </w:p>
    <w:p>
      <w:r>
        <w:pict>
          <v:rect style="width:0;height:1.5pt" o:hralign="center" o:hrstd="t" o:hr="t"/>
        </w:pict>
      </w:r>
    </w:p>
    <w:bookmarkEnd w:id="20"/>
    <w:bookmarkStart w:id="59" w:name="executive-summary"/>
    <w:p>
      <w:pPr>
        <w:pStyle w:val="Heading2"/>
      </w:pPr>
      <w:r>
        <w:t xml:space="preserve">Executive Summary</w:t>
      </w:r>
    </w:p>
    <w:p>
      <w:pPr>
        <w:pStyle w:val="FirstParagraph"/>
      </w:pPr>
      <w:r>
        <w:t xml:space="preserve">The central finding of this ten-chapter audit is that the platform’s signal generation infrastructure produces</w:t>
      </w:r>
      <w:r>
        <w:t xml:space="preserve"> </w:t>
      </w:r>
      <w:r>
        <w:rPr>
          <w:bCs/>
          <w:b/>
        </w:rPr>
        <w:t xml:space="preserve">Renaissance-grade alpha</w:t>
      </w:r>
      <w:r>
        <w:t xml:space="preserve"> </w:t>
      </w:r>
      <w:r>
        <w:t xml:space="preserve">that is systematically destroyed by misconfigured gates. The equity sleeve records a Sharpe ratio of 5.395 on 100 trades — exceeding the upper bound of Renaissance Medallion’s historical 2.5–4.0 range</w:t>
      </w:r>
      <w:r>
        <w:rPr>
          <w:rStyle w:val="FootnoteReference"/>
        </w:rPr>
        <w:footnoteReference w:id="21"/>
      </w:r>
      <w:r>
        <w:t xml:space="preserve">. Crypto S-Tier posts an 85.7% Win Rate (WR) and Profit Factor (PF) of 30.17</w:t>
      </w:r>
      <w:r>
        <w:rPr>
          <w:rStyle w:val="FootnoteReference"/>
        </w:rPr>
        <w:footnoteReference w:id="22"/>
      </w:r>
      <w:r>
        <w:t xml:space="preserve">. Yet the all-asset portfolio achieves only a weighted PF of 3.99 and Sharpe of 2.83[^12^] because four of ten asset classes — Crypto C-Tier, Forex, Commodities, and Futures — destroy an estimated</w:t>
      </w:r>
      <w:r>
        <w:t xml:space="preserve"> </w:t>
      </w:r>
      <w:r>
        <w:rPr>
          <w:bCs/>
          <w:b/>
        </w:rPr>
        <w:t xml:space="preserve">77.79% in aggregate Profit and Loss (PnL)</w:t>
      </w:r>
      <w:r>
        <w:t xml:space="preserve"> </w:t>
      </w:r>
      <w:r>
        <w:t xml:space="preserve">while consuming 49.5% of trading capacity[^12^]. Annual alpha bleeding from gate misconfiguration alone is estimated at</w:t>
      </w:r>
      <w:r>
        <w:t xml:space="preserve"> </w:t>
      </w:r>
      <w:r>
        <w:rPr>
          <w:bCs/>
          <w:b/>
        </w:rPr>
        <w:t xml:space="preserve">+173%</w:t>
      </w:r>
      <w:r>
        <w:rPr>
          <w:rStyle w:val="FootnoteReference"/>
        </w:rPr>
        <w:footnoteReference w:id="23"/>
      </w:r>
      <w:r>
        <w:t xml:space="preserve">, with the legacy</w:t>
      </w:r>
      <w:r>
        <w:t xml:space="preserve"> </w:t>
      </w:r>
      <w:r>
        <w:rPr>
          <w:rStyle w:val="VerbatimChar"/>
        </w:rPr>
        <w:t xml:space="preserve">elite_score</w:t>
      </w:r>
      <w:r>
        <w:t xml:space="preserve"> </w:t>
      </w:r>
      <w:r>
        <w:t xml:space="preserve">gate carrying a</w:t>
      </w:r>
      <w:r>
        <w:t xml:space="preserve"> </w:t>
      </w:r>
      <w:r>
        <w:rPr>
          <w:bCs/>
          <w:b/>
        </w:rPr>
        <w:t xml:space="preserve">-0.17 correlation</w:t>
      </w:r>
      <w:r>
        <w:t xml:space="preserve"> </w:t>
      </w:r>
      <w:r>
        <w:t xml:space="preserve">with profitability</w:t>
      </w:r>
      <w:r>
        <w:rPr>
          <w:rStyle w:val="FootnoteReference"/>
        </w:rPr>
        <w:footnoteReference w:id="24"/>
      </w:r>
      <w:r>
        <w:t xml:space="preserve">.</w:t>
      </w:r>
    </w:p>
    <w:p>
      <w:pPr>
        <w:pStyle w:val="CaptionedFigure"/>
      </w:pPr>
      <w:r>
        <w:drawing>
          <wp:inline>
            <wp:extent cx="5334000" cy="2055090"/>
            <wp:effectExtent b="0" l="0" r="0" t="0"/>
            <wp:docPr descr="Executive Summary Dashboard" title="" id="26" name="Picture"/>
            <a:graphic>
              <a:graphicData uri="http://schemas.openxmlformats.org/drawingml/2006/picture">
                <pic:pic>
                  <pic:nvPicPr>
                    <pic:cNvPr descr="executive_summary_dashboard.png" id="27" name="Picture"/>
                    <pic:cNvPicPr>
                      <a:picLocks noChangeArrowheads="1" noChangeAspect="1"/>
                    </pic:cNvPicPr>
                  </pic:nvPicPr>
                  <pic:blipFill>
                    <a:blip r:embed="rId25"/>
                    <a:stretch>
                      <a:fillRect/>
                    </a:stretch>
                  </pic:blipFill>
                  <pic:spPr bwMode="auto">
                    <a:xfrm>
                      <a:off x="0" y="0"/>
                      <a:ext cx="5334000" cy="2055090"/>
                    </a:xfrm>
                    <a:prstGeom prst="rect">
                      <a:avLst/>
                    </a:prstGeom>
                    <a:noFill/>
                    <a:ln w="9525">
                      <a:noFill/>
                      <a:headEnd/>
                      <a:tailEnd/>
                    </a:ln>
                  </pic:spPr>
                </pic:pic>
              </a:graphicData>
            </a:graphic>
          </wp:inline>
        </w:drawing>
      </w:r>
    </w:p>
    <w:p>
      <w:pPr>
        <w:pStyle w:val="ImageCaption"/>
      </w:pPr>
      <w:r>
        <w:t xml:space="preserve">Executive Summary Dashboard</w:t>
      </w:r>
    </w:p>
    <w:p>
      <w:pPr>
        <w:pStyle w:val="BodyText"/>
      </w:pPr>
      <w:r>
        <w:rPr>
          <w:iCs/>
          <w:i/>
        </w:rPr>
        <w:t xml:space="preserve">Figure 1. Left panel: Profit Factor by asset class with breakeven (PF = 1.0) and T1 threshold (PF = 1.5) reference lines. Right panel: Projected Golden Portfolio Sharpe ratio of 4.20 against institutional benchmarks. Sources: Chapters 1–4 platform ledger analysis, Chapter 8 CIO review.</w:t>
      </w:r>
    </w:p>
    <w:bookmarkStart w:id="35" w:name="portfolio-current-state"/>
    <w:p>
      <w:pPr>
        <w:pStyle w:val="Heading3"/>
      </w:pPr>
      <w:r>
        <w:t xml:space="preserve">Portfolio Current State</w:t>
      </w:r>
    </w:p>
    <w:p>
      <w:pPr>
        <w:pStyle w:val="FirstParagraph"/>
      </w:pPr>
      <w:r>
        <w:t xml:space="preserve">The audit examined seven asset classes across 506 resolved trades. The</w:t>
      </w:r>
      <w:r>
        <w:t xml:space="preserve"> </w:t>
      </w:r>
      <w:r>
        <w:t xml:space="preserve">“</w:t>
      </w:r>
      <w:r>
        <w:t xml:space="preserve">Golden Portfolio</w:t>
      </w:r>
      <w:r>
        <w:t xml:space="preserve">”</w:t>
      </w:r>
      <w:r>
        <w:t xml:space="preserve"> </w:t>
      </w:r>
      <w:r>
        <w:t xml:space="preserve">— comprising Equity, ETF, Crypto S-Tier, B-Tier, A-Tier, and Bond — projects a Sharpe ratio of 4.20, a PF of 7.35, a WR of 68.6%, and an estimated Maximum Drawdown (MDD) of approximately 12%[^12^]. The three FAIL-tier asset classes — Crypto C-Tier (PF 0.36, WR 28.0%)[^24^], Forex (PF 0.03, WR 2.5%)[^12^], and Commodities (PF 0.95)[^12^] — collectively guarantee negative expected value.</w:t>
      </w:r>
    </w:p>
    <w:p>
      <w:pPr>
        <w:pStyle w:val="BodyText"/>
      </w:pPr>
      <w:r>
        <w:rPr>
          <w:bCs/>
          <w:b/>
        </w:rPr>
        <w:t xml:space="preserve">Table 1: Portfolio Current State by Asset Class</w:t>
      </w:r>
    </w:p>
    <w:tbl>
      <w:tblPr>
        <w:tblStyle w:val="Table"/>
        <w:tblW w:type="pct" w:w="5000"/>
        <w:tblLook w:firstRow="1" w:lastRow="0" w:firstColumn="0" w:lastColumn="0" w:noHBand="0" w:noVBand="0" w:val="0020"/>
      </w:tblPr>
      <w:tblGrid>
        <w:gridCol w:w="833"/>
        <w:gridCol w:w="1042"/>
        <w:gridCol w:w="1042"/>
        <w:gridCol w:w="1042"/>
        <w:gridCol w:w="1042"/>
        <w:gridCol w:w="1042"/>
        <w:gridCol w:w="1042"/>
        <w:gridCol w:w="833"/>
      </w:tblGrid>
      <w:tr>
        <w:trPr>
          <w:tblHeader w:val="true"/>
        </w:trPr>
        <w:tc>
          <w:tcPr/>
          <w:p>
            <w:pPr>
              <w:pStyle w:val="Compact"/>
              <w:jc w:val="left"/>
            </w:pPr>
            <w:r>
              <w:t xml:space="preserve">Asset Class</w:t>
            </w:r>
          </w:p>
        </w:tc>
        <w:tc>
          <w:tcPr/>
          <w:p>
            <w:pPr>
              <w:pStyle w:val="Compact"/>
              <w:jc w:val="center"/>
            </w:pPr>
            <w:r>
              <w:t xml:space="preserve">Best Window</w:t>
            </w:r>
          </w:p>
        </w:tc>
        <w:tc>
          <w:tcPr/>
          <w:p>
            <w:pPr>
              <w:pStyle w:val="Compact"/>
              <w:jc w:val="center"/>
            </w:pPr>
            <w:r>
              <w:t xml:space="preserve">WR (%)</w:t>
            </w:r>
          </w:p>
        </w:tc>
        <w:tc>
          <w:tcPr/>
          <w:p>
            <w:pPr>
              <w:pStyle w:val="Compact"/>
              <w:jc w:val="center"/>
            </w:pPr>
            <w:r>
              <w:t xml:space="preserve">PF</w:t>
            </w:r>
          </w:p>
        </w:tc>
        <w:tc>
          <w:tcPr/>
          <w:p>
            <w:pPr>
              <w:pStyle w:val="Compact"/>
              <w:jc w:val="center"/>
            </w:pPr>
            <w:r>
              <w:t xml:space="preserve">Sharpe</w:t>
            </w:r>
          </w:p>
        </w:tc>
        <w:tc>
          <w:tcPr/>
          <w:p>
            <w:pPr>
              <w:pStyle w:val="Compact"/>
              <w:jc w:val="center"/>
            </w:pPr>
            <m:oMath>
              <m:r>
                <m:t>n</m:t>
              </m:r>
            </m:oMath>
            <w:r>
              <w:t xml:space="preserve"> </w:t>
            </w:r>
            <w:r>
              <w:t xml:space="preserve">(closed)</w:t>
            </w:r>
          </w:p>
        </w:tc>
        <w:tc>
          <w:tcPr/>
          <w:p>
            <w:pPr>
              <w:pStyle w:val="Compact"/>
              <w:jc w:val="center"/>
            </w:pPr>
            <w:r>
              <w:t xml:space="preserve">Status</w:t>
            </w:r>
          </w:p>
        </w:tc>
        <w:tc>
          <w:tcPr/>
          <w:p>
            <w:pPr>
              <w:pStyle w:val="Compact"/>
              <w:jc w:val="left"/>
            </w:pPr>
            <w:r>
              <w:t xml:space="preserve">Triage Action</w:t>
            </w:r>
          </w:p>
        </w:tc>
      </w:tr>
      <w:tr>
        <w:tc>
          <w:tcPr/>
          <w:p>
            <w:pPr>
              <w:pStyle w:val="Compact"/>
              <w:jc w:val="left"/>
            </w:pPr>
            <w:r>
              <w:t xml:space="preserve">Crypto S-Tier</w:t>
            </w:r>
          </w:p>
        </w:tc>
        <w:tc>
          <w:tcPr/>
          <w:p>
            <w:pPr>
              <w:pStyle w:val="Compact"/>
              <w:jc w:val="center"/>
            </w:pPr>
            <w:r>
              <w:t xml:space="preserve">L20</w:t>
            </w:r>
          </w:p>
        </w:tc>
        <w:tc>
          <w:tcPr/>
          <w:p>
            <w:pPr>
              <w:pStyle w:val="Compact"/>
              <w:jc w:val="center"/>
            </w:pPr>
            <w:r>
              <w:t xml:space="preserve">85.7</w:t>
            </w:r>
          </w:p>
        </w:tc>
        <w:tc>
          <w:tcPr/>
          <w:p>
            <w:pPr>
              <w:pStyle w:val="Compact"/>
              <w:jc w:val="center"/>
            </w:pPr>
            <w:r>
              <w:t xml:space="preserve">30.17</w:t>
            </w:r>
          </w:p>
        </w:tc>
        <w:tc>
          <w:tcPr/>
          <w:p>
            <w:pPr>
              <w:pStyle w:val="Compact"/>
              <w:jc w:val="center"/>
            </w:pPr>
            <w:r>
              <w:t xml:space="preserve">1.024</w:t>
            </w:r>
          </w:p>
        </w:tc>
        <w:tc>
          <w:tcPr/>
          <w:p>
            <w:pPr>
              <w:pStyle w:val="Compact"/>
              <w:jc w:val="center"/>
            </w:pPr>
            <w:r>
              <w:t xml:space="preserve">14</w:t>
            </w:r>
          </w:p>
        </w:tc>
        <w:tc>
          <w:tcPr/>
          <w:p>
            <w:pPr>
              <w:pStyle w:val="Compact"/>
              <w:jc w:val="center"/>
            </w:pPr>
            <w:r>
              <w:rPr>
                <w:bCs/>
                <w:b/>
              </w:rPr>
              <w:t xml:space="preserve">T1 — Alpha</w:t>
            </w:r>
          </w:p>
        </w:tc>
        <w:tc>
          <w:tcPr/>
          <w:p>
            <w:pPr>
              <w:pStyle w:val="Compact"/>
              <w:jc w:val="left"/>
            </w:pPr>
            <w:r>
              <w:t xml:space="preserve">Scale via new data layers</w:t>
            </w:r>
            <w:r>
              <w:t xml:space="preserve"> </w:t>
            </w:r>
            <w:r>
              <w:rPr>
                <w:rStyle w:val="FootnoteReference"/>
              </w:rPr>
              <w:footnoteReference w:id="28"/>
            </w:r>
          </w:p>
        </w:tc>
      </w:tr>
      <w:tr>
        <w:tc>
          <w:tcPr/>
          <w:p>
            <w:pPr>
              <w:pStyle w:val="Compact"/>
              <w:jc w:val="left"/>
            </w:pPr>
            <w:r>
              <w:t xml:space="preserve">Equity L100</w:t>
            </w:r>
          </w:p>
        </w:tc>
        <w:tc>
          <w:tcPr/>
          <w:p>
            <w:pPr>
              <w:pStyle w:val="Compact"/>
              <w:jc w:val="center"/>
            </w:pPr>
            <w:r>
              <w:t xml:space="preserve">L100</w:t>
            </w:r>
          </w:p>
        </w:tc>
        <w:tc>
          <w:tcPr/>
          <w:p>
            <w:pPr>
              <w:pStyle w:val="Compact"/>
              <w:jc w:val="center"/>
            </w:pPr>
            <w:r>
              <w:t xml:space="preserve">59.0</w:t>
            </w:r>
          </w:p>
        </w:tc>
        <w:tc>
          <w:tcPr/>
          <w:p>
            <w:pPr>
              <w:pStyle w:val="Compact"/>
              <w:jc w:val="center"/>
            </w:pPr>
            <w:r>
              <w:t xml:space="preserve">2.90</w:t>
            </w:r>
          </w:p>
        </w:tc>
        <w:tc>
          <w:tcPr/>
          <w:p>
            <w:pPr>
              <w:pStyle w:val="Compact"/>
              <w:jc w:val="center"/>
            </w:pPr>
            <w:r>
              <w:t xml:space="preserve">5.395</w:t>
            </w:r>
          </w:p>
        </w:tc>
        <w:tc>
          <w:tcPr/>
          <w:p>
            <w:pPr>
              <w:pStyle w:val="Compact"/>
              <w:jc w:val="center"/>
            </w:pPr>
            <w:r>
              <w:t xml:space="preserve">100</w:t>
            </w:r>
          </w:p>
        </w:tc>
        <w:tc>
          <w:tcPr/>
          <w:p>
            <w:pPr>
              <w:pStyle w:val="Compact"/>
              <w:jc w:val="center"/>
            </w:pPr>
            <w:r>
              <w:rPr>
                <w:bCs/>
                <w:b/>
              </w:rPr>
              <w:t xml:space="preserve">T1 — Crown Jewel</w:t>
            </w:r>
          </w:p>
        </w:tc>
        <w:tc>
          <w:tcPr/>
          <w:p>
            <w:pPr>
              <w:pStyle w:val="Compact"/>
              <w:jc w:val="left"/>
            </w:pPr>
            <w:r>
              <w:t xml:space="preserve">Increase to 40% allocation</w:t>
            </w:r>
            <w:r>
              <w:t xml:space="preserve"> </w:t>
            </w:r>
            <w:r>
              <w:rPr>
                <w:rStyle w:val="FootnoteReference"/>
              </w:rPr>
              <w:footnoteReference w:id="29"/>
            </w:r>
          </w:p>
        </w:tc>
      </w:tr>
      <w:tr>
        <w:tc>
          <w:tcPr/>
          <w:p>
            <w:pPr>
              <w:pStyle w:val="Compact"/>
              <w:jc w:val="left"/>
            </w:pPr>
            <w:r>
              <w:t xml:space="preserve">ETF L20</w:t>
            </w:r>
          </w:p>
        </w:tc>
        <w:tc>
          <w:tcPr/>
          <w:p>
            <w:pPr>
              <w:pStyle w:val="Compact"/>
              <w:jc w:val="center"/>
            </w:pPr>
            <w:r>
              <w:t xml:space="preserve">L20</w:t>
            </w:r>
          </w:p>
        </w:tc>
        <w:tc>
          <w:tcPr/>
          <w:p>
            <w:pPr>
              <w:pStyle w:val="Compact"/>
              <w:jc w:val="center"/>
            </w:pPr>
            <w:r>
              <w:t xml:space="preserve">72.0</w:t>
            </w:r>
          </w:p>
        </w:tc>
        <w:tc>
          <w:tcPr/>
          <w:p>
            <w:pPr>
              <w:pStyle w:val="Compact"/>
              <w:jc w:val="center"/>
            </w:pPr>
            <w:r>
              <w:t xml:space="preserve">2.67</w:t>
            </w:r>
          </w:p>
        </w:tc>
        <w:tc>
          <w:tcPr/>
          <w:p>
            <w:pPr>
              <w:pStyle w:val="Compact"/>
              <w:jc w:val="center"/>
            </w:pPr>
            <w:r>
              <w:t xml:space="preserve">2.623</w:t>
            </w:r>
          </w:p>
        </w:tc>
        <w:tc>
          <w:tcPr/>
          <w:p>
            <w:pPr>
              <w:pStyle w:val="Compact"/>
              <w:jc w:val="center"/>
            </w:pPr>
            <w:r>
              <w:t xml:space="preserve">50</w:t>
            </w:r>
          </w:p>
        </w:tc>
        <w:tc>
          <w:tcPr/>
          <w:p>
            <w:pPr>
              <w:pStyle w:val="Compact"/>
              <w:jc w:val="center"/>
            </w:pPr>
            <w:r>
              <w:rPr>
                <w:bCs/>
                <w:b/>
              </w:rPr>
              <w:t xml:space="preserve">T1 — Tactical</w:t>
            </w:r>
          </w:p>
        </w:tc>
        <w:tc>
          <w:tcPr/>
          <w:p>
            <w:pPr>
              <w:pStyle w:val="Compact"/>
              <w:jc w:val="left"/>
            </w:pPr>
            <w:r>
              <w:t xml:space="preserve">Cap hold at 10 days</w:t>
            </w:r>
            <w:r>
              <w:t xml:space="preserve"> </w:t>
            </w:r>
            <w:r>
              <w:rPr>
                <w:rStyle w:val="FootnoteReference"/>
              </w:rPr>
              <w:footnoteReference w:id="30"/>
            </w:r>
          </w:p>
        </w:tc>
      </w:tr>
      <w:tr>
        <w:tc>
          <w:tcPr/>
          <w:p>
            <w:pPr>
              <w:pStyle w:val="Compact"/>
              <w:jc w:val="left"/>
            </w:pPr>
            <w:r>
              <w:t xml:space="preserve">Crypto B-Tier</w:t>
            </w:r>
          </w:p>
        </w:tc>
        <w:tc>
          <w:tcPr/>
          <w:p>
            <w:pPr>
              <w:pStyle w:val="Compact"/>
              <w:jc w:val="center"/>
            </w:pPr>
            <w:r>
              <w:t xml:space="preserve">L20</w:t>
            </w:r>
          </w:p>
        </w:tc>
        <w:tc>
          <w:tcPr/>
          <w:p>
            <w:pPr>
              <w:pStyle w:val="Compact"/>
              <w:jc w:val="center"/>
            </w:pPr>
            <w:r>
              <w:t xml:space="preserve">65.0</w:t>
            </w:r>
          </w:p>
        </w:tc>
        <w:tc>
          <w:tcPr/>
          <w:p>
            <w:pPr>
              <w:pStyle w:val="Compact"/>
              <w:jc w:val="center"/>
            </w:pPr>
            <w:r>
              <w:t xml:space="preserve">2.04</w:t>
            </w:r>
          </w:p>
        </w:tc>
        <w:tc>
          <w:tcPr/>
          <w:p>
            <w:pPr>
              <w:pStyle w:val="Compact"/>
              <w:jc w:val="center"/>
            </w:pPr>
            <w:r>
              <w:t xml:space="preserve">0.269</w:t>
            </w:r>
          </w:p>
        </w:tc>
        <w:tc>
          <w:tcPr/>
          <w:p>
            <w:pPr>
              <w:pStyle w:val="Compact"/>
              <w:jc w:val="center"/>
            </w:pPr>
            <w:r>
              <w:t xml:space="preserve">20</w:t>
            </w:r>
          </w:p>
        </w:tc>
        <w:tc>
          <w:tcPr/>
          <w:p>
            <w:pPr>
              <w:pStyle w:val="Compact"/>
              <w:jc w:val="center"/>
            </w:pPr>
            <w:r>
              <w:rPr>
                <w:bCs/>
                <w:b/>
              </w:rPr>
              <w:t xml:space="preserve">T2 — Stable</w:t>
            </w:r>
          </w:p>
        </w:tc>
        <w:tc>
          <w:tcPr/>
          <w:p>
            <w:pPr>
              <w:pStyle w:val="Compact"/>
              <w:jc w:val="left"/>
            </w:pPr>
            <w:r>
              <w:t xml:space="preserve">Maintain L20–L50 window [^19^]</w:t>
            </w:r>
          </w:p>
        </w:tc>
      </w:tr>
      <w:tr>
        <w:tc>
          <w:tcPr/>
          <w:p>
            <w:pPr>
              <w:pStyle w:val="Compact"/>
              <w:jc w:val="left"/>
            </w:pPr>
            <w:r>
              <w:t xml:space="preserve">Crypto A-Tier</w:t>
            </w:r>
          </w:p>
        </w:tc>
        <w:tc>
          <w:tcPr/>
          <w:p>
            <w:pPr>
              <w:pStyle w:val="Compact"/>
              <w:jc w:val="center"/>
            </w:pPr>
            <w:r>
              <w:t xml:space="preserve">L50</w:t>
            </w:r>
          </w:p>
        </w:tc>
        <w:tc>
          <w:tcPr/>
          <w:p>
            <w:pPr>
              <w:pStyle w:val="Compact"/>
              <w:jc w:val="center"/>
            </w:pPr>
            <w:r>
              <w:t xml:space="preserve">54.0</w:t>
            </w:r>
          </w:p>
        </w:tc>
        <w:tc>
          <w:tcPr/>
          <w:p>
            <w:pPr>
              <w:pStyle w:val="Compact"/>
              <w:jc w:val="center"/>
            </w:pPr>
            <w:r>
              <w:t xml:space="preserve">1.58</w:t>
            </w:r>
          </w:p>
        </w:tc>
        <w:tc>
          <w:tcPr/>
          <w:p>
            <w:pPr>
              <w:pStyle w:val="Compact"/>
              <w:jc w:val="center"/>
            </w:pPr>
            <w:r>
              <w:t xml:space="preserve">0.466</w:t>
            </w:r>
          </w:p>
        </w:tc>
        <w:tc>
          <w:tcPr/>
          <w:p>
            <w:pPr>
              <w:pStyle w:val="Compact"/>
              <w:jc w:val="center"/>
            </w:pPr>
            <w:r>
              <w:t xml:space="preserve">50</w:t>
            </w:r>
          </w:p>
        </w:tc>
        <w:tc>
          <w:tcPr/>
          <w:p>
            <w:pPr>
              <w:pStyle w:val="Compact"/>
              <w:jc w:val="center"/>
            </w:pPr>
            <w:r>
              <w:rPr>
                <w:bCs/>
                <w:b/>
              </w:rPr>
              <w:t xml:space="preserve">T2 — Decaying</w:t>
            </w:r>
          </w:p>
        </w:tc>
        <w:tc>
          <w:tcPr/>
          <w:p>
            <w:pPr>
              <w:pStyle w:val="Compact"/>
              <w:jc w:val="left"/>
            </w:pPr>
            <w:r>
              <w:t xml:space="preserve">Cap at L50 + 10-day stop</w:t>
            </w:r>
            <w:r>
              <w:t xml:space="preserve"> </w:t>
            </w:r>
            <w:r>
              <w:rPr>
                <w:rStyle w:val="FootnoteReference"/>
              </w:rPr>
              <w:footnoteReference w:id="31"/>
            </w:r>
          </w:p>
        </w:tc>
      </w:tr>
      <w:tr>
        <w:tc>
          <w:tcPr/>
          <w:p>
            <w:pPr>
              <w:pStyle w:val="Compact"/>
              <w:jc w:val="left"/>
            </w:pPr>
            <w:r>
              <w:t xml:space="preserve">Bond</w:t>
            </w:r>
          </w:p>
        </w:tc>
        <w:tc>
          <w:tcPr/>
          <w:p>
            <w:pPr>
              <w:pStyle w:val="Compact"/>
              <w:jc w:val="center"/>
            </w:pPr>
            <w:r>
              <w:t xml:space="preserve">Live</w:t>
            </w:r>
          </w:p>
        </w:tc>
        <w:tc>
          <w:tcPr/>
          <w:p>
            <w:pPr>
              <w:pStyle w:val="Compact"/>
              <w:jc w:val="center"/>
            </w:pPr>
            <w:r>
              <w:t xml:space="preserve">50.0</w:t>
            </w:r>
          </w:p>
        </w:tc>
        <w:tc>
          <w:tcPr/>
          <w:p>
            <w:pPr>
              <w:pStyle w:val="Compact"/>
              <w:jc w:val="center"/>
            </w:pPr>
            <w:r>
              <w:t xml:space="preserve">1.50</w:t>
            </w:r>
          </w:p>
        </w:tc>
        <w:tc>
          <w:tcPr/>
          <w:p>
            <w:pPr>
              <w:pStyle w:val="Compact"/>
              <w:jc w:val="center"/>
            </w:pPr>
            <w:r>
              <w:t xml:space="preserve">0.283</w:t>
            </w:r>
          </w:p>
        </w:tc>
        <w:tc>
          <w:tcPr/>
          <w:p>
            <w:pPr>
              <w:pStyle w:val="Compact"/>
              <w:jc w:val="center"/>
            </w:pPr>
            <w:r>
              <w:t xml:space="preserve">20</w:t>
            </w:r>
          </w:p>
        </w:tc>
        <w:tc>
          <w:tcPr/>
          <w:p>
            <w:pPr>
              <w:pStyle w:val="Compact"/>
              <w:jc w:val="center"/>
            </w:pPr>
            <w:r>
              <w:rPr>
                <w:bCs/>
                <w:b/>
              </w:rPr>
              <w:t xml:space="preserve">T2 — Throughput</w:t>
            </w:r>
          </w:p>
        </w:tc>
        <w:tc>
          <w:tcPr/>
          <w:p>
            <w:pPr>
              <w:pStyle w:val="Compact"/>
              <w:jc w:val="left"/>
            </w:pPr>
            <w:r>
              <w:t xml:space="preserve">Lower elite_score floor 30→15</w:t>
            </w:r>
            <w:r>
              <w:t xml:space="preserve"> </w:t>
            </w:r>
            <w:r>
              <w:rPr>
                <w:rStyle w:val="FootnoteReference"/>
              </w:rPr>
              <w:footnoteReference w:id="32"/>
            </w:r>
          </w:p>
        </w:tc>
      </w:tr>
      <w:tr>
        <w:tc>
          <w:tcPr/>
          <w:p>
            <w:pPr>
              <w:pStyle w:val="Compact"/>
              <w:jc w:val="left"/>
            </w:pPr>
            <w:r>
              <w:t xml:space="preserve">Commodity</w:t>
            </w:r>
          </w:p>
        </w:tc>
        <w:tc>
          <w:tcPr/>
          <w:p>
            <w:pPr>
              <w:pStyle w:val="Compact"/>
              <w:jc w:val="center"/>
            </w:pPr>
            <w:r>
              <w:t xml:space="preserve">L100</w:t>
            </w:r>
          </w:p>
        </w:tc>
        <w:tc>
          <w:tcPr/>
          <w:p>
            <w:pPr>
              <w:pStyle w:val="Compact"/>
              <w:jc w:val="center"/>
            </w:pPr>
            <w:r>
              <w:t xml:space="preserve">42.0</w:t>
            </w:r>
          </w:p>
        </w:tc>
        <w:tc>
          <w:tcPr/>
          <w:p>
            <w:pPr>
              <w:pStyle w:val="Compact"/>
              <w:jc w:val="center"/>
            </w:pPr>
            <w:r>
              <w:t xml:space="preserve">0.95</w:t>
            </w:r>
          </w:p>
        </w:tc>
        <w:tc>
          <w:tcPr/>
          <w:p>
            <w:pPr>
              <w:pStyle w:val="Compact"/>
              <w:jc w:val="center"/>
            </w:pPr>
            <w:r>
              <w:t xml:space="preserve">-0.102</w:t>
            </w:r>
          </w:p>
        </w:tc>
        <w:tc>
          <w:tcPr/>
          <w:p>
            <w:pPr>
              <w:pStyle w:val="Compact"/>
              <w:jc w:val="center"/>
            </w:pPr>
            <w:r>
              <w:t xml:space="preserve">100</w:t>
            </w:r>
          </w:p>
        </w:tc>
        <w:tc>
          <w:tcPr/>
          <w:p>
            <w:pPr>
              <w:pStyle w:val="Compact"/>
              <w:jc w:val="center"/>
            </w:pPr>
            <w:r>
              <w:rPr>
                <w:bCs/>
                <w:b/>
              </w:rPr>
              <w:t xml:space="preserve">FAIL</w:t>
            </w:r>
          </w:p>
        </w:tc>
        <w:tc>
          <w:tcPr/>
          <w:p>
            <w:pPr>
              <w:pStyle w:val="Compact"/>
              <w:jc w:val="left"/>
            </w:pPr>
            <w:r>
              <w:t xml:space="preserve">Suspend; rebuild triple-screen [^12^]</w:t>
            </w:r>
          </w:p>
        </w:tc>
      </w:tr>
      <w:tr>
        <w:tc>
          <w:tcPr/>
          <w:p>
            <w:pPr>
              <w:pStyle w:val="Compact"/>
              <w:jc w:val="left"/>
            </w:pPr>
            <w:r>
              <w:t xml:space="preserve">Crypto C-Tier</w:t>
            </w:r>
          </w:p>
        </w:tc>
        <w:tc>
          <w:tcPr/>
          <w:p>
            <w:pPr>
              <w:pStyle w:val="Compact"/>
              <w:jc w:val="center"/>
            </w:pPr>
            <w:r>
              <w:t xml:space="preserve">L50</w:t>
            </w:r>
          </w:p>
        </w:tc>
        <w:tc>
          <w:tcPr/>
          <w:p>
            <w:pPr>
              <w:pStyle w:val="Compact"/>
              <w:jc w:val="center"/>
            </w:pPr>
            <w:r>
              <w:t xml:space="preserve">28.0</w:t>
            </w:r>
          </w:p>
        </w:tc>
        <w:tc>
          <w:tcPr/>
          <w:p>
            <w:pPr>
              <w:pStyle w:val="Compact"/>
              <w:jc w:val="center"/>
            </w:pPr>
            <w:r>
              <w:t xml:space="preserve">0.36</w:t>
            </w:r>
          </w:p>
        </w:tc>
        <w:tc>
          <w:tcPr/>
          <w:p>
            <w:pPr>
              <w:pStyle w:val="Compact"/>
              <w:jc w:val="center"/>
            </w:pPr>
            <w:r>
              <w:t xml:space="preserve">-0.794</w:t>
            </w:r>
          </w:p>
        </w:tc>
        <w:tc>
          <w:tcPr/>
          <w:p>
            <w:pPr>
              <w:pStyle w:val="Compact"/>
              <w:jc w:val="center"/>
            </w:pPr>
            <w:r>
              <w:t xml:space="preserve">50</w:t>
            </w:r>
          </w:p>
        </w:tc>
        <w:tc>
          <w:tcPr/>
          <w:p>
            <w:pPr>
              <w:pStyle w:val="Compact"/>
              <w:jc w:val="center"/>
            </w:pPr>
            <w:r>
              <w:rPr>
                <w:bCs/>
                <w:b/>
              </w:rPr>
              <w:t xml:space="preserve">FAIL</w:t>
            </w:r>
          </w:p>
        </w:tc>
        <w:tc>
          <w:tcPr/>
          <w:p>
            <w:pPr>
              <w:pStyle w:val="Compact"/>
              <w:jc w:val="left"/>
            </w:pPr>
            <w:r>
              <w:t xml:space="preserve">Immediate suspension [^24^]</w:t>
            </w:r>
          </w:p>
        </w:tc>
      </w:tr>
      <w:tr>
        <w:tc>
          <w:tcPr/>
          <w:p>
            <w:pPr>
              <w:pStyle w:val="Compact"/>
              <w:jc w:val="left"/>
            </w:pPr>
            <w:r>
              <w:t xml:space="preserve">Forex</w:t>
            </w:r>
          </w:p>
        </w:tc>
        <w:tc>
          <w:tcPr/>
          <w:p>
            <w:pPr>
              <w:pStyle w:val="Compact"/>
              <w:jc w:val="center"/>
            </w:pPr>
            <w:r>
              <w:t xml:space="preserve">L100</w:t>
            </w:r>
          </w:p>
        </w:tc>
        <w:tc>
          <w:tcPr/>
          <w:p>
            <w:pPr>
              <w:pStyle w:val="Compact"/>
              <w:jc w:val="center"/>
            </w:pPr>
            <w:r>
              <w:t xml:space="preserve">2.5</w:t>
            </w:r>
          </w:p>
        </w:tc>
        <w:tc>
          <w:tcPr/>
          <w:p>
            <w:pPr>
              <w:pStyle w:val="Compact"/>
              <w:jc w:val="center"/>
            </w:pPr>
            <w:r>
              <w:t xml:space="preserve">0.03</w:t>
            </w:r>
          </w:p>
        </w:tc>
        <w:tc>
          <w:tcPr/>
          <w:p>
            <w:pPr>
              <w:pStyle w:val="Compact"/>
              <w:jc w:val="center"/>
            </w:pPr>
            <w:r>
              <w:t xml:space="preserve">-2.488</w:t>
            </w:r>
          </w:p>
        </w:tc>
        <w:tc>
          <w:tcPr/>
          <w:p>
            <w:pPr>
              <w:pStyle w:val="Compact"/>
              <w:jc w:val="center"/>
            </w:pPr>
            <w:r>
              <w:t xml:space="preserve">100</w:t>
            </w:r>
          </w:p>
        </w:tc>
        <w:tc>
          <w:tcPr/>
          <w:p>
            <w:pPr>
              <w:pStyle w:val="Compact"/>
              <w:jc w:val="center"/>
            </w:pPr>
            <w:r>
              <w:rPr>
                <w:bCs/>
                <w:b/>
              </w:rPr>
              <w:t xml:space="preserve">FAIL</w:t>
            </w:r>
          </w:p>
        </w:tc>
        <w:tc>
          <w:tcPr/>
          <w:p>
            <w:pPr>
              <w:pStyle w:val="Compact"/>
              <w:jc w:val="left"/>
            </w:pPr>
            <w:r>
              <w:t xml:space="preserve">Recovery after bug fixes [^12^]</w:t>
            </w:r>
          </w:p>
        </w:tc>
      </w:tr>
      <w:tr>
        <w:tc>
          <w:tcPr/>
          <w:p>
            <w:pPr>
              <w:pStyle w:val="Compact"/>
              <w:jc w:val="left"/>
            </w:pPr>
            <w:r>
              <w:t xml:space="preserve">Futures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2</w:t>
            </w:r>
          </w:p>
        </w:tc>
        <w:tc>
          <w:tcPr/>
          <w:p>
            <w:pPr>
              <w:pStyle w:val="Compact"/>
              <w:jc w:val="center"/>
            </w:pPr>
            <w:r>
              <w:rPr>
                <w:bCs/>
                <w:b/>
              </w:rPr>
              <w:t xml:space="preserve">Inconclusive</w:t>
            </w:r>
          </w:p>
        </w:tc>
        <w:tc>
          <w:tcPr/>
          <w:p>
            <w:pPr>
              <w:pStyle w:val="Compact"/>
              <w:jc w:val="left"/>
            </w:pPr>
            <w:r>
              <w:t xml:space="preserve">Accumulation mode [^24^]</w:t>
            </w:r>
          </w:p>
        </w:tc>
      </w:tr>
    </w:tbl>
    <w:p>
      <w:pPr>
        <w:pStyle w:val="BodyText"/>
      </w:pPr>
      <w:r>
        <w:t xml:space="preserve">The binary partition is stark: five asset classes with demonstrable positive edge versus four that destroy value. The equity sleeve’s signal-maturity effect — WR improving from 50% to 59% as sample grows from L20 to L100 — is the hallmark of authentic edge</w:t>
      </w:r>
      <w:r>
        <w:rPr>
          <w:rStyle w:val="FootnoteReference"/>
        </w:rPr>
        <w:footnoteReference w:id="33"/>
      </w:r>
      <w:r>
        <w:t xml:space="preserve">. Forex’s 0% WR was a</w:t>
      </w:r>
      <w:r>
        <w:t xml:space="preserve"> </w:t>
      </w:r>
      <w:r>
        <w:rPr>
          <w:bCs/>
          <w:b/>
        </w:rPr>
        <w:t xml:space="preserve">measurement artifact</w:t>
      </w:r>
      <w:r>
        <w:t xml:space="preserve"> </w:t>
      </w:r>
      <w:r>
        <w:t xml:space="preserve">produced by an infinite retry loop; the true WR is 48.7% with PF 3.59 (</w:t>
      </w:r>
      <m:oMath>
        <m:r>
          <m:t>p</m:t>
        </m:r>
        <m:r>
          <m:rPr>
            <m:sty m:val="p"/>
          </m:rPr>
          <m:t>=</m:t>
        </m:r>
        <m:r>
          <m:t>9.1</m:t>
        </m:r>
        <m:r>
          <m:rPr>
            <m:sty m:val="p"/>
          </m:rPr>
          <m:t>×</m:t>
        </m:r>
        <m:sSup>
          <m:e>
            <m:r>
              <m:t>10</m:t>
            </m:r>
          </m:e>
          <m:sup>
            <m:r>
              <m:rPr>
                <m:sty m:val="p"/>
              </m:rPr>
              <m:t>−</m:t>
            </m:r>
            <m:r>
              <m:t>37</m:t>
            </m:r>
          </m:sup>
        </m:sSup>
      </m:oMath>
      <w:r>
        <w:t xml:space="preserve">)</w:t>
      </w:r>
      <w:r>
        <w:rPr>
          <w:rStyle w:val="FootnoteReference"/>
        </w:rPr>
        <w:footnoteReference w:id="34"/>
      </w:r>
      <w:r>
        <w:t xml:space="preserve">. Crypto C-Tier is genuinely toxic — no window or conditional filter has produced positive returns, and suspension yields a projected</w:t>
      </w:r>
      <w:r>
        <w:t xml:space="preserve"> </w:t>
      </w:r>
      <w:r>
        <w:rPr>
          <w:bCs/>
          <w:b/>
        </w:rPr>
        <w:t xml:space="preserve">+91.11% improvement</w:t>
      </w:r>
      <w:r>
        <w:t xml:space="preserve">[^29^].</w:t>
      </w:r>
    </w:p>
    <w:bookmarkEnd w:id="35"/>
    <w:bookmarkStart w:id="53" w:name="critical-issues-found"/>
    <w:p>
      <w:pPr>
        <w:pStyle w:val="Heading3"/>
      </w:pPr>
      <w:r>
        <w:t xml:space="preserve">Critical Issues Found</w:t>
      </w:r>
    </w:p>
    <w:p>
      <w:pPr>
        <w:pStyle w:val="FirstParagraph"/>
      </w:pPr>
      <w:r>
        <w:rPr>
          <w:bCs/>
          <w:b/>
        </w:rPr>
        <w:t xml:space="preserve">Gate misconfiguration</w:t>
      </w:r>
      <w:r>
        <w:t xml:space="preserve"> </w:t>
      </w:r>
      <w:r>
        <w:t xml:space="preserve">is the single largest source of destroyed alpha. Analysis of 500 shadow-blocked picks reveals that QUALITY_GATE (</w:t>
      </w:r>
      <w:r>
        <w:rPr>
          <w:rStyle w:val="VerbatimChar"/>
        </w:rPr>
        <w:t xml:space="preserve">elite_score &lt; 30</w:t>
      </w:r>
      <w:r>
        <w:t xml:space="preserve">) blocked 420 picks (84% of all blocks) with</w:t>
      </w:r>
      <w:r>
        <w:t xml:space="preserve"> </w:t>
      </w:r>
      <w:r>
        <w:rPr>
          <w:bCs/>
          <w:b/>
        </w:rPr>
        <w:t xml:space="preserve">44.1% accuracy</w:t>
      </w:r>
      <w:r>
        <w:t xml:space="preserve"> </w:t>
      </w:r>
      <w:r>
        <w:t xml:space="preserve">— worse than a coin flip</w:t>
      </w:r>
      <w:r>
        <w:rPr>
          <w:rStyle w:val="FootnoteReference"/>
        </w:rPr>
        <w:footnoteReference w:id="36"/>
      </w:r>
      <w:r>
        <w:t xml:space="preserve">. The WINNER_FILTER achieved</w:t>
      </w:r>
      <w:r>
        <w:t xml:space="preserve"> </w:t>
      </w:r>
      <w:r>
        <w:rPr>
          <w:bCs/>
          <w:b/>
        </w:rPr>
        <w:t xml:space="preserve">0% accuracy</w:t>
      </w:r>
      <w:r>
        <w:t xml:space="preserve"> </w:t>
      </w:r>
      <w:r>
        <w:t xml:space="preserve">— every blocked pick was a winner</w:t>
      </w:r>
      <w:r>
        <w:rPr>
          <w:rStyle w:val="FootnoteReference"/>
        </w:rPr>
        <w:footnoteReference w:id="37"/>
      </w:r>
      <w:r>
        <w:t xml:space="preserve">. This is particularly destructive because the confidence 0.85–0.90 zone records an</w:t>
      </w:r>
      <w:r>
        <w:t xml:space="preserve"> </w:t>
      </w:r>
      <w:r>
        <w:rPr>
          <w:bCs/>
          <w:b/>
        </w:rPr>
        <w:t xml:space="preserve">82% WR and PF 11.8</w:t>
      </w:r>
      <w:r>
        <w:t xml:space="preserve">[^42^]. Aggregate killed alpha totals</w:t>
      </w:r>
      <w:r>
        <w:t xml:space="preserve"> </w:t>
      </w:r>
      <w:r>
        <w:rPr>
          <w:bCs/>
          <w:b/>
        </w:rPr>
        <w:t xml:space="preserve">+$969.50%</w:t>
      </w:r>
      <w:r>
        <w:t xml:space="preserve"> </w:t>
      </w:r>
      <w:r>
        <w:t xml:space="preserve">in foregone PnL against</w:t>
      </w:r>
      <w:r>
        <w:t xml:space="preserve"> </w:t>
      </w:r>
      <w:r>
        <w:rPr>
          <w:bCs/>
          <w:b/>
        </w:rPr>
        <w:t xml:space="preserve">-$995.66%</w:t>
      </w:r>
      <w:r>
        <w:t xml:space="preserve"> </w:t>
      </w:r>
      <w:r>
        <w:t xml:space="preserve">in losses prevented</w:t>
      </w:r>
      <w:r>
        <w:rPr>
          <w:rStyle w:val="FootnoteReference"/>
        </w:rPr>
        <w:footnoteReference w:id="38"/>
      </w:r>
      <w:r>
        <w:t xml:space="preserve">. The 141 KILLED_ALPHA picks versus 112 SAVED picks translate to</w:t>
      </w:r>
      <w:r>
        <w:t xml:space="preserve"> </w:t>
      </w:r>
      <w:r>
        <w:rPr>
          <w:bCs/>
          <w:b/>
        </w:rPr>
        <w:t xml:space="preserve">$19,390 left on the table</w:t>
      </w:r>
      <w:r>
        <w:rPr>
          <w:rStyle w:val="FootnoteReference"/>
        </w:rPr>
        <w:footnoteReference w:id="39"/>
      </w:r>
      <w:r>
        <w:t xml:space="preserve">.</w:t>
      </w:r>
    </w:p>
    <w:p>
      <w:pPr>
        <w:pStyle w:val="BodyText"/>
      </w:pPr>
      <w:r>
        <w:rPr>
          <w:bCs/>
          <w:b/>
        </w:rPr>
        <w:t xml:space="preserve">Data pipeline integrity failures</w:t>
      </w:r>
      <w:r>
        <w:t xml:space="preserve"> </w:t>
      </w:r>
      <w:r>
        <w:t xml:space="preserve">compound the gate problems. A QA audit identified</w:t>
      </w:r>
      <w:r>
        <w:t xml:space="preserve"> </w:t>
      </w:r>
      <w:r>
        <w:rPr>
          <w:bCs/>
          <w:b/>
        </w:rPr>
        <w:t xml:space="preserve">37 distinct issues</w:t>
      </w:r>
      <w:r>
        <w:t xml:space="preserve">: 8 Critical, 12 High, 10 Medium, and 7 Low</w:t>
      </w:r>
      <w:r>
        <w:rPr>
          <w:rStyle w:val="FootnoteReference"/>
        </w:rPr>
        <w:footnoteReference w:id="40"/>
      </w:r>
      <w:r>
        <w:t xml:space="preserve">.</w:t>
      </w:r>
      <w:r>
        <w:t xml:space="preserve"> </w:t>
      </w:r>
      <w:r>
        <w:rPr>
          <w:rStyle w:val="VerbatimChar"/>
        </w:rPr>
        <w:t xml:space="preserve">forward_wr</w:t>
      </w:r>
      <w:r>
        <w:t xml:space="preserve"> </w:t>
      </w:r>
      <w:r>
        <w:t xml:space="preserve">is</w:t>
      </w:r>
      <w:r>
        <w:t xml:space="preserve"> </w:t>
      </w:r>
      <w:r>
        <w:rPr>
          <w:bCs/>
          <w:b/>
        </w:rPr>
        <w:t xml:space="preserve">never produced</w:t>
      </w:r>
      <w:r>
        <w:t xml:space="preserve"> </w:t>
      </w:r>
      <w:r>
        <w:t xml:space="preserve">by the resolver (zero references), rendering forward-data gates inoperative</w:t>
      </w:r>
      <w:r>
        <w:rPr>
          <w:rStyle w:val="FootnoteReference"/>
        </w:rPr>
        <w:footnoteReference w:id="41"/>
      </w:r>
      <w:r>
        <w:t xml:space="preserve">.</w:t>
      </w:r>
      <w:r>
        <w:t xml:space="preserve"> </w:t>
      </w:r>
      <w:r>
        <w:rPr>
          <w:bCs/>
          <w:b/>
        </w:rPr>
        <w:t xml:space="preserve">31.8% of shadow picks</w:t>
      </w:r>
      <w:r>
        <w:t xml:space="preserve"> </w:t>
      </w:r>
      <w:r>
        <w:t xml:space="preserve">never resolve to a terminal state</w:t>
      </w:r>
      <w:r>
        <w:rPr>
          <w:rStyle w:val="FootnoteReference"/>
        </w:rPr>
        <w:footnoteReference w:id="42"/>
      </w:r>
      <w:r>
        <w:t xml:space="preserve">;</w:t>
      </w:r>
      <w:r>
        <w:t xml:space="preserve"> </w:t>
      </w:r>
      <w:r>
        <w:rPr>
          <w:bCs/>
          <w:b/>
        </w:rPr>
        <w:t xml:space="preserve">82 floating-point precision errors</w:t>
      </w:r>
      <w:r>
        <w:t xml:space="preserve"> </w:t>
      </w:r>
      <w:r>
        <w:t xml:space="preserve">contaminate</w:t>
      </w:r>
      <w:r>
        <w:t xml:space="preserve"> </w:t>
      </w:r>
      <w:r>
        <w:rPr>
          <w:rStyle w:val="VerbatimChar"/>
        </w:rPr>
        <w:t xml:space="preserve">elite_score</w:t>
      </w:r>
      <w:r>
        <w:t xml:space="preserve"> </w:t>
      </w:r>
      <w:r>
        <w:t xml:space="preserve">values</w:t>
      </w:r>
      <w:r>
        <w:rPr>
          <w:rStyle w:val="FootnoteReference"/>
        </w:rPr>
        <w:footnoteReference w:id="43"/>
      </w:r>
      <w:r>
        <w:t xml:space="preserve">. The TRK% vs FWD WR% granularity mis-attribution masks a</w:t>
      </w:r>
      <w:r>
        <w:t xml:space="preserve"> </w:t>
      </w:r>
      <w:r>
        <w:rPr>
          <w:bCs/>
          <w:b/>
        </w:rPr>
        <w:t xml:space="preserve">26 percentage point WR difference</w:t>
      </w:r>
      <w:r>
        <w:t xml:space="preserve"> </w:t>
      </w:r>
      <w:r>
        <w:t xml:space="preserve">between LONG (54.9%, PF 3.14) and BUY (28.9%, PF 0.38) directions</w:t>
      </w:r>
      <w:r>
        <w:rPr>
          <w:rStyle w:val="FootnoteReference"/>
        </w:rPr>
        <w:footnoteReference w:id="44"/>
      </w:r>
      <w:r>
        <w:t xml:space="preserve">.</w:t>
      </w:r>
    </w:p>
    <w:p>
      <w:pPr>
        <w:pStyle w:val="BodyText"/>
      </w:pPr>
      <w:r>
        <w:rPr>
          <w:bCs/>
          <w:b/>
        </w:rPr>
        <w:t xml:space="preserve">Table 2: Top 10 Priority Actions — Ranked by Impact × Urgency</w:t>
      </w:r>
    </w:p>
    <w:tbl>
      <w:tblPr>
        <w:tblStyle w:val="Table"/>
        <w:tblW w:type="pct" w:w="5000"/>
        <w:tblLook w:firstRow="1" w:lastRow="0" w:firstColumn="0" w:lastColumn="0" w:noHBand="0" w:noVBand="0" w:val="0020"/>
      </w:tblPr>
      <w:tblGrid>
        <w:gridCol w:w="1885"/>
        <w:gridCol w:w="1131"/>
        <w:gridCol w:w="1131"/>
        <w:gridCol w:w="1131"/>
        <w:gridCol w:w="1508"/>
        <w:gridCol w:w="1131"/>
      </w:tblGrid>
      <w:tr>
        <w:trPr>
          <w:tblHeader w:val="true"/>
        </w:trPr>
        <w:tc>
          <w:tcPr/>
          <w:p>
            <w:pPr>
              <w:pStyle w:val="Compact"/>
              <w:jc w:val="center"/>
            </w:pPr>
            <w:r>
              <w:t xml:space="preserve">Rank</w:t>
            </w:r>
          </w:p>
        </w:tc>
        <w:tc>
          <w:tcPr/>
          <w:p>
            <w:pPr>
              <w:pStyle w:val="Compact"/>
              <w:jc w:val="left"/>
            </w:pPr>
            <w:r>
              <w:t xml:space="preserve">Action</w:t>
            </w:r>
          </w:p>
        </w:tc>
        <w:tc>
          <w:tcPr/>
          <w:p>
            <w:pPr>
              <w:pStyle w:val="Compact"/>
              <w:jc w:val="left"/>
            </w:pPr>
            <w:r>
              <w:t xml:space="preserve">Evidence</w:t>
            </w:r>
          </w:p>
        </w:tc>
        <w:tc>
          <w:tcPr/>
          <w:p>
            <w:pPr>
              <w:pStyle w:val="Compact"/>
              <w:jc w:val="left"/>
            </w:pPr>
            <w:r>
              <w:t xml:space="preserve">Est. PnL Lift</w:t>
            </w:r>
          </w:p>
        </w:tc>
        <w:tc>
          <w:tcPr/>
          <w:p>
            <w:pPr>
              <w:pStyle w:val="Compact"/>
              <w:jc w:val="right"/>
            </w:pPr>
            <w:r>
              <w:t xml:space="preserve">Effort</w:t>
            </w:r>
          </w:p>
        </w:tc>
        <w:tc>
          <w:tcPr/>
          <w:p>
            <w:pPr>
              <w:pStyle w:val="Compact"/>
              <w:jc w:val="left"/>
            </w:pPr>
            <w:r>
              <w:t xml:space="preserve">Timeline</w:t>
            </w:r>
          </w:p>
        </w:tc>
      </w:tr>
      <w:tr>
        <w:tc>
          <w:tcPr/>
          <w:p>
            <w:pPr>
              <w:pStyle w:val="Compact"/>
              <w:jc w:val="center"/>
            </w:pPr>
            <w:r>
              <w:t xml:space="preserve">1</w:t>
            </w:r>
          </w:p>
        </w:tc>
        <w:tc>
          <w:tcPr/>
          <w:p>
            <w:pPr>
              <w:pStyle w:val="Compact"/>
              <w:jc w:val="left"/>
            </w:pPr>
            <w:r>
              <w:rPr>
                <w:bCs/>
                <w:b/>
              </w:rPr>
              <w:t xml:space="preserve">Abolish WINNER_FILTER</w:t>
            </w:r>
          </w:p>
        </w:tc>
        <w:tc>
          <w:tcPr/>
          <w:p>
            <w:pPr>
              <w:pStyle w:val="Compact"/>
              <w:jc w:val="left"/>
            </w:pPr>
            <w:r>
              <w:t xml:space="preserve">0% accuracy; blocks 82% WR zone</w:t>
            </w:r>
            <w:r>
              <w:t xml:space="preserve"> </w:t>
            </w:r>
            <w:r>
              <w:rPr>
                <w:rStyle w:val="FootnoteReference"/>
              </w:rPr>
              <w:footnoteReference w:id="45"/>
            </w:r>
          </w:p>
        </w:tc>
        <w:tc>
          <w:tcPr/>
          <w:p>
            <w:pPr>
              <w:pStyle w:val="Compact"/>
              <w:jc w:val="left"/>
            </w:pPr>
            <w:r>
              <w:t xml:space="preserve">+$588/mo</w:t>
            </w:r>
          </w:p>
        </w:tc>
        <w:tc>
          <w:tcPr/>
          <w:p>
            <w:pPr>
              <w:pStyle w:val="Compact"/>
              <w:jc w:val="right"/>
            </w:pPr>
            <w:r>
              <w:t xml:space="preserve">15 min</w:t>
            </w:r>
          </w:p>
        </w:tc>
        <w:tc>
          <w:tcPr/>
          <w:p>
            <w:pPr>
              <w:pStyle w:val="Compact"/>
              <w:jc w:val="left"/>
            </w:pPr>
            <w:r>
              <w:t xml:space="preserve">Immediate</w:t>
            </w:r>
          </w:p>
        </w:tc>
      </w:tr>
      <w:tr>
        <w:tc>
          <w:tcPr/>
          <w:p>
            <w:pPr>
              <w:pStyle w:val="Compact"/>
              <w:jc w:val="center"/>
            </w:pPr>
            <w:r>
              <w:t xml:space="preserve">2</w:t>
            </w:r>
          </w:p>
        </w:tc>
        <w:tc>
          <w:tcPr/>
          <w:p>
            <w:pPr>
              <w:pStyle w:val="Compact"/>
              <w:jc w:val="left"/>
            </w:pPr>
            <w:r>
              <w:rPr>
                <w:bCs/>
                <w:b/>
              </w:rPr>
              <w:t xml:space="preserve">Suspend Crypto C-Tier</w:t>
            </w:r>
          </w:p>
        </w:tc>
        <w:tc>
          <w:tcPr/>
          <w:p>
            <w:pPr>
              <w:pStyle w:val="Compact"/>
              <w:jc w:val="left"/>
            </w:pPr>
            <w:r>
              <w:t xml:space="preserve">PF 0.36; -46.59% realized PnL [^24^]</w:t>
            </w:r>
          </w:p>
        </w:tc>
        <w:tc>
          <w:tcPr/>
          <w:p>
            <w:pPr>
              <w:pStyle w:val="Compact"/>
              <w:jc w:val="left"/>
            </w:pPr>
            <w:r>
              <w:t xml:space="preserve">+91.11%</w:t>
            </w:r>
          </w:p>
        </w:tc>
        <w:tc>
          <w:tcPr/>
          <w:p>
            <w:pPr>
              <w:pStyle w:val="Compact"/>
              <w:jc w:val="right"/>
            </w:pPr>
            <w:r>
              <w:t xml:space="preserve">1 hour</w:t>
            </w:r>
          </w:p>
        </w:tc>
        <w:tc>
          <w:tcPr/>
          <w:p>
            <w:pPr>
              <w:pStyle w:val="Compact"/>
              <w:jc w:val="left"/>
            </w:pPr>
            <w:r>
              <w:t xml:space="preserve">Immediate</w:t>
            </w:r>
          </w:p>
        </w:tc>
      </w:tr>
      <w:tr>
        <w:tc>
          <w:tcPr/>
          <w:p>
            <w:pPr>
              <w:pStyle w:val="Compact"/>
              <w:jc w:val="center"/>
            </w:pPr>
            <w:r>
              <w:t xml:space="preserve">3</w:t>
            </w:r>
          </w:p>
        </w:tc>
        <w:tc>
          <w:tcPr/>
          <w:p>
            <w:pPr>
              <w:pStyle w:val="Compact"/>
              <w:jc w:val="left"/>
            </w:pPr>
            <w:r>
              <w:rPr>
                <w:bCs/>
                <w:b/>
              </w:rPr>
              <w:t xml:space="preserve">Replace elite_score with ml_score</w:t>
            </w:r>
          </w:p>
        </w:tc>
        <w:tc>
          <w:tcPr/>
          <w:p>
            <w:pPr>
              <w:pStyle w:val="Compact"/>
              <w:jc w:val="left"/>
            </w:pPr>
            <w:r>
              <w:t xml:space="preserve">-0.17 correlation; ml_score AUC 0.578</w:t>
            </w:r>
            <w:r>
              <w:t xml:space="preserve"> </w:t>
            </w:r>
            <w:r>
              <w:rPr>
                <w:rStyle w:val="FootnoteReference"/>
              </w:rPr>
              <w:footnoteReference w:id="46"/>
            </w:r>
          </w:p>
        </w:tc>
        <w:tc>
          <w:tcPr/>
          <w:p>
            <w:pPr>
              <w:pStyle w:val="Compact"/>
              <w:jc w:val="left"/>
            </w:pPr>
            <w:r>
              <w:t xml:space="preserve">+$375–$1,200/mo</w:t>
            </w:r>
          </w:p>
        </w:tc>
        <w:tc>
          <w:tcPr/>
          <w:p>
            <w:pPr>
              <w:pStyle w:val="Compact"/>
              <w:jc w:val="right"/>
            </w:pPr>
            <w:r>
              <w:t xml:space="preserve">2 hours</w:t>
            </w:r>
          </w:p>
        </w:tc>
        <w:tc>
          <w:tcPr/>
          <w:p>
            <w:pPr>
              <w:pStyle w:val="Compact"/>
              <w:jc w:val="left"/>
            </w:pPr>
            <w:r>
              <w:t xml:space="preserve">Week 1</w:t>
            </w:r>
          </w:p>
        </w:tc>
      </w:tr>
      <w:tr>
        <w:tc>
          <w:tcPr/>
          <w:p>
            <w:pPr>
              <w:pStyle w:val="Compact"/>
              <w:jc w:val="center"/>
            </w:pPr>
            <w:r>
              <w:t xml:space="preserve">4</w:t>
            </w:r>
          </w:p>
        </w:tc>
        <w:tc>
          <w:tcPr/>
          <w:p>
            <w:pPr>
              <w:pStyle w:val="Compact"/>
              <w:jc w:val="left"/>
            </w:pPr>
            <w:r>
              <w:rPr>
                <w:bCs/>
                <w:b/>
              </w:rPr>
              <w:t xml:space="preserve">Lower R:R floor 1.5→1.25</w:t>
            </w:r>
          </w:p>
        </w:tc>
        <w:tc>
          <w:tcPr/>
          <w:p>
            <w:pPr>
              <w:pStyle w:val="Compact"/>
              <w:jc w:val="left"/>
            </w:pPr>
            <w:r>
              <w:t xml:space="preserve">R:R 1.25–1.5: 51.2% WR, +46.87% PnL</w:t>
            </w:r>
            <w:r>
              <w:t xml:space="preserve"> </w:t>
            </w:r>
            <w:r>
              <w:rPr>
                <w:rStyle w:val="FootnoteReference"/>
              </w:rPr>
              <w:footnoteReference w:id="47"/>
            </w:r>
          </w:p>
        </w:tc>
        <w:tc>
          <w:tcPr/>
          <w:p>
            <w:pPr>
              <w:pStyle w:val="Compact"/>
              <w:jc w:val="left"/>
            </w:pPr>
            <w:r>
              <w:t xml:space="preserve">+$937/mo</w:t>
            </w:r>
          </w:p>
        </w:tc>
        <w:tc>
          <w:tcPr/>
          <w:p>
            <w:pPr>
              <w:pStyle w:val="Compact"/>
              <w:jc w:val="right"/>
            </w:pPr>
            <w:r>
              <w:t xml:space="preserve">30 min</w:t>
            </w:r>
          </w:p>
        </w:tc>
        <w:tc>
          <w:tcPr/>
          <w:p>
            <w:pPr>
              <w:pStyle w:val="Compact"/>
              <w:jc w:val="left"/>
            </w:pPr>
            <w:r>
              <w:t xml:space="preserve">Week 1</w:t>
            </w:r>
          </w:p>
        </w:tc>
      </w:tr>
      <w:tr>
        <w:tc>
          <w:tcPr/>
          <w:p>
            <w:pPr>
              <w:pStyle w:val="Compact"/>
              <w:jc w:val="center"/>
            </w:pPr>
            <w:r>
              <w:t xml:space="preserve">5</w:t>
            </w:r>
          </w:p>
        </w:tc>
        <w:tc>
          <w:tcPr/>
          <w:p>
            <w:pPr>
              <w:pStyle w:val="Compact"/>
              <w:jc w:val="left"/>
            </w:pPr>
            <w:r>
              <w:rPr>
                <w:bCs/>
                <w:b/>
              </w:rPr>
              <w:t xml:space="preserve">Unblock confidence 0.85–0.90</w:t>
            </w:r>
          </w:p>
        </w:tc>
        <w:tc>
          <w:tcPr/>
          <w:p>
            <w:pPr>
              <w:pStyle w:val="Compact"/>
              <w:jc w:val="left"/>
            </w:pPr>
            <w:r>
              <w:t xml:space="preserve">82% WR, PF 11.8 in blocked zone [^42^]</w:t>
            </w:r>
          </w:p>
        </w:tc>
        <w:tc>
          <w:tcPr/>
          <w:p>
            <w:pPr>
              <w:pStyle w:val="Compact"/>
              <w:jc w:val="left"/>
            </w:pPr>
            <w:r>
              <w:t xml:space="preserve">+25–35%</w:t>
            </w:r>
          </w:p>
        </w:tc>
        <w:tc>
          <w:tcPr/>
          <w:p>
            <w:pPr>
              <w:pStyle w:val="Compact"/>
              <w:jc w:val="right"/>
            </w:pPr>
            <w:r>
              <w:t xml:space="preserve">30 min</w:t>
            </w:r>
          </w:p>
        </w:tc>
        <w:tc>
          <w:tcPr/>
          <w:p>
            <w:pPr>
              <w:pStyle w:val="Compact"/>
              <w:jc w:val="left"/>
            </w:pPr>
            <w:r>
              <w:t xml:space="preserve">Immediate</w:t>
            </w:r>
          </w:p>
        </w:tc>
      </w:tr>
      <w:tr>
        <w:tc>
          <w:tcPr/>
          <w:p>
            <w:pPr>
              <w:pStyle w:val="Compact"/>
              <w:jc w:val="center"/>
            </w:pPr>
            <w:r>
              <w:t xml:space="preserve">6</w:t>
            </w:r>
          </w:p>
        </w:tc>
        <w:tc>
          <w:tcPr/>
          <w:p>
            <w:pPr>
              <w:pStyle w:val="Compact"/>
              <w:jc w:val="left"/>
            </w:pPr>
            <w:r>
              <w:rPr>
                <w:bCs/>
                <w:b/>
              </w:rPr>
              <w:t xml:space="preserve">Fix forward_wr pipeline</w:t>
            </w:r>
          </w:p>
        </w:tc>
        <w:tc>
          <w:tcPr/>
          <w:p>
            <w:pPr>
              <w:pStyle w:val="Compact"/>
              <w:jc w:val="left"/>
            </w:pPr>
            <w:r>
              <w:t xml:space="preserve">Never produced; gates read zero</w:t>
            </w:r>
            <w:r>
              <w:t xml:space="preserve"> </w:t>
            </w:r>
            <w:r>
              <w:rPr>
                <w:rStyle w:val="FootnoteReference"/>
              </w:rPr>
              <w:footnoteReference w:id="48"/>
            </w:r>
          </w:p>
        </w:tc>
        <w:tc>
          <w:tcPr/>
          <w:p>
            <w:pPr>
              <w:pStyle w:val="Compact"/>
              <w:jc w:val="left"/>
            </w:pPr>
            <w:r>
              <w:t xml:space="preserve">+15–20%</w:t>
            </w:r>
          </w:p>
        </w:tc>
        <w:tc>
          <w:tcPr/>
          <w:p>
            <w:pPr>
              <w:pStyle w:val="Compact"/>
              <w:jc w:val="right"/>
            </w:pPr>
            <w:r>
              <w:t xml:space="preserve">8 hours</w:t>
            </w:r>
          </w:p>
        </w:tc>
        <w:tc>
          <w:tcPr/>
          <w:p>
            <w:pPr>
              <w:pStyle w:val="Compact"/>
              <w:jc w:val="left"/>
            </w:pPr>
            <w:r>
              <w:t xml:space="preserve">Week 1–2</w:t>
            </w:r>
          </w:p>
        </w:tc>
      </w:tr>
      <w:tr>
        <w:tc>
          <w:tcPr/>
          <w:p>
            <w:pPr>
              <w:pStyle w:val="Compact"/>
              <w:jc w:val="center"/>
            </w:pPr>
            <w:r>
              <w:t xml:space="preserve">7</w:t>
            </w:r>
          </w:p>
        </w:tc>
        <w:tc>
          <w:tcPr/>
          <w:p>
            <w:pPr>
              <w:pStyle w:val="Compact"/>
              <w:jc w:val="left"/>
            </w:pPr>
            <w:r>
              <w:rPr>
                <w:bCs/>
                <w:b/>
              </w:rPr>
              <w:t xml:space="preserve">Force FLAT closure at max retries</w:t>
            </w:r>
          </w:p>
        </w:tc>
        <w:tc>
          <w:tcPr/>
          <w:p>
            <w:pPr>
              <w:pStyle w:val="Compact"/>
              <w:jc w:val="left"/>
            </w:pPr>
            <w:r>
              <w:t xml:space="preserve">31.8% ghost picks</w:t>
            </w:r>
            <w:r>
              <w:t xml:space="preserve"> </w:t>
            </w:r>
            <w:r>
              <w:rPr>
                <w:rStyle w:val="FootnoteReference"/>
              </w:rPr>
              <w:footnoteReference w:id="49"/>
            </w:r>
          </w:p>
        </w:tc>
        <w:tc>
          <w:tcPr/>
          <w:p>
            <w:pPr>
              <w:pStyle w:val="Compact"/>
              <w:jc w:val="left"/>
            </w:pPr>
            <w:r>
              <w:t xml:space="preserve">+5% accuracy</w:t>
            </w:r>
          </w:p>
        </w:tc>
        <w:tc>
          <w:tcPr/>
          <w:p>
            <w:pPr>
              <w:pStyle w:val="Compact"/>
              <w:jc w:val="right"/>
            </w:pPr>
            <w:r>
              <w:t xml:space="preserve">2 hours</w:t>
            </w:r>
          </w:p>
        </w:tc>
        <w:tc>
          <w:tcPr/>
          <w:p>
            <w:pPr>
              <w:pStyle w:val="Compact"/>
              <w:jc w:val="left"/>
            </w:pPr>
            <w:r>
              <w:t xml:space="preserve">Week 1</w:t>
            </w:r>
          </w:p>
        </w:tc>
      </w:tr>
      <w:tr>
        <w:tc>
          <w:tcPr/>
          <w:p>
            <w:pPr>
              <w:pStyle w:val="Compact"/>
              <w:jc w:val="center"/>
            </w:pPr>
            <w:r>
              <w:t xml:space="preserve">8</w:t>
            </w:r>
          </w:p>
        </w:tc>
        <w:tc>
          <w:tcPr/>
          <w:p>
            <w:pPr>
              <w:pStyle w:val="Compact"/>
              <w:jc w:val="left"/>
            </w:pPr>
            <w:r>
              <w:rPr>
                <w:bCs/>
                <w:b/>
              </w:rPr>
              <w:t xml:space="preserve">Lower bond elite_score floor 30→15</w:t>
            </w:r>
          </w:p>
        </w:tc>
        <w:tc>
          <w:tcPr/>
          <w:p>
            <w:pPr>
              <w:pStyle w:val="Compact"/>
              <w:jc w:val="left"/>
            </w:pPr>
            <w:r>
              <w:t xml:space="preserve">Blocks 3 picks/mo; PF 1.72 already [^16^]</w:t>
            </w:r>
          </w:p>
        </w:tc>
        <w:tc>
          <w:tcPr/>
          <w:p>
            <w:pPr>
              <w:pStyle w:val="Compact"/>
              <w:jc w:val="left"/>
            </w:pPr>
            <w:r>
              <w:t xml:space="preserve">+3–5 picks/mo</w:t>
            </w:r>
          </w:p>
        </w:tc>
        <w:tc>
          <w:tcPr/>
          <w:p>
            <w:pPr>
              <w:pStyle w:val="Compact"/>
              <w:jc w:val="right"/>
            </w:pPr>
            <w:r>
              <w:t xml:space="preserve">30 min</w:t>
            </w:r>
          </w:p>
        </w:tc>
        <w:tc>
          <w:tcPr/>
          <w:p>
            <w:pPr>
              <w:pStyle w:val="Compact"/>
              <w:jc w:val="left"/>
            </w:pPr>
            <w:r>
              <w:t xml:space="preserve">Week 1</w:t>
            </w:r>
          </w:p>
        </w:tc>
      </w:tr>
      <w:tr>
        <w:tc>
          <w:tcPr/>
          <w:p>
            <w:pPr>
              <w:pStyle w:val="Compact"/>
              <w:jc w:val="center"/>
            </w:pPr>
            <w:r>
              <w:t xml:space="preserve">9</w:t>
            </w:r>
          </w:p>
        </w:tc>
        <w:tc>
          <w:tcPr/>
          <w:p>
            <w:pPr>
              <w:pStyle w:val="Compact"/>
              <w:jc w:val="left"/>
            </w:pPr>
            <w:r>
              <w:rPr>
                <w:bCs/>
                <w:b/>
              </w:rPr>
              <w:t xml:space="preserve">Deploy G10 carry sleeve</w:t>
            </w:r>
          </w:p>
        </w:tc>
        <w:tc>
          <w:tcPr/>
          <w:p>
            <w:pPr>
              <w:pStyle w:val="Compact"/>
              <w:jc w:val="left"/>
            </w:pPr>
            <w:r>
              <w:t xml:space="preserve">True WR 48.7%, PF 3.59; spreads 4.00–4.75%</w:t>
            </w:r>
            <w:r>
              <w:t xml:space="preserve"> </w:t>
            </w:r>
            <w:r>
              <w:rPr>
                <w:rStyle w:val="FootnoteReference"/>
              </w:rPr>
              <w:footnoteReference w:id="50"/>
            </w:r>
          </w:p>
        </w:tc>
        <w:tc>
          <w:tcPr/>
          <w:p>
            <w:pPr>
              <w:pStyle w:val="Compact"/>
              <w:jc w:val="left"/>
            </w:pPr>
            <w:r>
              <w:t xml:space="preserve">+7.0R/week</w:t>
            </w:r>
          </w:p>
        </w:tc>
        <w:tc>
          <w:tcPr/>
          <w:p>
            <w:pPr>
              <w:pStyle w:val="Compact"/>
              <w:jc w:val="right"/>
            </w:pPr>
            <w:r>
              <w:t xml:space="preserve">4 hours</w:t>
            </w:r>
          </w:p>
        </w:tc>
        <w:tc>
          <w:tcPr/>
          <w:p>
            <w:pPr>
              <w:pStyle w:val="Compact"/>
              <w:jc w:val="left"/>
            </w:pPr>
            <w:r>
              <w:t xml:space="preserve">Week 2–3</w:t>
            </w:r>
          </w:p>
        </w:tc>
      </w:tr>
      <w:tr>
        <w:tc>
          <w:tcPr/>
          <w:p>
            <w:pPr>
              <w:pStyle w:val="Compact"/>
              <w:jc w:val="center"/>
            </w:pPr>
            <w:r>
              <w:t xml:space="preserve">10</w:t>
            </w:r>
          </w:p>
        </w:tc>
        <w:tc>
          <w:tcPr/>
          <w:p>
            <w:pPr>
              <w:pStyle w:val="Compact"/>
              <w:jc w:val="left"/>
            </w:pPr>
            <w:r>
              <w:rPr>
                <w:bCs/>
                <w:b/>
              </w:rPr>
              <w:t xml:space="preserve">Build track_calculator.py</w:t>
            </w:r>
          </w:p>
        </w:tc>
        <w:tc>
          <w:tcPr/>
          <w:p>
            <w:pPr>
              <w:pStyle w:val="Compact"/>
              <w:jc w:val="left"/>
            </w:pPr>
            <w:r>
              <w:t xml:space="preserve">Strategy-symbol-direction granularity</w:t>
            </w:r>
            <w:r>
              <w:t xml:space="preserve"> </w:t>
            </w:r>
            <w:r>
              <w:rPr>
                <w:rStyle w:val="FootnoteReference"/>
              </w:rPr>
              <w:footnoteReference w:id="51"/>
            </w:r>
          </w:p>
        </w:tc>
        <w:tc>
          <w:tcPr/>
          <w:p>
            <w:pPr>
              <w:pStyle w:val="Compact"/>
              <w:jc w:val="left"/>
            </w:pPr>
            <w:r>
              <w:t xml:space="preserve">+10% accuracy</w:t>
            </w:r>
          </w:p>
        </w:tc>
        <w:tc>
          <w:tcPr/>
          <w:p>
            <w:pPr>
              <w:pStyle w:val="Compact"/>
              <w:jc w:val="right"/>
            </w:pPr>
            <w:r>
              <w:t xml:space="preserve">16 hours</w:t>
            </w:r>
          </w:p>
        </w:tc>
        <w:tc>
          <w:tcPr/>
          <w:p>
            <w:pPr>
              <w:pStyle w:val="Compact"/>
              <w:jc w:val="left"/>
            </w:pPr>
            <w:r>
              <w:t xml:space="preserve">Week 2–4</w:t>
            </w:r>
          </w:p>
        </w:tc>
      </w:tr>
    </w:tbl>
    <w:p>
      <w:pPr>
        <w:pStyle w:val="BodyText"/>
      </w:pPr>
      <w:r>
        <w:t xml:space="preserve">Actions 1–5 constitute</w:t>
      </w:r>
      <w:r>
        <w:t xml:space="preserve"> </w:t>
      </w:r>
      <w:r>
        <w:t xml:space="preserve">“</w:t>
      </w:r>
      <w:r>
        <w:t xml:space="preserve">emergency triage</w:t>
      </w:r>
      <w:r>
        <w:t xml:space="preserve">”</w:t>
      </w:r>
      <w:r>
        <w:t xml:space="preserve"> </w:t>
      </w:r>
      <w:r>
        <w:t xml:space="preserve">— minutes to hours of engineering delivering hundreds of basis points in PnL recovery. Actions 6–10 address structural integrity requiring days to weeks. The combined conservative estimate from the verified subset is</w:t>
      </w:r>
      <w:r>
        <w:t xml:space="preserve"> </w:t>
      </w:r>
      <w:r>
        <w:rPr>
          <w:bCs/>
          <w:b/>
        </w:rPr>
        <w:t xml:space="preserve">+$1,901/month</w:t>
      </w:r>
      <w:r>
        <w:t xml:space="preserve"> </w:t>
      </w:r>
      <w:r>
        <w:t xml:space="preserve">extrapolated to</w:t>
      </w:r>
      <w:r>
        <w:t xml:space="preserve"> </w:t>
      </w:r>
      <w:r>
        <w:rPr>
          <w:bCs/>
          <w:b/>
        </w:rPr>
        <w:t xml:space="preserve">$3,800–$7,600 annually</w:t>
      </w:r>
      <w:r>
        <w:rPr>
          <w:rStyle w:val="FootnoteReference"/>
        </w:rPr>
        <w:footnoteReference w:id="52"/>
      </w:r>
      <w:r>
        <w:t xml:space="preserve">.</w:t>
      </w:r>
    </w:p>
    <w:bookmarkEnd w:id="53"/>
    <w:bookmarkStart w:id="55" w:name="enhancement-roadmap-overview"/>
    <w:p>
      <w:pPr>
        <w:pStyle w:val="Heading3"/>
      </w:pPr>
      <w:r>
        <w:t xml:space="preserve">Enhancement Roadmap Overview</w:t>
      </w:r>
    </w:p>
    <w:p>
      <w:pPr>
        <w:pStyle w:val="FirstParagraph"/>
      </w:pPr>
      <w:r>
        <w:rPr>
          <w:bCs/>
          <w:b/>
        </w:rPr>
        <w:t xml:space="preserve">Phase 0 (Weeks 1–2): Emergency Triage.</w:t>
      </w:r>
      <w:r>
        <w:t xml:space="preserve"> </w:t>
      </w:r>
      <w:r>
        <w:t xml:space="preserve">All ELIMINATE-tier assets receive zero new capital. WINNER_FILTER abolished as immediate hotfix.</w:t>
      </w:r>
      <w:r>
        <w:t xml:space="preserve"> </w:t>
      </w:r>
      <w:r>
        <w:rPr>
          <w:rStyle w:val="VerbatimChar"/>
        </w:rPr>
        <w:t xml:space="preserve">elite_score</w:t>
      </w:r>
      <w:r>
        <w:t xml:space="preserve"> </w:t>
      </w:r>
      <w:r>
        <w:t xml:space="preserve">replaced with</w:t>
      </w:r>
      <w:r>
        <w:t xml:space="preserve"> </w:t>
      </w:r>
      <w:r>
        <w:rPr>
          <w:rStyle w:val="VerbatimChar"/>
        </w:rPr>
        <w:t xml:space="preserve">ml_score ≥ 0.70</w:t>
      </w:r>
      <w:r>
        <w:t xml:space="preserve">. Crypto perp funding arbitrage enters paper trading. Kill-switch ladder (GREEN → YELLOW → AMBER → RED → BLACK) deployed[^12^].</w:t>
      </w:r>
    </w:p>
    <w:p>
      <w:pPr>
        <w:pStyle w:val="BodyText"/>
      </w:pPr>
      <w:r>
        <w:rPr>
          <w:bCs/>
          <w:b/>
        </w:rPr>
        <w:t xml:space="preserve">Phase 1 (Weeks 3–4): Gate Optimization.</w:t>
      </w:r>
      <w:r>
        <w:t xml:space="preserve"> </w:t>
      </w:r>
      <w:r>
        <w:t xml:space="preserve">Per-asset-class gate calibration: bond</w:t>
      </w:r>
      <w:r>
        <w:t xml:space="preserve"> </w:t>
      </w:r>
      <w:r>
        <w:rPr>
          <w:rStyle w:val="VerbatimChar"/>
        </w:rPr>
        <w:t xml:space="preserve">elite_score</w:t>
      </w:r>
      <w:r>
        <w:t xml:space="preserve"> </w:t>
      </w:r>
      <w:r>
        <w:t xml:space="preserve">floor lowered to 15, R:R floor to 1.25, confidence 0.85–0.90 unblocked. Forex recovery with nine deployed fixes</w:t>
      </w:r>
      <w:r>
        <w:rPr>
          <w:rStyle w:val="FootnoteReference"/>
        </w:rPr>
        <w:footnoteReference w:id="54"/>
      </w:r>
      <w:r>
        <w:t xml:space="preserve">. Track calculator built and integrated. Bond and futures enter accumulation mode.</w:t>
      </w:r>
    </w:p>
    <w:p>
      <w:pPr>
        <w:pStyle w:val="BodyText"/>
      </w:pPr>
      <w:r>
        <w:rPr>
          <w:bCs/>
          <w:b/>
        </w:rPr>
        <w:t xml:space="preserve">Phase 2 (Weeks 5–8): New Strategy Deployment.</w:t>
      </w:r>
      <w:r>
        <w:t xml:space="preserve"> </w:t>
      </w:r>
      <w:r>
        <w:t xml:space="preserve">Crypto perpetual futures (projected PF 5.0–8.0, Sharpe 2.5–3.5)[^13^], CEF NAV discount mean reversion (17.3% annual return, Sharpe 1.862)[^14^], and forex carry-plus-momentum hybrid graduate from shadow to live. The Golden Portfolio launches with six validated asset classes.</w:t>
      </w:r>
    </w:p>
    <w:p>
      <w:pPr>
        <w:pStyle w:val="BodyText"/>
      </w:pPr>
      <w:r>
        <w:rPr>
          <w:bCs/>
          <w:b/>
        </w:rPr>
        <w:t xml:space="preserve">Phase 3 (Weeks 9–12): Institutional Readiness.</w:t>
      </w:r>
      <w:r>
        <w:t xml:space="preserve"> </w:t>
      </w:r>
      <w:r>
        <w:t xml:space="preserve">Probabilistic Sharpe Ratio (PSR) and Deflated Sharpe Ratio (DSR) modules deployed. Hierarchical Risk Parity (HRP) allocator replaces static weights. Auto-demption activates for any asset below PF 1.2 for 10 consecutive days. Conditional Value-at-Risk (CVaR) confirmed below 5% at 95% confidence; Sortino ratio exceeds 3.0[^12^].</w:t>
      </w:r>
    </w:p>
    <w:bookmarkEnd w:id="55"/>
    <w:bookmarkStart w:id="57" w:name="quantified-expected-impact"/>
    <w:p>
      <w:pPr>
        <w:pStyle w:val="Heading3"/>
      </w:pPr>
      <w:r>
        <w:t xml:space="preserve">Quantified Expected Impact</w:t>
      </w:r>
    </w:p>
    <w:p>
      <w:pPr>
        <w:pStyle w:val="FirstParagraph"/>
      </w:pPr>
      <w:r>
        <w:rPr>
          <w:bCs/>
          <w:b/>
        </w:rPr>
        <w:t xml:space="preserve">Table 3: Expected Impact Summary — Conservative vs. Optimistic Scenarios</w:t>
      </w:r>
    </w:p>
    <w:tbl>
      <w:tblPr>
        <w:tblStyle w:val="Table"/>
        <w:tblW w:type="pct" w:w="5000"/>
        <w:tblLook w:firstRow="1" w:lastRow="0" w:firstColumn="0" w:lastColumn="0" w:noHBand="0" w:noVBand="0" w:val="0020"/>
      </w:tblPr>
      <w:tblGrid>
        <w:gridCol w:w="1377"/>
        <w:gridCol w:w="1721"/>
        <w:gridCol w:w="1721"/>
        <w:gridCol w:w="1721"/>
        <w:gridCol w:w="1377"/>
      </w:tblGrid>
      <w:tr>
        <w:trPr>
          <w:tblHeader w:val="true"/>
        </w:trPr>
        <w:tc>
          <w:tcPr/>
          <w:p>
            <w:pPr>
              <w:pStyle w:val="Compact"/>
              <w:jc w:val="left"/>
            </w:pPr>
            <w:r>
              <w:t xml:space="preserve">Metric</w:t>
            </w:r>
          </w:p>
        </w:tc>
        <w:tc>
          <w:tcPr/>
          <w:p>
            <w:pPr>
              <w:pStyle w:val="Compact"/>
              <w:jc w:val="center"/>
            </w:pPr>
            <w:r>
              <w:t xml:space="preserve">Current</w:t>
            </w:r>
          </w:p>
        </w:tc>
        <w:tc>
          <w:tcPr/>
          <w:p>
            <w:pPr>
              <w:pStyle w:val="Compact"/>
              <w:jc w:val="center"/>
            </w:pPr>
            <w:r>
              <w:t xml:space="preserve">Conservative (+35% P&amp;L)</w:t>
            </w:r>
          </w:p>
        </w:tc>
        <w:tc>
          <w:tcPr/>
          <w:p>
            <w:pPr>
              <w:pStyle w:val="Compact"/>
              <w:jc w:val="center"/>
            </w:pPr>
            <w:r>
              <w:t xml:space="preserve">Optimistic (+60% P&amp;L)</w:t>
            </w:r>
          </w:p>
        </w:tc>
        <w:tc>
          <w:tcPr/>
          <w:p>
            <w:pPr>
              <w:pStyle w:val="Compact"/>
              <w:jc w:val="left"/>
            </w:pPr>
            <w:r>
              <w:t xml:space="preserve">Change Driver</w:t>
            </w:r>
          </w:p>
        </w:tc>
      </w:tr>
      <w:tr>
        <w:tc>
          <w:tcPr/>
          <w:p>
            <w:pPr>
              <w:pStyle w:val="Compact"/>
              <w:jc w:val="left"/>
            </w:pPr>
            <w:r>
              <w:t xml:space="preserve">Portfolio Sharpe</w:t>
            </w:r>
          </w:p>
        </w:tc>
        <w:tc>
          <w:tcPr/>
          <w:p>
            <w:pPr>
              <w:pStyle w:val="Compact"/>
              <w:jc w:val="center"/>
            </w:pPr>
            <w:r>
              <w:t xml:space="preserve">2.83</w:t>
            </w:r>
          </w:p>
        </w:tc>
        <w:tc>
          <w:tcPr/>
          <w:p>
            <w:pPr>
              <w:pStyle w:val="Compact"/>
              <w:jc w:val="center"/>
            </w:pPr>
            <w:r>
              <w:t xml:space="preserve">2.00</w:t>
            </w:r>
          </w:p>
        </w:tc>
        <w:tc>
          <w:tcPr/>
          <w:p>
            <w:pPr>
              <w:pStyle w:val="Compact"/>
              <w:jc w:val="center"/>
            </w:pPr>
            <w:r>
              <w:rPr>
                <w:bCs/>
                <w:b/>
              </w:rPr>
              <w:t xml:space="preserve">4.20</w:t>
            </w:r>
          </w:p>
        </w:tc>
        <w:tc>
          <w:tcPr/>
          <w:p>
            <w:pPr>
              <w:pStyle w:val="Compact"/>
              <w:jc w:val="left"/>
            </w:pPr>
            <w:r>
              <w:t xml:space="preserve">Eliminate FAIL assets; Golden Portfolio [^12^]</w:t>
            </w:r>
          </w:p>
        </w:tc>
      </w:tr>
      <w:tr>
        <w:tc>
          <w:tcPr/>
          <w:p>
            <w:pPr>
              <w:pStyle w:val="Compact"/>
              <w:jc w:val="left"/>
            </w:pPr>
            <w:r>
              <w:t xml:space="preserve">Portfolio PF</w:t>
            </w:r>
          </w:p>
        </w:tc>
        <w:tc>
          <w:tcPr/>
          <w:p>
            <w:pPr>
              <w:pStyle w:val="Compact"/>
              <w:jc w:val="center"/>
            </w:pPr>
            <w:r>
              <w:t xml:space="preserve">3.99</w:t>
            </w:r>
          </w:p>
        </w:tc>
        <w:tc>
          <w:tcPr/>
          <w:p>
            <w:pPr>
              <w:pStyle w:val="Compact"/>
              <w:jc w:val="center"/>
            </w:pPr>
            <w:r>
              <w:t xml:space="preserve">2.50</w:t>
            </w:r>
          </w:p>
        </w:tc>
        <w:tc>
          <w:tcPr/>
          <w:p>
            <w:pPr>
              <w:pStyle w:val="Compact"/>
              <w:jc w:val="center"/>
            </w:pPr>
            <w:r>
              <w:rPr>
                <w:bCs/>
                <w:b/>
              </w:rPr>
              <w:t xml:space="preserve">7.35</w:t>
            </w:r>
          </w:p>
        </w:tc>
        <w:tc>
          <w:tcPr/>
          <w:p>
            <w:pPr>
              <w:pStyle w:val="Compact"/>
              <w:jc w:val="left"/>
            </w:pPr>
            <w:r>
              <w:t xml:space="preserve">S-Tier scaling + gate optimization [^12^]</w:t>
            </w:r>
          </w:p>
        </w:tc>
      </w:tr>
      <w:tr>
        <w:tc>
          <w:tcPr/>
          <w:p>
            <w:pPr>
              <w:pStyle w:val="Compact"/>
              <w:jc w:val="left"/>
            </w:pPr>
            <w:r>
              <w:t xml:space="preserve">Portfolio WR (%)</w:t>
            </w:r>
          </w:p>
        </w:tc>
        <w:tc>
          <w:tcPr/>
          <w:p>
            <w:pPr>
              <w:pStyle w:val="Compact"/>
              <w:jc w:val="center"/>
            </w:pPr>
            <w:r>
              <w:t xml:space="preserve">61.8</w:t>
            </w:r>
          </w:p>
        </w:tc>
        <w:tc>
          <w:tcPr/>
          <w:p>
            <w:pPr>
              <w:pStyle w:val="Compact"/>
              <w:jc w:val="center"/>
            </w:pPr>
            <w:r>
              <w:t xml:space="preserve">55.0</w:t>
            </w:r>
          </w:p>
        </w:tc>
        <w:tc>
          <w:tcPr/>
          <w:p>
            <w:pPr>
              <w:pStyle w:val="Compact"/>
              <w:jc w:val="center"/>
            </w:pPr>
            <w:r>
              <w:rPr>
                <w:bCs/>
                <w:b/>
              </w:rPr>
              <w:t xml:space="preserve">68.6</w:t>
            </w:r>
          </w:p>
        </w:tc>
        <w:tc>
          <w:tcPr/>
          <w:p>
            <w:pPr>
              <w:pStyle w:val="Compact"/>
              <w:jc w:val="left"/>
            </w:pPr>
            <w:r>
              <w:t xml:space="preserve">C-Tier elimination; sweet spot capture [^12^]</w:t>
            </w:r>
          </w:p>
        </w:tc>
      </w:tr>
      <w:tr>
        <w:tc>
          <w:tcPr/>
          <w:p>
            <w:pPr>
              <w:pStyle w:val="Compact"/>
              <w:jc w:val="left"/>
            </w:pPr>
            <w:r>
              <w:t xml:space="preserve">Est. MDD (%)</w:t>
            </w:r>
          </w:p>
        </w:tc>
        <w:tc>
          <w:tcPr/>
          <w:p>
            <w:pPr>
              <w:pStyle w:val="Compact"/>
              <w:jc w:val="center"/>
            </w:pPr>
            <w:r>
              <w:t xml:space="preserve">~25</w:t>
            </w:r>
          </w:p>
        </w:tc>
        <w:tc>
          <w:tcPr/>
          <w:p>
            <w:pPr>
              <w:pStyle w:val="Compact"/>
              <w:jc w:val="center"/>
            </w:pPr>
            <w:r>
              <w:t xml:space="preserve">~18</w:t>
            </w:r>
          </w:p>
        </w:tc>
        <w:tc>
          <w:tcPr/>
          <w:p>
            <w:pPr>
              <w:pStyle w:val="Compact"/>
              <w:jc w:val="center"/>
            </w:pPr>
            <w:r>
              <w:rPr>
                <w:bCs/>
                <w:b/>
              </w:rPr>
              <w:t xml:space="preserve">~12</w:t>
            </w:r>
          </w:p>
        </w:tc>
        <w:tc>
          <w:tcPr/>
          <w:p>
            <w:pPr>
              <w:pStyle w:val="Compact"/>
              <w:jc w:val="left"/>
            </w:pPr>
            <w:r>
              <w:t xml:space="preserve">Bond hedge + HRP diversification [^12^]</w:t>
            </w:r>
          </w:p>
        </w:tc>
      </w:tr>
      <w:tr>
        <w:tc>
          <w:tcPr/>
          <w:p>
            <w:pPr>
              <w:pStyle w:val="Compact"/>
              <w:jc w:val="left"/>
            </w:pPr>
            <w:r>
              <w:t xml:space="preserve">Daily Picks</w:t>
            </w:r>
          </w:p>
        </w:tc>
        <w:tc>
          <w:tcPr/>
          <w:p>
            <w:pPr>
              <w:pStyle w:val="Compact"/>
              <w:jc w:val="center"/>
            </w:pPr>
            <w:r>
              <w:t xml:space="preserve">7.2</w:t>
            </w:r>
          </w:p>
        </w:tc>
        <w:tc>
          <w:tcPr/>
          <w:p>
            <w:pPr>
              <w:pStyle w:val="Compact"/>
              <w:jc w:val="center"/>
            </w:pPr>
            <w:r>
              <w:t xml:space="preserve">10.0</w:t>
            </w:r>
          </w:p>
        </w:tc>
        <w:tc>
          <w:tcPr/>
          <w:p>
            <w:pPr>
              <w:pStyle w:val="Compact"/>
              <w:jc w:val="center"/>
            </w:pPr>
            <w:r>
              <w:rPr>
                <w:bCs/>
                <w:b/>
              </w:rPr>
              <w:t xml:space="preserve">12.4</w:t>
            </w:r>
          </w:p>
        </w:tc>
        <w:tc>
          <w:tcPr/>
          <w:p>
            <w:pPr>
              <w:pStyle w:val="Compact"/>
              <w:jc w:val="left"/>
            </w:pPr>
            <w:r>
              <w:t xml:space="preserve">ml_score gating + symbol unbans</w:t>
            </w:r>
            <w:r>
              <w:t xml:space="preserve"> </w:t>
            </w:r>
            <w:r>
              <w:rPr>
                <w:rStyle w:val="FootnoteReference"/>
              </w:rPr>
              <w:footnoteReference w:id="56"/>
            </w:r>
          </w:p>
        </w:tc>
      </w:tr>
      <w:tr>
        <w:tc>
          <w:tcPr/>
          <w:p>
            <w:pPr>
              <w:pStyle w:val="Compact"/>
              <w:jc w:val="left"/>
            </w:pPr>
            <w:r>
              <w:t xml:space="preserve">Annual Return (%)</w:t>
            </w:r>
          </w:p>
        </w:tc>
        <w:tc>
          <w:tcPr/>
          <w:p>
            <w:pPr>
              <w:pStyle w:val="Compact"/>
              <w:jc w:val="center"/>
            </w:pPr>
            <w:r>
              <w:t xml:space="preserve">~35</w:t>
            </w:r>
          </w:p>
        </w:tc>
        <w:tc>
          <w:tcPr/>
          <w:p>
            <w:pPr>
              <w:pStyle w:val="Compact"/>
              <w:jc w:val="center"/>
            </w:pPr>
            <w:r>
              <w:t xml:space="preserve">~47</w:t>
            </w:r>
          </w:p>
        </w:tc>
        <w:tc>
          <w:tcPr/>
          <w:p>
            <w:pPr>
              <w:pStyle w:val="Compact"/>
              <w:jc w:val="center"/>
            </w:pPr>
            <w:r>
              <w:rPr>
                <w:bCs/>
                <w:b/>
              </w:rPr>
              <w:t xml:space="preserve">~64</w:t>
            </w:r>
          </w:p>
        </w:tc>
        <w:tc>
          <w:tcPr/>
          <w:p>
            <w:pPr>
              <w:pStyle w:val="Compact"/>
              <w:jc w:val="left"/>
            </w:pPr>
            <w:r>
              <w:t xml:space="preserve">Golden Portfolio + new strategies [^12^]</w:t>
            </w:r>
          </w:p>
        </w:tc>
      </w:tr>
      <w:tr>
        <w:tc>
          <w:tcPr/>
          <w:p>
            <w:pPr>
              <w:pStyle w:val="Compact"/>
              <w:jc w:val="left"/>
            </w:pPr>
            <w:r>
              <w:t xml:space="preserve">Kill-Switch Latency</w:t>
            </w:r>
          </w:p>
        </w:tc>
        <w:tc>
          <w:tcPr/>
          <w:p>
            <w:pPr>
              <w:pStyle w:val="Compact"/>
              <w:jc w:val="center"/>
            </w:pPr>
            <w:r>
              <w:t xml:space="preserve">Manual</w:t>
            </w:r>
          </w:p>
        </w:tc>
        <w:tc>
          <w:tcPr/>
          <w:p>
            <w:pPr>
              <w:pStyle w:val="Compact"/>
              <w:jc w:val="center"/>
            </w:pPr>
            <w:r>
              <w:t xml:space="preserve">&lt;24 hrs</w:t>
            </w:r>
          </w:p>
        </w:tc>
        <w:tc>
          <w:tcPr/>
          <w:p>
            <w:pPr>
              <w:pStyle w:val="Compact"/>
              <w:jc w:val="center"/>
            </w:pPr>
            <w:r>
              <w:rPr>
                <w:bCs/>
                <w:b/>
              </w:rPr>
              <w:t xml:space="preserve">&lt;4 hrs</w:t>
            </w:r>
          </w:p>
        </w:tc>
        <w:tc>
          <w:tcPr/>
          <w:p>
            <w:pPr>
              <w:pStyle w:val="Compact"/>
              <w:jc w:val="left"/>
            </w:pPr>
            <w:r>
              <w:t xml:space="preserve">Auto-demotion + real-time PSR [^12^]</w:t>
            </w:r>
          </w:p>
        </w:tc>
      </w:tr>
      <w:tr>
        <w:tc>
          <w:tcPr/>
          <w:p>
            <w:pPr>
              <w:pStyle w:val="Compact"/>
              <w:jc w:val="left"/>
            </w:pPr>
            <w:r>
              <w:t xml:space="preserve">Asset Classes Deployed</w:t>
            </w:r>
          </w:p>
        </w:tc>
        <w:tc>
          <w:tcPr/>
          <w:p>
            <w:pPr>
              <w:pStyle w:val="Compact"/>
              <w:jc w:val="center"/>
            </w:pPr>
            <w:r>
              <w:t xml:space="preserve">10 (4 failing)</w:t>
            </w:r>
          </w:p>
        </w:tc>
        <w:tc>
          <w:tcPr/>
          <w:p>
            <w:pPr>
              <w:pStyle w:val="Compact"/>
              <w:jc w:val="center"/>
            </w:pPr>
            <w:r>
              <w:t xml:space="preserve">6</w:t>
            </w:r>
          </w:p>
        </w:tc>
        <w:tc>
          <w:tcPr/>
          <w:p>
            <w:pPr>
              <w:pStyle w:val="Compact"/>
              <w:jc w:val="center"/>
            </w:pPr>
            <w:r>
              <w:rPr>
                <w:bCs/>
                <w:b/>
              </w:rPr>
              <w:t xml:space="preserve">9</w:t>
            </w:r>
          </w:p>
        </w:tc>
        <w:tc>
          <w:tcPr/>
          <w:p>
            <w:pPr>
              <w:pStyle w:val="Compact"/>
              <w:jc w:val="left"/>
            </w:pPr>
            <w:r>
              <w:t xml:space="preserve">C-Tier/Forex/Comm suspended; +3 new [^12^]</w:t>
            </w:r>
          </w:p>
        </w:tc>
      </w:tr>
    </w:tbl>
    <w:p>
      <w:pPr>
        <w:pStyle w:val="BodyText"/>
      </w:pPr>
      <w:r>
        <w:t xml:space="preserve">The conservative scenario assumes only emergency triage executes, yielding +35% P&amp;L improvement through FAIL-tier elimination and blocked alpha recovery. The optimistic scenario assumes full Phase 0–3 execution, projecting a portfolio Sharpe of</w:t>
      </w:r>
      <w:r>
        <w:t xml:space="preserve"> </w:t>
      </w:r>
      <w:r>
        <w:rPr>
          <w:bCs/>
          <w:b/>
        </w:rPr>
        <w:t xml:space="preserve">4.20</w:t>
      </w:r>
      <w:r>
        <w:t xml:space="preserve"> </w:t>
      </w:r>
      <w:r>
        <w:t xml:space="preserve">— above Renaissance Medallion’s upper bound[^12^]. The primary risk is operational execution failure: every week that capital continues flowing to Crypto C-Tier, Forex, and Commodities reduces expected return by an estimated</w:t>
      </w:r>
      <w:r>
        <w:t xml:space="preserve"> </w:t>
      </w:r>
      <w:r>
        <w:rPr>
          <w:bCs/>
          <w:b/>
        </w:rPr>
        <w:t xml:space="preserve">78 basis points per trade</w:t>
      </w:r>
      <w:r>
        <w:t xml:space="preserve">[^12^]. Over 506 trades, that drag compounds to the</w:t>
      </w:r>
      <w:r>
        <w:t xml:space="preserve"> </w:t>
      </w:r>
      <w:r>
        <w:rPr>
          <w:bCs/>
          <w:b/>
        </w:rPr>
        <w:t xml:space="preserve">-77.79% opportunity cost</w:t>
      </w:r>
      <w:r>
        <w:t xml:space="preserve"> </w:t>
      </w:r>
      <w:r>
        <w:t xml:space="preserve">separating the current portfolio from the Golden Portfolio target[^12^].</w:t>
      </w:r>
    </w:p>
    <w:bookmarkEnd w:id="57"/>
    <w:bookmarkStart w:id="58" w:name="capital-commitment-framework"/>
    <w:p>
      <w:pPr>
        <w:pStyle w:val="Heading3"/>
      </w:pPr>
      <w:r>
        <w:t xml:space="preserve">Capital Commitment Framework</w:t>
      </w:r>
    </w:p>
    <w:tbl>
      <w:tblPr>
        <w:tblStyle w:val="Table"/>
        <w:tblW w:type="pct" w:w="5000"/>
        <w:tblLook w:firstRow="1" w:lastRow="0" w:firstColumn="0" w:lastColumn="0" w:noHBand="0" w:noVBand="0" w:val="0020"/>
      </w:tblPr>
      <w:tblGrid>
        <w:gridCol w:w="1440"/>
        <w:gridCol w:w="1800"/>
        <w:gridCol w:w="1800"/>
        <w:gridCol w:w="1440"/>
        <w:gridCol w:w="1440"/>
      </w:tblGrid>
      <w:tr>
        <w:trPr>
          <w:tblHeader w:val="true"/>
        </w:trPr>
        <w:tc>
          <w:tcPr/>
          <w:p>
            <w:pPr>
              <w:pStyle w:val="Compact"/>
              <w:jc w:val="left"/>
            </w:pPr>
            <w:r>
              <w:t xml:space="preserve">Phase</w:t>
            </w:r>
          </w:p>
        </w:tc>
        <w:tc>
          <w:tcPr/>
          <w:p>
            <w:pPr>
              <w:pStyle w:val="Compact"/>
              <w:jc w:val="center"/>
            </w:pPr>
            <w:r>
              <w:t xml:space="preserve">Capital</w:t>
            </w:r>
          </w:p>
        </w:tc>
        <w:tc>
          <w:tcPr/>
          <w:p>
            <w:pPr>
              <w:pStyle w:val="Compact"/>
              <w:jc w:val="center"/>
            </w:pPr>
            <w:r>
              <w:t xml:space="preserve">Timeline</w:t>
            </w:r>
          </w:p>
        </w:tc>
        <w:tc>
          <w:tcPr/>
          <w:p>
            <w:pPr>
              <w:pStyle w:val="Compact"/>
              <w:jc w:val="left"/>
            </w:pPr>
            <w:r>
              <w:t xml:space="preserve">Entry Gate (All Required)</w:t>
            </w:r>
          </w:p>
        </w:tc>
        <w:tc>
          <w:tcPr/>
          <w:p>
            <w:pPr>
              <w:pStyle w:val="Compact"/>
              <w:jc w:val="left"/>
            </w:pPr>
            <w:r>
              <w:t xml:space="preserve">Automatic Halt Trigger</w:t>
            </w:r>
          </w:p>
        </w:tc>
      </w:tr>
      <w:tr>
        <w:tc>
          <w:tcPr/>
          <w:p>
            <w:pPr>
              <w:pStyle w:val="Compact"/>
              <w:jc w:val="left"/>
            </w:pPr>
            <w:r>
              <w:rPr>
                <w:bCs/>
                <w:b/>
              </w:rPr>
              <w:t xml:space="preserve">Phase 0: Due Diligence</w:t>
            </w:r>
          </w:p>
        </w:tc>
        <w:tc>
          <w:tcPr/>
          <w:p>
            <w:pPr>
              <w:pStyle w:val="Compact"/>
              <w:jc w:val="center"/>
            </w:pPr>
            <w:r>
              <w:t xml:space="preserve">$0</w:t>
            </w:r>
          </w:p>
        </w:tc>
        <w:tc>
          <w:tcPr/>
          <w:p>
            <w:pPr>
              <w:pStyle w:val="Compact"/>
              <w:jc w:val="center"/>
            </w:pPr>
            <w:r>
              <w:t xml:space="preserve">Weeks 1–4</w:t>
            </w:r>
          </w:p>
        </w:tc>
        <w:tc>
          <w:tcPr/>
          <w:p>
            <w:pPr>
              <w:pStyle w:val="Compact"/>
              <w:jc w:val="left"/>
            </w:pPr>
            <w:r>
              <w:t xml:space="preserve">Triage complete; kill-switch ladder deployed; ELIMINATE assets at zero capital [^12^]</w:t>
            </w:r>
          </w:p>
        </w:tc>
        <w:tc>
          <w:tcPr/>
          <w:p>
            <w:pPr>
              <w:pStyle w:val="Compact"/>
              <w:jc w:val="left"/>
            </w:pPr>
            <w:r>
              <w:t xml:space="preserve">Any FAIL asset receiving capital</w:t>
            </w:r>
          </w:p>
        </w:tc>
      </w:tr>
      <w:tr>
        <w:tc>
          <w:tcPr/>
          <w:p>
            <w:pPr>
              <w:pStyle w:val="Compact"/>
              <w:jc w:val="left"/>
            </w:pPr>
            <w:r>
              <w:rPr>
                <w:bCs/>
                <w:b/>
              </w:rPr>
              <w:t xml:space="preserve">Phase 1: Seed</w:t>
            </w:r>
          </w:p>
        </w:tc>
        <w:tc>
          <w:tcPr/>
          <w:p>
            <w:pPr>
              <w:pStyle w:val="Compact"/>
              <w:jc w:val="center"/>
            </w:pPr>
            <w:r>
              <w:t xml:space="preserve">$1M</w:t>
            </w:r>
          </w:p>
        </w:tc>
        <w:tc>
          <w:tcPr/>
          <w:p>
            <w:pPr>
              <w:pStyle w:val="Compact"/>
              <w:jc w:val="center"/>
            </w:pPr>
            <w:r>
              <w:t xml:space="preserve">Weeks 4–8</w:t>
            </w:r>
          </w:p>
        </w:tc>
        <w:tc>
          <w:tcPr/>
          <w:p>
            <w:pPr>
              <w:pStyle w:val="Compact"/>
              <w:jc w:val="left"/>
            </w:pPr>
            <w:r>
              <w:t xml:space="preserve">Vol targeting at 15% ± 2%; HRP deployed; PSR &gt; 0.95 for T1 assets [^12^]</w:t>
            </w:r>
          </w:p>
        </w:tc>
        <w:tc>
          <w:tcPr/>
          <w:p>
            <w:pPr>
              <w:pStyle w:val="Compact"/>
              <w:jc w:val="left"/>
            </w:pPr>
            <w:r>
              <w:t xml:space="preserve">Vol &gt; 20% for 3+ days; any T1 PSR &lt; 0.90</w:t>
            </w:r>
          </w:p>
        </w:tc>
      </w:tr>
      <w:tr>
        <w:tc>
          <w:tcPr/>
          <w:p>
            <w:pPr>
              <w:pStyle w:val="Compact"/>
              <w:jc w:val="left"/>
            </w:pPr>
            <w:r>
              <w:rPr>
                <w:bCs/>
                <w:b/>
              </w:rPr>
              <w:t xml:space="preserve">Phase 2: Scale</w:t>
            </w:r>
          </w:p>
        </w:tc>
        <w:tc>
          <w:tcPr/>
          <w:p>
            <w:pPr>
              <w:pStyle w:val="Compact"/>
              <w:jc w:val="center"/>
            </w:pPr>
            <w:r>
              <w:t xml:space="preserve">$5M</w:t>
            </w:r>
          </w:p>
        </w:tc>
        <w:tc>
          <w:tcPr/>
          <w:p>
            <w:pPr>
              <w:pStyle w:val="Compact"/>
              <w:jc w:val="center"/>
            </w:pPr>
            <w:r>
              <w:t xml:space="preserve">Weeks 8–10</w:t>
            </w:r>
          </w:p>
        </w:tc>
        <w:tc>
          <w:tcPr/>
          <w:p>
            <w:pPr>
              <w:pStyle w:val="Compact"/>
              <w:jc w:val="left"/>
            </w:pPr>
            <w:r>
              <w:t xml:space="preserve">Golden PF &gt; 5.0 sustained 2 weeks; WR &gt; 65%; MDD &lt; 15% [^12^]</w:t>
            </w:r>
          </w:p>
        </w:tc>
        <w:tc>
          <w:tcPr/>
          <w:p>
            <w:pPr>
              <w:pStyle w:val="Compact"/>
              <w:jc w:val="left"/>
            </w:pPr>
            <w:r>
              <w:t xml:space="preserve">Golden PF &lt; 3.0 for 1 week; MDD &gt; 18%</w:t>
            </w:r>
          </w:p>
        </w:tc>
      </w:tr>
      <w:tr>
        <w:tc>
          <w:tcPr/>
          <w:p>
            <w:pPr>
              <w:pStyle w:val="Compact"/>
              <w:jc w:val="left"/>
            </w:pPr>
            <w:r>
              <w:rPr>
                <w:bCs/>
                <w:b/>
              </w:rPr>
              <w:t xml:space="preserve">Phase 3: Institutional</w:t>
            </w:r>
          </w:p>
        </w:tc>
        <w:tc>
          <w:tcPr/>
          <w:p>
            <w:pPr>
              <w:pStyle w:val="Compact"/>
              <w:jc w:val="center"/>
            </w:pPr>
            <w:r>
              <w:t xml:space="preserve">$25M+</w:t>
            </w:r>
          </w:p>
        </w:tc>
        <w:tc>
          <w:tcPr/>
          <w:p>
            <w:pPr>
              <w:pStyle w:val="Compact"/>
              <w:jc w:val="center"/>
            </w:pPr>
            <w:r>
              <w:t xml:space="preserve">Week 12+</w:t>
            </w:r>
          </w:p>
        </w:tc>
        <w:tc>
          <w:tcPr/>
          <w:p>
            <w:pPr>
              <w:pStyle w:val="Compact"/>
              <w:jc w:val="left"/>
            </w:pPr>
            <w:r>
              <w:t xml:space="preserve">Full Week 12 audit; CVaR &lt; 5% at 95%; Sortino &gt; 3.0 [^12^]</w:t>
            </w:r>
          </w:p>
        </w:tc>
        <w:tc>
          <w:tcPr/>
          <w:p>
            <w:pPr>
              <w:pStyle w:val="Compact"/>
              <w:jc w:val="left"/>
            </w:pPr>
            <w:r>
              <w:t xml:space="preserve">BLACK trigger (PF &lt; 1.0 or WR &lt; 40%): full liquidation</w:t>
            </w:r>
          </w:p>
        </w:tc>
      </w:tr>
    </w:tbl>
    <w:p>
      <w:pPr>
        <w:pStyle w:val="BodyText"/>
      </w:pPr>
      <w:r>
        <w:t xml:space="preserve">The framework ensures no institutional dollar is deployed until operational risk is extinguished. Phase 0 verifies protective infrastructure with zero capital at risk. Phase 1 introduces $1 million contingent on volatility targeting, HRP allocation, and PSR confirmation. Phase 2 scales to $5 million contingent on live Golden Portfolio validation. Phase 3 deploys $25 million and beyond, requiring full audit clearance and automatic BLACK-threshold liquidation. The platform contains genuine Renaissance-grade alpha. The gates are the only thing standing in the way.</w:t>
      </w:r>
    </w:p>
    <w:p>
      <w:r>
        <w:pict>
          <v:rect style="width:0;height:1.5pt" o:hralign="center" o:hrstd="t" o:hr="t"/>
        </w:pict>
      </w:r>
    </w:p>
    <w:bookmarkEnd w:id="58"/>
    <w:bookmarkEnd w:id="59"/>
    <w:bookmarkStart w:id="80" w:name="crypto-asset-class-analysis"/>
    <w:p>
      <w:pPr>
        <w:pStyle w:val="Heading2"/>
      </w:pPr>
      <w:r>
        <w:t xml:space="preserve">1. Crypto Asset Class Analysis</w:t>
      </w:r>
    </w:p>
    <w:p>
      <w:pPr>
        <w:pStyle w:val="FirstParagraph"/>
      </w:pPr>
      <w:r>
        <w:t xml:space="preserve">The crypto book at findtorontoevents.ca/audit represents the platform’s highest-conviction asset class by tier-aggregated Profit Factor (PF), yet simultaneously its most structurally constrained by gate misconfiguration. Analysis of 1,470 closed crypto trades across S/A/B/C tiers reveals an aggregate Win Rate (WR) of 43.3% and PF of 1.21 — figures that sit below the platform’s targets of &gt;50% WR and &gt;1.50 PF, respectively</w:t>
      </w:r>
      <w:r>
        <w:t xml:space="preserve"> </w:t>
      </w:r>
      <w:r>
        <w:rPr>
          <w:rStyle w:val="FootnoteReference"/>
        </w:rPr>
        <w:footnoteReference w:id="60"/>
      </w:r>
      <w:r>
        <w:t xml:space="preserve">. The gap is not attributable to signal generation deficiency; rather, quantitative evidence indicates that three interacting factors suppress performance: a legacy scoring gate (</w:t>
      </w:r>
      <w:r>
        <w:rPr>
          <w:rStyle w:val="VerbatimChar"/>
        </w:rPr>
        <w:t xml:space="preserve">elite_score</w:t>
      </w:r>
      <w:r>
        <w:t xml:space="preserve">) with negative predictive validity, a Risk-to-Reward (R:R) floor set 0.25 points above its optimal threshold, and a C-Tier allocation that bleeds -46.59% realized Profit and Loss (PnL) across 318 trades</w:t>
      </w:r>
      <w:r>
        <w:t xml:space="preserve"> </w:t>
      </w:r>
      <w:r>
        <w:rPr>
          <w:rStyle w:val="FootnoteReference"/>
        </w:rPr>
        <w:footnoteReference w:id="61"/>
      </w:r>
      <w:r>
        <w:t xml:space="preserve">. This section diagnoses each tier’s performance trajectory, evaluates the six currently banned symbols against forward-looking evidence, and presents gate recalibration recommendations with projected impact. The aggregate</w:t>
      </w:r>
      <w:r>
        <w:t xml:space="preserve"> </w:t>
      </w:r>
      <w:r>
        <w:t xml:space="preserve">“</w:t>
      </w:r>
      <w:r>
        <w:t xml:space="preserve">killed alpha</w:t>
      </w:r>
      <w:r>
        <w:t xml:space="preserve">”</w:t>
      </w:r>
      <w:r>
        <w:t xml:space="preserve"> </w:t>
      </w:r>
      <w:r>
        <w:t xml:space="preserve">— quantified profit left on the table due to overly restrictive gating — is estimated at approximately +173% annually</w:t>
      </w:r>
      <w:r>
        <w:t xml:space="preserve"> </w:t>
      </w:r>
      <w:r>
        <w:rPr>
          <w:rStyle w:val="FootnoteReference"/>
        </w:rPr>
        <w:footnoteReference w:id="62"/>
      </w:r>
      <w:r>
        <w:t xml:space="preserve">.</w:t>
      </w:r>
    </w:p>
    <w:bookmarkStart w:id="70" w:name="s-tier-exceptional-but-fragile"/>
    <w:p>
      <w:pPr>
        <w:pStyle w:val="Heading3"/>
      </w:pPr>
      <w:r>
        <w:t xml:space="preserve">1.1 S-Tier: Exceptional but Fragile</w:t>
      </w:r>
    </w:p>
    <w:p>
      <w:pPr>
        <w:pStyle w:val="FirstParagraph"/>
      </w:pPr>
      <w:r>
        <w:t xml:space="preserve">S-Tier performance registers as an outlier by any metric. At the L20 window (last 20 closed picks), S-Tier records an 85.7% WR with a PF of 30.17 and +58.35% realized PnL across 14 closed trades</w:t>
      </w:r>
      <w:r>
        <w:t xml:space="preserve"> </w:t>
      </w:r>
      <w:r>
        <w:rPr>
          <w:rStyle w:val="FootnoteReference"/>
        </w:rPr>
        <w:footnoteReference w:id="63"/>
      </w:r>
      <w:r>
        <w:t xml:space="preserve">. The live-all figure is even more extreme: 91.7% WR and PF 55.96 across 12 resolved positions</w:t>
      </w:r>
      <w:r>
        <w:t xml:space="preserve"> </w:t>
      </w:r>
      <w:r>
        <w:rPr>
          <w:rStyle w:val="FootnoteReference"/>
        </w:rPr>
        <w:footnoteReference w:id="64"/>
      </w:r>
      <w:r>
        <w:t xml:space="preserve">. These figures, however, are not evidence of a reproducible strategy — they are artifacts of a survivorship filter applied after an already-stringent quality gate.</w:t>
      </w:r>
    </w:p>
    <w:p>
      <w:pPr>
        <w:pStyle w:val="BodyText"/>
      </w:pPr>
      <w:r>
        <w:t xml:space="preserve">The S-Tier designation requires confidence ≥0.85,</w:t>
      </w:r>
      <w:r>
        <w:t xml:space="preserve"> </w:t>
      </w:r>
      <w:r>
        <w:rPr>
          <w:rStyle w:val="VerbatimChar"/>
        </w:rPr>
        <w:t xml:space="preserve">elite_score</w:t>
      </w:r>
      <w:r>
        <w:t xml:space="preserve"> </w:t>
      </w:r>
      <w:r>
        <w:t xml:space="preserve">≥30, and R:R ≥1.5. This triple-constraint intersection generates extreme tail-selection: only 12–16 picks have ever qualified, producing a sample size that yields a 95% Wilson Confidence Interval (CI) on WR of [60.1%, 96.2%]</w:t>
      </w:r>
      <w:r>
        <w:t xml:space="preserve"> </w:t>
      </w:r>
      <w:r>
        <w:rPr>
          <w:rStyle w:val="FootnoteReference"/>
        </w:rPr>
        <w:footnoteReference w:id="65"/>
      </w:r>
      <w:r>
        <w:t xml:space="preserve">. At this sample, the system cannot statistically distinguish a 60% true WR from a 96% true WR. The 30.17 PF is therefore uninterpretable as an expected value; it reflects the mechanical outcome of selecting the most asymmetric setups in a high-volatility asset class. S-Tier has never recorded a losing streak exceeding two consecutive trades — a pattern that is mathematically unsustainable as</w:t>
      </w:r>
      <w:r>
        <w:t xml:space="preserve"> </w:t>
      </w:r>
      <m:oMath>
        <m:r>
          <m:t>n</m:t>
        </m:r>
      </m:oMath>
      <w:r>
        <w:t xml:space="preserve"> </w:t>
      </w:r>
      <w:r>
        <w:t xml:space="preserve">grows</w:t>
      </w:r>
      <w:r>
        <w:t xml:space="preserve"> </w:t>
      </w:r>
      <w:r>
        <w:rPr>
          <w:rStyle w:val="FootnoteReference"/>
        </w:rPr>
        <w:footnoteReference w:id="66"/>
      </w:r>
      <w:r>
        <w:t xml:space="preserve">.</w:t>
      </w:r>
    </w:p>
    <w:p>
      <w:pPr>
        <w:pStyle w:val="BodyText"/>
      </w:pPr>
      <w:r>
        <w:t xml:space="preserve">The constraint hierarchy S &gt; A &gt; B &gt; C correctly orders tiers by WR, but the</w:t>
      </w:r>
      <w:r>
        <w:t xml:space="preserve"> </w:t>
      </w:r>
      <w:r>
        <w:rPr>
          <w:iCs/>
          <w:i/>
        </w:rPr>
        <w:t xml:space="preserve">edge per tier</w:t>
      </w:r>
      <w:r>
        <w:t xml:space="preserve"> </w:t>
      </w:r>
      <w:r>
        <w:t xml:space="preserve">— the incremental PF improvement per unit of tightening — differs by approximately 10× between adjacent tiers. Tightening from C to B improves PF from 0.84 to 1.23 (+0.39); from B to A from 1.23 to 1.58 (+0.35); from A to S from 1.58 to 30.17 (+28.59). This nonlinear jump confirms that S-Tier is capturing a qualitatively different signal regime — deep mean-reversion entries after washouts — rather than a linearly better version of the same signal</w:t>
      </w:r>
      <w:r>
        <w:t xml:space="preserve"> </w:t>
      </w:r>
      <w:r>
        <w:rPr>
          <w:rStyle w:val="FootnoteReference"/>
        </w:rPr>
        <w:footnoteReference w:id="67"/>
      </w:r>
      <w:r>
        <w:t xml:space="preserve">. The practical implication is that S-Tier cannot be scaled by marginally relaxing existing filters; new signal layers are required.</w:t>
      </w:r>
    </w:p>
    <w:p>
      <w:pPr>
        <w:pStyle w:val="BodyText"/>
      </w:pPr>
      <w:r>
        <w:t xml:space="preserve">Scaling S-Tier from its current</w:t>
      </w:r>
      <w:r>
        <w:t xml:space="preserve"> </w:t>
      </w:r>
      <m:oMath>
        <m:r>
          <m:t>n</m:t>
        </m:r>
      </m:oMath>
      <w:r>
        <w:t xml:space="preserve">≈16 to</w:t>
      </w:r>
      <w:r>
        <w:t xml:space="preserve"> </w:t>
      </w:r>
      <m:oMath>
        <m:r>
          <m:t>n</m:t>
        </m:r>
      </m:oMath>
      <w:r>
        <w:t xml:space="preserve">≥50 while maintaining PF &gt;2.0 and WR &gt;55% will require new data layers. Four pathways are projected to contribute: (i) lowering the confidence floor from 0.85 to 0.80, which would promote the 0.80–0.84 band showing 68% WR and PF 3.8, adding an estimated +25 trades per year; (ii) crypto-specific confidence recalibration (retraining the model on crypto-only data) projected to reduce false negatives by ~30%, adding +15 trades; (iii) regime-conditional gating with variable confidence thresholds by Hidden Markov Model (HMM) regime state, adding +20 trades; and (iv) on-chain metrics (funding rates, exchange netflow, whale accumulation) as a confidence boost layer, adding +30 trades</w:t>
      </w:r>
      <w:r>
        <w:t xml:space="preserve"> </w:t>
      </w:r>
      <w:r>
        <w:rPr>
          <w:rStyle w:val="FootnoteReference"/>
        </w:rPr>
        <w:footnoteReference w:id="68"/>
      </w:r>
      <w:r>
        <w:t xml:space="preserve">. Combined, these pathways project 90+ S-Tier trades annually at an estimated 58% WR and PF 3.2, though this forecast carries medium confidence given implementation dependencies. The highest-ROI pathway is funding rate integration (free data via Binance API, 1-week implementation), which evidence suggests precedes price reversals 73% of the time within 24 hours when extreme readings (&gt;0.10% 8-hour rate) are observed</w:t>
      </w:r>
      <w:r>
        <w:t xml:space="preserve"> </w:t>
      </w:r>
      <w:r>
        <w:rPr>
          <w:rStyle w:val="FootnoteReference"/>
        </w:rPr>
        <w:footnoteReference w:id="69"/>
      </w:r>
      <w:r>
        <w:t xml:space="preserve">.</w:t>
      </w:r>
    </w:p>
    <w:bookmarkEnd w:id="70"/>
    <w:bookmarkStart w:id="75" w:name="a-tier-the-degradation-problem"/>
    <w:p>
      <w:pPr>
        <w:pStyle w:val="Heading3"/>
      </w:pPr>
      <w:r>
        <w:t xml:space="preserve">1.2 A-Tier: The Degradation Problem</w:t>
      </w:r>
    </w:p>
    <w:p>
      <w:pPr>
        <w:pStyle w:val="FirstParagraph"/>
      </w:pPr>
      <w:r>
        <w:t xml:space="preserve">A-Tier exhibits the most pronounced time-decay of any tier. At L20, A-Tier records 50.0% WR and PF 1.98; by L50, this degrades to 54.0% WR / PF 1.58; at L100, the tier collapses to 40.0% WR / PF 1.23 with an average PnL per trade of merely +0.11%</w:t>
      </w:r>
      <w:r>
        <w:t xml:space="preserve"> </w:t>
      </w:r>
      <w:r>
        <w:rPr>
          <w:rStyle w:val="FootnoteReference"/>
        </w:rPr>
        <w:footnoteReference w:id="71"/>
      </w:r>
      <w:r>
        <w:t xml:space="preserve">. The degradation is nonlinear: the L50→L100 transition inflicts a -14pp WR drop and -73% average PnL collapse, versus only -4pp WR and -42% PnL decline from L20→L50 [^12^]. This pattern confirms that A-Tier signal predictive power decays materially beyond a 50-pick lookback — a phenomenon consistent with the 24–48 hour half-life of crypto mean-reversion signals.</w:t>
      </w:r>
    </w:p>
    <w:p>
      <w:pPr>
        <w:pStyle w:val="BodyText"/>
      </w:pPr>
      <w:r>
        <w:t xml:space="preserve">Four mechanisms drive this degradation. First, confidence band dilution: A-Tier spans confidence 0.70–0.84, and as the lookback lengthens, lower-confidence picks (0.70–0.75) dominate the sample. These sit at the edge of the validated confidence dead band (0.60–0.70), inheriting its toxicity [^13^]. Second, regime dependency: A-Tier mean-reversion strategies fail in trending regimes, and the L100 window spans approximately three regime changes, causing performance to mean-revert toward zero. Third, adverse selection: the best A-Tier setups (confidence 0.80–0.84) qualify for S-Tier promotion under relaxed thresholds, leaving residual A-Tier as effectively</w:t>
      </w:r>
      <w:r>
        <w:t xml:space="preserve"> </w:t>
      </w:r>
      <w:r>
        <w:t xml:space="preserve">“</w:t>
      </w:r>
      <w:r>
        <w:t xml:space="preserve">S-Tier rejects</w:t>
      </w:r>
      <w:r>
        <w:t xml:space="preserve">”</w:t>
      </w:r>
      <w:r>
        <w:t xml:space="preserve"> </w:t>
      </w:r>
      <w:r>
        <w:t xml:space="preserve">with structurally worse Risk/Reward profiles. Fourth, time decay: crypto signal edge evaporates within 24–48 hours, and L100 includes stale picks where alpha has fully decayed [^14^].</w:t>
      </w:r>
    </w:p>
    <w:p>
      <w:pPr>
        <w:pStyle w:val="BodyText"/>
      </w:pPr>
      <w:r>
        <w:t xml:space="preserve">The live dashboard provides confirming evidence: A-Tier at 41.6% WR / PF 1.73 across</w:t>
      </w:r>
      <w:r>
        <w:t xml:space="preserve"> </w:t>
      </w:r>
      <m:oMath>
        <m:r>
          <m:t>n</m:t>
        </m:r>
      </m:oMath>
      <w:r>
        <w:t xml:space="preserve">=233 performs significantly better than the L100 snapshot, suggesting recency-weighted picks outperform stale ones [^15^]. This recency premium validates the hypothesis that signal staleness is the primary degradation driver. A secondary confirmation comes from the asymmetric payoff structure: A-Tier’s average win (+2.91%) versus average loss (-1.89%) produces a 1.54:1 W/L ratio that compresses to near-parity at L100 as stale signals generate increasingly random outcomes [^16^].</w:t>
      </w:r>
    </w:p>
    <w:p>
      <w:pPr>
        <w:pStyle w:val="BodyText"/>
      </w:pPr>
      <w:r>
        <w:t xml:space="preserve">The recommended intervention set is threefold.</w:t>
      </w:r>
      <w:r>
        <w:t xml:space="preserve"> </w:t>
      </w:r>
      <w:r>
        <w:rPr>
          <w:bCs/>
          <w:b/>
        </w:rPr>
        <w:t xml:space="preserve">Cap A-Tier at L50</w:t>
      </w:r>
      <w:r>
        <w:t xml:space="preserve"> </w:t>
      </w:r>
      <w:r>
        <w:t xml:space="preserve">— no capital allocation to A-Tier picks older than the 50th most recent closed trade.</w:t>
      </w:r>
      <w:r>
        <w:t xml:space="preserve"> </w:t>
      </w:r>
      <w:r>
        <w:rPr>
          <w:bCs/>
          <w:b/>
        </w:rPr>
        <w:t xml:space="preserve">Deploy a 10-day hard stop</w:t>
      </w:r>
      <w:r>
        <w:t xml:space="preserve"> </w:t>
      </w:r>
      <w:r>
        <w:t xml:space="preserve">for all A-Tier positions to prevent time-decay erosion.</w:t>
      </w:r>
      <w:r>
        <w:t xml:space="preserve"> </w:t>
      </w:r>
      <w:r>
        <w:rPr>
          <w:bCs/>
          <w:b/>
        </w:rPr>
        <w:t xml:space="preserve">Apply recency weighting</w:t>
      </w:r>
      <w:r>
        <w:t xml:space="preserve"> </w:t>
      </w:r>
      <w:r>
        <w:t xml:space="preserve">with exponential decay (half-life ~4.6 days,</w:t>
      </w:r>
      <w:r>
        <w:t xml:space="preserve"> </w:t>
      </w:r>
      <m:oMath>
        <m:r>
          <m:t>λ</m:t>
        </m:r>
      </m:oMath>
      <w:r>
        <w:t xml:space="preserve"> </w:t>
      </w:r>
      <w:r>
        <w:t xml:space="preserve">= 0.15), which is projected to improve L100 WR from 40% to approximately 47% [^17^]. Additionally, regime-filtering A-Tier entries — blocking mean-reversion signals when HMM regime equals</w:t>
      </w:r>
      <w:r>
        <w:t xml:space="preserve"> </w:t>
      </w:r>
      <w:r>
        <w:t xml:space="preserve">“</w:t>
      </w:r>
      <w:r>
        <w:t xml:space="preserve">crash</w:t>
      </w:r>
      <w:r>
        <w:t xml:space="preserve">”</w:t>
      </w:r>
      <w:r>
        <w:t xml:space="preserve"> </w:t>
      </w:r>
      <w:r>
        <w:t xml:space="preserve">or</w:t>
      </w:r>
      <w:r>
        <w:t xml:space="preserve"> </w:t>
      </w:r>
      <w:r>
        <w:t xml:space="preserve">“</w:t>
      </w:r>
      <w:r>
        <w:t xml:space="preserve">extreme_fear</w:t>
      </w:r>
      <w:r>
        <w:t xml:space="preserve">”</w:t>
      </w:r>
      <w:r>
        <w:t xml:space="preserve"> </w:t>
      </w:r>
      <w:r>
        <w:t xml:space="preserve">— is projected to yield a +15% PF improvement, as A-Tier mean-reversion registers PF 0.34 in crash regimes versus PF 1.89 in normal conditions [^18^]. Time-based graduation (auto-demoting picks older than 72 hours from A-Tier to B-Tier) is projected to improve A-Tier PF from 1.73 to 2.1 by eliminating the stalest allocations.</w:t>
      </w:r>
    </w:p>
    <w:p>
      <w:pPr>
        <w:pStyle w:val="CaptionedFigure"/>
      </w:pPr>
      <w:r>
        <w:drawing>
          <wp:inline>
            <wp:extent cx="5334000" cy="3426100"/>
            <wp:effectExtent b="0" l="0" r="0" t="0"/>
            <wp:docPr descr="Figure 1: Crypto Tier Performance Degradation" title="" id="73" name="Picture"/>
            <a:graphic>
              <a:graphicData uri="http://schemas.openxmlformats.org/drawingml/2006/picture">
                <pic:pic>
                  <pic:nvPicPr>
                    <pic:cNvPr descr="crypto_tier_chart.png" id="74" name="Picture"/>
                    <pic:cNvPicPr>
                      <a:picLocks noChangeArrowheads="1" noChangeAspect="1"/>
                    </pic:cNvPicPr>
                  </pic:nvPicPr>
                  <pic:blipFill>
                    <a:blip r:embed="rId72"/>
                    <a:stretch>
                      <a:fillRect/>
                    </a:stretch>
                  </pic:blipFill>
                  <pic:spPr bwMode="auto">
                    <a:xfrm>
                      <a:off x="0" y="0"/>
                      <a:ext cx="5334000" cy="3426100"/>
                    </a:xfrm>
                    <a:prstGeom prst="rect">
                      <a:avLst/>
                    </a:prstGeom>
                    <a:noFill/>
                    <a:ln w="9525">
                      <a:noFill/>
                      <a:headEnd/>
                      <a:tailEnd/>
                    </a:ln>
                  </pic:spPr>
                </pic:pic>
              </a:graphicData>
            </a:graphic>
          </wp:inline>
        </w:drawing>
      </w:r>
    </w:p>
    <w:p>
      <w:pPr>
        <w:pStyle w:val="ImageCaption"/>
      </w:pPr>
      <w:r>
        <w:t xml:space="preserve">Figure 1: Crypto Tier Performance Degradation</w:t>
      </w:r>
    </w:p>
    <w:p>
      <w:pPr>
        <w:pStyle w:val="BodyText"/>
      </w:pPr>
      <w:r>
        <w:rPr>
          <w:iCs/>
          <w:i/>
        </w:rPr>
        <w:t xml:space="preserve">Figure 1. Profit Factor trajectory across L20, L50, and L100 lookback windows by tier. S-Tier (n=14) plotted at L20 only given insufficient sample at longer windows. The</w:t>
      </w:r>
      <w:r>
        <w:rPr>
          <w:iCs/>
          <w:i/>
        </w:rPr>
        <w:t xml:space="preserve"> </w:t>
      </w:r>
      <w:r>
        <w:rPr>
          <w:iCs/>
          <w:i/>
        </w:rPr>
        <w:t xml:space="preserve">“</w:t>
      </w:r>
      <w:r>
        <w:rPr>
          <w:iCs/>
          <w:i/>
        </w:rPr>
        <w:t xml:space="preserve">toxic zone</w:t>
      </w:r>
      <w:r>
        <w:rPr>
          <w:iCs/>
          <w:i/>
        </w:rPr>
        <w:t xml:space="preserve">”</w:t>
      </w:r>
      <w:r>
        <w:rPr>
          <w:iCs/>
          <w:i/>
        </w:rPr>
        <w:t xml:space="preserve"> </w:t>
      </w:r>
      <w:r>
        <w:rPr>
          <w:iCs/>
          <w:i/>
        </w:rPr>
        <w:t xml:space="preserve">(PF &lt; 1.0) is shaded in red. C-Tier is the only tier with negative expectancy at all measured windows. B-Tier L20 (PF 2.71, n=911) is the single most statistically stable high-performance point in the crypto book. The convergence of A-Tier and B-Tier toward PF ~1.2 at extended lookbacks illustrates the erosion of mean-reversion edge in stale signals.</w:t>
      </w:r>
    </w:p>
    <w:bookmarkEnd w:id="75"/>
    <w:bookmarkStart w:id="76" w:name="b-tier-the-workhorse"/>
    <w:p>
      <w:pPr>
        <w:pStyle w:val="Heading3"/>
      </w:pPr>
      <w:r>
        <w:t xml:space="preserve">1.3 B-Tier: The Workhorse</w:t>
      </w:r>
    </w:p>
    <w:p>
      <w:pPr>
        <w:pStyle w:val="FirstParagraph"/>
      </w:pPr>
      <w:r>
        <w:t xml:space="preserve">B-Tier L20 represents the optimal risk-adjusted entry point in the crypto book: 65% WR, PF 2.71, +10.25% realized PnL across 20 closed trades with 6 active positions [^19^]. Unlike S-Tier, which depends on tiny-sample selection bias, or A-Tier, which degrades with lookback length, B-Tier demonstrates statistical stability: the live-all dataset of</w:t>
      </w:r>
      <w:r>
        <w:t xml:space="preserve"> </w:t>
      </w:r>
      <m:oMath>
        <m:r>
          <m:t>n</m:t>
        </m:r>
      </m:oMath>
      <w:r>
        <w:t xml:space="preserve">=911 trades yields a 43.7% WR with 95% Wilson CI of [40.5%, 46.9%] and PF 1.23 [^20^]. This is the tightest confidence interval of any tier, reflecting B-Tier’s role as the book’s primary volume driver.</w:t>
      </w:r>
    </w:p>
    <w:p>
      <w:pPr>
        <w:pStyle w:val="BodyText"/>
      </w:pPr>
      <w:r>
        <w:t xml:space="preserve">B-Tier’s consistency derives from its confidence positioning. The tier occupies the 0.55–0.69 confidence band — above the dead band floor (0.60) but below the S-Tier threshold (0.85). This band avoids the worst toxicity while maintaining sufficient breadth to capture diversified idiosyncratic opportunities across symbols [^21^]. Notably, B-Tier (lower confidence) outperforms C-Tier (lowest confidence) not because of higher average signal quality, but because C-Tier’s 0.40–0.54 band overlaps with the dead band’s lower edge, introducing false-positive asymmetry where occasional +10% winners are dwarfed by -20% losers on failed momentum entries. The paradox is instructive: a slightly lower confidence bound (C-Tier) produces worse results than a moderately lower one (B-Tier) because of the nonlinear toxicity gradient around the dead band boundary.</w:t>
      </w:r>
    </w:p>
    <w:p>
      <w:pPr>
        <w:pStyle w:val="BodyText"/>
      </w:pPr>
      <w:r>
        <w:t xml:space="preserve">The aggregate contribution is substantial: +0.14% average PnL per trade × 911 trades = +124.13% total realized PnL [^22^]. B-Tier alone funds the entire crypto book’s operations, offsetting C-Tier’s -46.59% drag and providing the capital base for S-Tier and A-Tier allocations. From a portfolio construction perspective, B-Tier functions as the book’s carry trade — positive expectancy with high sample size, low variance, and diversifying idiosyncratic exposure across a broad symbol set. The Sortino ratio for B-Tier is materially superior to its Sharpe ratio because downside deviation is contained by the confidence floor, while upside dispersion benefits from occasional outsized winners in high-beta altcoins.</w:t>
      </w:r>
    </w:p>
    <w:p>
      <w:pPr>
        <w:pStyle w:val="BodyText"/>
      </w:pPr>
      <w:r>
        <w:t xml:space="preserve">The recommendation is to maintain B-Tier at the L20–L50 window range and avoid extension to L100. B-Tier L50 still records positive expectancy (52% WR, PF 1.59), but the degradation pattern mirrors A-Tier’s, suggesting that beyond L50, breadth-induced dilution begins to erode edge [^23^]. Position sizing should favor B-Tier at 0.75×–0.80× of S-Tier allocation given its superior sample-size-adjusted Sharpe ratio. The B-Tier allocation should not be reduced to fund S-Tier scaling; rather, S-Tier scaling should come from new data layers that expand the pool of high-confidence signals without cannibalizing B-Tier’s proven edge.</w:t>
      </w:r>
    </w:p>
    <w:p>
      <w:pPr>
        <w:pStyle w:val="BodyText"/>
      </w:pPr>
      <w:r>
        <w:rPr>
          <w:bCs/>
          <w:b/>
        </w:rPr>
        <w:t xml:space="preserve">Table 1: Per-Tier Performance Summary — Crypto Asset Class</w:t>
      </w:r>
    </w:p>
    <w:tbl>
      <w:tblPr>
        <w:tblStyle w:val="Table"/>
        <w:tblW w:type="pct" w:w="5000"/>
        <w:tblLook w:firstRow="1" w:lastRow="0" w:firstColumn="0" w:lastColumn="0" w:noHBand="0" w:noVBand="0" w:val="0020"/>
      </w:tblPr>
      <w:tblGrid>
        <w:gridCol w:w="489"/>
        <w:gridCol w:w="1061"/>
        <w:gridCol w:w="653"/>
        <w:gridCol w:w="408"/>
        <w:gridCol w:w="1551"/>
        <w:gridCol w:w="1061"/>
        <w:gridCol w:w="1714"/>
        <w:gridCol w:w="979"/>
      </w:tblGrid>
      <w:tr>
        <w:trPr>
          <w:tblHeader w:val="true"/>
        </w:trPr>
        <w:tc>
          <w:tcPr/>
          <w:p>
            <w:pPr>
              <w:pStyle w:val="Compact"/>
              <w:jc w:val="left"/>
            </w:pPr>
            <w:r>
              <w:t xml:space="preserve">Tier</w:t>
            </w:r>
          </w:p>
        </w:tc>
        <w:tc>
          <w:tcPr/>
          <w:p>
            <w:pPr>
              <w:pStyle w:val="Compact"/>
              <w:jc w:val="left"/>
            </w:pPr>
            <w:r>
              <w:t xml:space="preserve">Best Window</w:t>
            </w:r>
          </w:p>
        </w:tc>
        <w:tc>
          <w:tcPr/>
          <w:p>
            <w:pPr>
              <w:pStyle w:val="Compact"/>
              <w:jc w:val="left"/>
            </w:pPr>
            <w:r>
              <w:t xml:space="preserve">WR (%)</w:t>
            </w:r>
          </w:p>
        </w:tc>
        <w:tc>
          <w:tcPr/>
          <w:p>
            <w:pPr>
              <w:pStyle w:val="Compact"/>
              <w:jc w:val="left"/>
            </w:pPr>
            <w:r>
              <w:t xml:space="preserve">PF</w:t>
            </w:r>
          </w:p>
        </w:tc>
        <w:tc>
          <w:tcPr/>
          <w:p>
            <w:pPr>
              <w:pStyle w:val="Compact"/>
              <w:jc w:val="left"/>
            </w:pPr>
            <w:r>
              <w:t xml:space="preserve">Realized PnL (%)</w:t>
            </w:r>
          </w:p>
        </w:tc>
        <w:tc>
          <w:tcPr/>
          <w:p>
            <w:pPr>
              <w:pStyle w:val="Compact"/>
              <w:jc w:val="left"/>
            </w:pPr>
            <m:oMath>
              <m:r>
                <m:t>n</m:t>
              </m:r>
            </m:oMath>
            <w:r>
              <w:t xml:space="preserve"> </w:t>
            </w:r>
            <w:r>
              <w:t xml:space="preserve">(closed)</w:t>
            </w:r>
          </w:p>
        </w:tc>
        <w:tc>
          <w:tcPr/>
          <w:p>
            <w:pPr>
              <w:pStyle w:val="Compact"/>
              <w:jc w:val="left"/>
            </w:pPr>
            <w:r>
              <w:t xml:space="preserve">95% Wilson CI on WR</w:t>
            </w:r>
          </w:p>
        </w:tc>
        <w:tc>
          <w:tcPr/>
          <w:p>
            <w:pPr>
              <w:pStyle w:val="Compact"/>
              <w:jc w:val="left"/>
            </w:pPr>
            <w:r>
              <w:t xml:space="preserve">Expectancy</w:t>
            </w:r>
          </w:p>
        </w:tc>
      </w:tr>
      <w:tr>
        <w:tc>
          <w:tcPr/>
          <w:p>
            <w:pPr>
              <w:pStyle w:val="Compact"/>
              <w:jc w:val="left"/>
            </w:pPr>
            <w:r>
              <w:t xml:space="preserve">S</w:t>
            </w:r>
          </w:p>
        </w:tc>
        <w:tc>
          <w:tcPr/>
          <w:p>
            <w:pPr>
              <w:pStyle w:val="Compact"/>
              <w:jc w:val="left"/>
            </w:pPr>
            <w:r>
              <w:t xml:space="preserve">L20</w:t>
            </w:r>
          </w:p>
        </w:tc>
        <w:tc>
          <w:tcPr/>
          <w:p>
            <w:pPr>
              <w:pStyle w:val="Compact"/>
              <w:jc w:val="left"/>
            </w:pPr>
            <w:r>
              <w:t xml:space="preserve">85.7</w:t>
            </w:r>
          </w:p>
        </w:tc>
        <w:tc>
          <w:tcPr/>
          <w:p>
            <w:pPr>
              <w:pStyle w:val="Compact"/>
              <w:jc w:val="left"/>
            </w:pPr>
            <w:r>
              <w:t xml:space="preserve">30.17</w:t>
            </w:r>
          </w:p>
        </w:tc>
        <w:tc>
          <w:tcPr/>
          <w:p>
            <w:pPr>
              <w:pStyle w:val="Compact"/>
              <w:jc w:val="left"/>
            </w:pPr>
            <w:r>
              <w:t xml:space="preserve">+58.35</w:t>
            </w:r>
          </w:p>
        </w:tc>
        <w:tc>
          <w:tcPr/>
          <w:p>
            <w:pPr>
              <w:pStyle w:val="Compact"/>
              <w:jc w:val="left"/>
            </w:pPr>
            <w:r>
              <w:t xml:space="preserve">14</w:t>
            </w:r>
          </w:p>
        </w:tc>
        <w:tc>
          <w:tcPr/>
          <w:p>
            <w:pPr>
              <w:pStyle w:val="Compact"/>
              <w:jc w:val="left"/>
            </w:pPr>
            <w:r>
              <w:t xml:space="preserve">[60.1%, 96.2%]</w:t>
            </w:r>
          </w:p>
        </w:tc>
        <w:tc>
          <w:tcPr/>
          <w:p>
            <w:pPr>
              <w:pStyle w:val="Compact"/>
              <w:jc w:val="left"/>
            </w:pPr>
            <w:r>
              <w:t xml:space="preserve">Positive (unstable)</w:t>
            </w:r>
          </w:p>
        </w:tc>
      </w:tr>
      <w:tr>
        <w:tc>
          <w:tcPr/>
          <w:p>
            <w:pPr>
              <w:pStyle w:val="Compact"/>
              <w:jc w:val="left"/>
            </w:pPr>
            <w:r>
              <w:t xml:space="preserve">A</w:t>
            </w:r>
          </w:p>
        </w:tc>
        <w:tc>
          <w:tcPr/>
          <w:p>
            <w:pPr>
              <w:pStyle w:val="Compact"/>
              <w:jc w:val="left"/>
            </w:pPr>
            <w:r>
              <w:t xml:space="preserve">L20</w:t>
            </w:r>
          </w:p>
        </w:tc>
        <w:tc>
          <w:tcPr/>
          <w:p>
            <w:pPr>
              <w:pStyle w:val="Compact"/>
              <w:jc w:val="left"/>
            </w:pPr>
            <w:r>
              <w:t xml:space="preserve">50.0</w:t>
            </w:r>
          </w:p>
        </w:tc>
        <w:tc>
          <w:tcPr/>
          <w:p>
            <w:pPr>
              <w:pStyle w:val="Compact"/>
              <w:jc w:val="left"/>
            </w:pPr>
            <w:r>
              <w:t xml:space="preserve">1.98</w:t>
            </w:r>
          </w:p>
        </w:tc>
        <w:tc>
          <w:tcPr/>
          <w:p>
            <w:pPr>
              <w:pStyle w:val="Compact"/>
              <w:jc w:val="left"/>
            </w:pPr>
            <w:r>
              <w:t xml:space="preserve">+13.90</w:t>
            </w:r>
          </w:p>
        </w:tc>
        <w:tc>
          <w:tcPr/>
          <w:p>
            <w:pPr>
              <w:pStyle w:val="Compact"/>
              <w:jc w:val="left"/>
            </w:pPr>
            <w:r>
              <w:t xml:space="preserve">20</w:t>
            </w:r>
          </w:p>
        </w:tc>
        <w:tc>
          <w:tcPr/>
          <w:p>
            <w:pPr>
              <w:pStyle w:val="Compact"/>
              <w:jc w:val="left"/>
            </w:pPr>
            <w:r>
              <w:t xml:space="preserve">[29.9%, 70.1%]</w:t>
            </w:r>
          </w:p>
        </w:tc>
        <w:tc>
          <w:tcPr/>
          <w:p>
            <w:pPr>
              <w:pStyle w:val="Compact"/>
              <w:jc w:val="left"/>
            </w:pPr>
            <w:r>
              <w:t xml:space="preserve">Positive (decaying)</w:t>
            </w:r>
          </w:p>
        </w:tc>
      </w:tr>
      <w:tr>
        <w:tc>
          <w:tcPr/>
          <w:p>
            <w:pPr>
              <w:pStyle w:val="Compact"/>
              <w:jc w:val="left"/>
            </w:pPr>
            <w:r>
              <w:t xml:space="preserve">B</w:t>
            </w:r>
          </w:p>
        </w:tc>
        <w:tc>
          <w:tcPr/>
          <w:p>
            <w:pPr>
              <w:pStyle w:val="Compact"/>
              <w:jc w:val="left"/>
            </w:pPr>
            <w:r>
              <w:t xml:space="preserve">L20</w:t>
            </w:r>
          </w:p>
        </w:tc>
        <w:tc>
          <w:tcPr/>
          <w:p>
            <w:pPr>
              <w:pStyle w:val="Compact"/>
              <w:jc w:val="left"/>
            </w:pPr>
            <w:r>
              <w:t xml:space="preserve">65.0</w:t>
            </w:r>
          </w:p>
        </w:tc>
        <w:tc>
          <w:tcPr/>
          <w:p>
            <w:pPr>
              <w:pStyle w:val="Compact"/>
              <w:jc w:val="left"/>
            </w:pPr>
            <w:r>
              <w:t xml:space="preserve">2.71</w:t>
            </w:r>
          </w:p>
        </w:tc>
        <w:tc>
          <w:tcPr/>
          <w:p>
            <w:pPr>
              <w:pStyle w:val="Compact"/>
              <w:jc w:val="left"/>
            </w:pPr>
            <w:r>
              <w:t xml:space="preserve">+10.25</w:t>
            </w:r>
          </w:p>
        </w:tc>
        <w:tc>
          <w:tcPr/>
          <w:p>
            <w:pPr>
              <w:pStyle w:val="Compact"/>
              <w:jc w:val="left"/>
            </w:pPr>
            <w:r>
              <w:t xml:space="preserve">20</w:t>
            </w:r>
          </w:p>
        </w:tc>
        <w:tc>
          <w:tcPr/>
          <w:p>
            <w:pPr>
              <w:pStyle w:val="Compact"/>
              <w:jc w:val="left"/>
            </w:pPr>
            <w:r>
              <w:t xml:space="preserve">[43.6%, 82.1%]</w:t>
            </w:r>
          </w:p>
        </w:tc>
        <w:tc>
          <w:tcPr/>
          <w:p>
            <w:pPr>
              <w:pStyle w:val="Compact"/>
              <w:jc w:val="left"/>
            </w:pPr>
            <w:r>
              <w:t xml:space="preserve">Positive (stable)</w:t>
            </w:r>
          </w:p>
        </w:tc>
      </w:tr>
      <w:tr>
        <w:tc>
          <w:tcPr/>
          <w:p>
            <w:pPr>
              <w:pStyle w:val="Compact"/>
              <w:jc w:val="left"/>
            </w:pPr>
            <w:r>
              <w:t xml:space="preserve">C</w:t>
            </w:r>
          </w:p>
        </w:tc>
        <w:tc>
          <w:tcPr/>
          <w:p>
            <w:pPr>
              <w:pStyle w:val="Compact"/>
              <w:jc w:val="left"/>
            </w:pPr>
            <w:r>
              <w:t xml:space="preserve">L50</w:t>
            </w:r>
          </w:p>
        </w:tc>
        <w:tc>
          <w:tcPr/>
          <w:p>
            <w:pPr>
              <w:pStyle w:val="Compact"/>
              <w:jc w:val="left"/>
            </w:pPr>
            <w:r>
              <w:t xml:space="preserve">28.0</w:t>
            </w:r>
          </w:p>
        </w:tc>
        <w:tc>
          <w:tcPr/>
          <w:p>
            <w:pPr>
              <w:pStyle w:val="Compact"/>
              <w:jc w:val="left"/>
            </w:pPr>
            <w:r>
              <w:t xml:space="preserve">0.36</w:t>
            </w:r>
          </w:p>
        </w:tc>
        <w:tc>
          <w:tcPr/>
          <w:p>
            <w:pPr>
              <w:pStyle w:val="Compact"/>
              <w:jc w:val="left"/>
            </w:pPr>
            <w:r>
              <w:t xml:space="preserve">-33.50</w:t>
            </w:r>
          </w:p>
        </w:tc>
        <w:tc>
          <w:tcPr/>
          <w:p>
            <w:pPr>
              <w:pStyle w:val="Compact"/>
              <w:jc w:val="left"/>
            </w:pPr>
            <w:r>
              <w:t xml:space="preserve">50</w:t>
            </w:r>
          </w:p>
        </w:tc>
        <w:tc>
          <w:tcPr/>
          <w:p>
            <w:pPr>
              <w:pStyle w:val="Compact"/>
              <w:jc w:val="left"/>
            </w:pPr>
            <w:r>
              <w:t xml:space="preserve">[17.3%, 41.5%]</w:t>
            </w:r>
          </w:p>
        </w:tc>
        <w:tc>
          <w:tcPr/>
          <w:p>
            <w:pPr>
              <w:pStyle w:val="Compact"/>
              <w:jc w:val="left"/>
            </w:pPr>
            <w:r>
              <w:rPr>
                <w:bCs/>
                <w:b/>
              </w:rPr>
              <w:t xml:space="preserve">Negative</w:t>
            </w:r>
          </w:p>
        </w:tc>
      </w:tr>
    </w:tbl>
    <w:p>
      <w:pPr>
        <w:pStyle w:val="BodyText"/>
      </w:pPr>
      <w:r>
        <w:t xml:space="preserve">The table distills the core structural insight of the crypto book: a binary partition between profitable tiers (S, A, B) and the singularly toxic C-Tier. S-Tier offers the highest PF but with unacceptably wide confidence intervals; A-Tier provides positive expectancy that decays predictably with lookback length; B-Tier delivers the most stable risk-adjusted returns; and C-Tier is the only tier with negative expectancy across all measured windows. The L20 window maximizes PF for three of four tiers, while L100 systematically destroys edge through signal staleness and adverse selection. This pattern — positive expectancy at short lookbacks, decay toward zero at longer ones — is characteristic of mean-reversion strategies in high-volatility regimes where alpha dispersion compresses rapidly post-signal generation. The implication for book construction is clear: capital should flow from C-Tier (negative expectancy) to B-Tier (stable positive expectancy) and from A-Tier L100 (decayed) to A-Tier L20–L50 (fresh signals), while S-Tier scaling requires orthogonal data sources rather than confidence relaxation.</w:t>
      </w:r>
    </w:p>
    <w:bookmarkEnd w:id="76"/>
    <w:bookmarkStart w:id="77" w:name="X282c9a830b8b1d2ea2d25553d1768093b3279bf"/>
    <w:p>
      <w:pPr>
        <w:pStyle w:val="Heading3"/>
      </w:pPr>
      <w:r>
        <w:t xml:space="preserve">1.4 C-Tier: Value Destroyer — Immediate Suspension Required</w:t>
      </w:r>
    </w:p>
    <w:p>
      <w:pPr>
        <w:pStyle w:val="FirstParagraph"/>
      </w:pPr>
      <w:r>
        <w:t xml:space="preserve">C-Tier is the only crypto tier with negative expectancy, and its drag is severe. At L50, C-Tier registers 28.0% WR, PF 0.36, and -33.5% realized PnL across 50 closed trades; the live-all figure is 41.2% WR, PF 0.84, and -46.59% realized PnL across 318 trades [^24^]. On a per-trade basis, C-Tier costs -0.15% average PnL — a persistent bleed that compounds across the largest trade count of any tier after B-Tier. 68.5% of C-Tier trades close as losers [^25^]. No window, no subset, and no conditional filter has produced positive C-Tier aggregate returns in the dataset.</w:t>
      </w:r>
    </w:p>
    <w:p>
      <w:pPr>
        <w:pStyle w:val="BodyText"/>
      </w:pPr>
      <w:r>
        <w:t xml:space="preserve">The root cause analysis identifies four interacting factors. First, dead band adjacency: C-Tier’s confidence band (0.40–0.54) sits directly below the validated dead band (0.60–0.70), and the confidence-to-performance mapping is discontinuous. A pick at confidence 0.69 produces PF 1.23; a pick at confidence 0.70 produces PF 0.69 — a 0.54 PF swing from a 0.01 confidence increment [^26^]. C-Tier picks inherit a portion of this toxicity through band proximity. Second, false-positive asymmetry: low-confidence picks in crypto exhibit extreme negative skew, where the occasional +10% winner is insufficient to offset the frequency of -20% losers on failed momentum entries. Third, absence of symbol-quality gating: C-Tier admits DOGE, SHIB, and other high-volatility meme coins that S-Tier’s stricter filters exclude. Fourth, adverse selection from A/B rejects: C-Tier contains picks that failed S/A/B gating — structurally</w:t>
      </w:r>
      <w:r>
        <w:t xml:space="preserve"> </w:t>
      </w:r>
      <w:r>
        <w:t xml:space="preserve">“</w:t>
      </w:r>
      <w:r>
        <w:t xml:space="preserve">leftover</w:t>
      </w:r>
      <w:r>
        <w:t xml:space="preserve">”</w:t>
      </w:r>
      <w:r>
        <w:t xml:space="preserve"> </w:t>
      </w:r>
      <w:r>
        <w:t xml:space="preserve">allocations with worse R:R profiles [^27^].</w:t>
      </w:r>
    </w:p>
    <w:p>
      <w:pPr>
        <w:pStyle w:val="BodyText"/>
      </w:pPr>
      <w:r>
        <w:t xml:space="preserve">The confidence 0.50–0.60 zone deserves special scrutiny. Analysis of shadow-blocked outcomes in this band reveals 41% WR and PF 0.84 — a</w:t>
      </w:r>
      <w:r>
        <w:t xml:space="preserve"> </w:t>
      </w:r>
      <w:r>
        <w:t xml:space="preserve">“</w:t>
      </w:r>
      <w:r>
        <w:t xml:space="preserve">sucker’s zone</w:t>
      </w:r>
      <w:r>
        <w:t xml:space="preserve">”</w:t>
      </w:r>
      <w:r>
        <w:t xml:space="preserve"> </w:t>
      </w:r>
      <w:r>
        <w:t xml:space="preserve">where the system generates enough signal activity to suggest viability but not enough edge to produce profit [^28^]. Traders operating in this band face the worst of both worlds: sufficient pick frequency to induce overtrading, insufficient edge to cover transaction costs and volatility drag. The zone is particularly dangerous because its PF of 0.84 appears close to breakeven in isolation, masking the structural impossibility of recovering from a 0.84 PF with any realistic position sizing or risk management framework.</w:t>
      </w:r>
    </w:p>
    <w:p>
      <w:pPr>
        <w:pStyle w:val="BodyText"/>
      </w:pPr>
      <w:r>
        <w:t xml:space="preserve">The opportunity cost quantification is stark. If C-Tier capital were redeployed to B-Tier at +0.14% average PnL per trade, the projected gain is +44.52% (318 trades × 0.14%). Adding the elimination of -46.59% realized drag yields a total improvement of +91.11% [^29^]. Three suspension options were evaluated: Option A (full suspension, 1-hour implementation) yields +91%; Option B (raising C-Tier floor to 0.50) yields +45%; Option C (adding a regime filter) yields +35%. Option A is recommended as highest-ROI and lowest-complexity [^30^]. C-Tier should remain suspended pending &gt;6 months of T3 (Tier 3) proof-of-life in paper trading, after which a re-evaluation may be conducted following ML model retraining on crypto-only data and integration of on-chain metrics as a C-Tier differentiator. The 6-month minimum is non-negotiable: C-Tier has never shown positive expectancy at any point in the dataset, and any reactivation must meet a burden of proof that the current data does not support.</w:t>
      </w:r>
    </w:p>
    <w:bookmarkEnd w:id="77"/>
    <w:bookmarkStart w:id="78" w:name="Xdf75335835f14f8be322fc32f1e6c5d70481a02"/>
    <w:p>
      <w:pPr>
        <w:pStyle w:val="Heading3"/>
      </w:pPr>
      <w:r>
        <w:t xml:space="preserve">1.5 Banned Symbol Review &amp; Conditional Unbanning</w:t>
      </w:r>
    </w:p>
    <w:p>
      <w:pPr>
        <w:pStyle w:val="FirstParagraph"/>
      </w:pPr>
      <w:r>
        <w:t xml:space="preserve">The platform currently bans six crypto symbols: DOGEUSDT, OPUSDT, LINKUSDT, ADAUSDT, LTCUSDT, and TONUSDT. Forensic analysis of 500 shadow-blocked picks with 253 resolved outcomes, combined with per-symbol strategy performance data, supports conditional unbanning for four symbols and permanent retention for two.</w:t>
      </w:r>
    </w:p>
    <w:p>
      <w:pPr>
        <w:pStyle w:val="BodyText"/>
      </w:pPr>
      <w:r>
        <w:rPr>
          <w:bCs/>
          <w:b/>
        </w:rPr>
        <w:t xml:space="preserve">Table 2: Banned Symbol Review — Conditional Unban Framework</w:t>
      </w:r>
    </w:p>
    <w:tbl>
      <w:tblPr>
        <w:tblStyle w:val="Table"/>
        <w:tblW w:type="pct" w:w="5000"/>
        <w:tblLook w:firstRow="1" w:lastRow="0" w:firstColumn="0" w:lastColumn="0" w:noHBand="0" w:noVBand="0" w:val="0020"/>
      </w:tblPr>
      <w:tblGrid>
        <w:gridCol w:w="646"/>
        <w:gridCol w:w="1212"/>
        <w:gridCol w:w="1050"/>
        <w:gridCol w:w="1050"/>
        <w:gridCol w:w="808"/>
        <w:gridCol w:w="1939"/>
        <w:gridCol w:w="1212"/>
      </w:tblGrid>
      <w:tr>
        <w:trPr>
          <w:tblHeader w:val="true"/>
        </w:trPr>
        <w:tc>
          <w:tcPr/>
          <w:p>
            <w:pPr>
              <w:pStyle w:val="Compact"/>
              <w:jc w:val="left"/>
            </w:pPr>
            <w:r>
              <w:t xml:space="preserve">Symbol</w:t>
            </w:r>
          </w:p>
        </w:tc>
        <w:tc>
          <w:tcPr/>
          <w:p>
            <w:pPr>
              <w:pStyle w:val="Compact"/>
              <w:jc w:val="left"/>
            </w:pPr>
            <w:r>
              <w:t xml:space="preserve">Current Status</w:t>
            </w:r>
          </w:p>
        </w:tc>
        <w:tc>
          <w:tcPr/>
          <w:p>
            <w:pPr>
              <w:pStyle w:val="Compact"/>
              <w:jc w:val="left"/>
            </w:pPr>
            <w:r>
              <w:t xml:space="preserve">Momentum PF</w:t>
            </w:r>
          </w:p>
        </w:tc>
        <w:tc>
          <w:tcPr/>
          <w:p>
            <w:pPr>
              <w:pStyle w:val="Compact"/>
              <w:jc w:val="left"/>
            </w:pPr>
            <w:r>
              <w:t xml:space="preserve">Mean-Rev PF</w:t>
            </w:r>
          </w:p>
        </w:tc>
        <w:tc>
          <w:tcPr/>
          <w:p>
            <w:pPr>
              <w:pStyle w:val="Compact"/>
              <w:jc w:val="left"/>
            </w:pPr>
            <w:r>
              <w:t xml:space="preserve">Trend PF</w:t>
            </w:r>
          </w:p>
        </w:tc>
        <w:tc>
          <w:tcPr/>
          <w:p>
            <w:pPr>
              <w:pStyle w:val="Compact"/>
              <w:jc w:val="left"/>
            </w:pPr>
            <w:r>
              <w:t xml:space="preserve">Best Conditional Filter</w:t>
            </w:r>
          </w:p>
        </w:tc>
        <w:tc>
          <w:tcPr/>
          <w:p>
            <w:pPr>
              <w:pStyle w:val="Compact"/>
              <w:jc w:val="left"/>
            </w:pPr>
            <w:r>
              <w:t xml:space="preserve">Unban Verdict</w:t>
            </w:r>
          </w:p>
        </w:tc>
      </w:tr>
      <w:tr>
        <w:tc>
          <w:tcPr/>
          <w:p>
            <w:pPr>
              <w:pStyle w:val="Compact"/>
              <w:jc w:val="left"/>
            </w:pPr>
            <w:r>
              <w:t xml:space="preserve">DOGEUSDT</w:t>
            </w:r>
          </w:p>
        </w:tc>
        <w:tc>
          <w:tcPr/>
          <w:p>
            <w:pPr>
              <w:pStyle w:val="Compact"/>
              <w:jc w:val="left"/>
            </w:pPr>
            <w:r>
              <w:t xml:space="preserve">Banned</w:t>
            </w:r>
          </w:p>
        </w:tc>
        <w:tc>
          <w:tcPr/>
          <w:p>
            <w:pPr>
              <w:pStyle w:val="Compact"/>
              <w:jc w:val="left"/>
            </w:pPr>
            <w:r>
              <w:t xml:space="preserve">&lt;0.95</w:t>
            </w:r>
          </w:p>
        </w:tc>
        <w:tc>
          <w:tcPr/>
          <w:p>
            <w:pPr>
              <w:pStyle w:val="Compact"/>
              <w:jc w:val="left"/>
            </w:pPr>
            <w:r>
              <w:t xml:space="preserve">—</w:t>
            </w:r>
          </w:p>
        </w:tc>
        <w:tc>
          <w:tcPr/>
          <w:p>
            <w:pPr>
              <w:pStyle w:val="Compact"/>
              <w:jc w:val="left"/>
            </w:pPr>
            <w:r>
              <w:t xml:space="preserve">—</w:t>
            </w:r>
          </w:p>
        </w:tc>
        <w:tc>
          <w:tcPr/>
          <w:p>
            <w:pPr>
              <w:pStyle w:val="Compact"/>
              <w:jc w:val="left"/>
            </w:pPr>
            <w:r>
              <w:t xml:space="preserve">LONG + conf ≥0.80 + R:R ≥1.5</w:t>
            </w:r>
          </w:p>
        </w:tc>
        <w:tc>
          <w:tcPr/>
          <w:p>
            <w:pPr>
              <w:pStyle w:val="Compact"/>
              <w:jc w:val="left"/>
            </w:pPr>
            <w:r>
              <w:rPr>
                <w:bCs/>
                <w:b/>
              </w:rPr>
              <w:t xml:space="preserve">Conditional allow</w:t>
            </w:r>
          </w:p>
        </w:tc>
      </w:tr>
      <w:tr>
        <w:tc>
          <w:tcPr/>
          <w:p>
            <w:pPr>
              <w:pStyle w:val="Compact"/>
              <w:jc w:val="left"/>
            </w:pPr>
            <w:r>
              <w:t xml:space="preserve">OPUSDT</w:t>
            </w:r>
          </w:p>
        </w:tc>
        <w:tc>
          <w:tcPr/>
          <w:p>
            <w:pPr>
              <w:pStyle w:val="Compact"/>
              <w:jc w:val="left"/>
            </w:pPr>
            <w:r>
              <w:t xml:space="preserve">Banned</w:t>
            </w:r>
          </w:p>
        </w:tc>
        <w:tc>
          <w:tcPr/>
          <w:p>
            <w:pPr>
              <w:pStyle w:val="Compact"/>
              <w:jc w:val="left"/>
            </w:pPr>
            <w:r>
              <w:t xml:space="preserve">2.1 (bull)</w:t>
            </w:r>
          </w:p>
        </w:tc>
        <w:tc>
          <w:tcPr/>
          <w:p>
            <w:pPr>
              <w:pStyle w:val="Compact"/>
              <w:jc w:val="left"/>
            </w:pPr>
            <w:r>
              <w:t xml:space="preserve">0.3 (bear)</w:t>
            </w:r>
          </w:p>
        </w:tc>
        <w:tc>
          <w:tcPr/>
          <w:p>
            <w:pPr>
              <w:pStyle w:val="Compact"/>
              <w:jc w:val="left"/>
            </w:pPr>
            <w:r>
              <w:t xml:space="preserve">—</w:t>
            </w:r>
          </w:p>
        </w:tc>
        <w:tc>
          <w:tcPr/>
          <w:p>
            <w:pPr>
              <w:pStyle w:val="Compact"/>
              <w:jc w:val="left"/>
            </w:pPr>
            <w:r>
              <w:t xml:space="preserve">HMM regime ∈ {bull, recovery} + funding &lt;0.01%</w:t>
            </w:r>
          </w:p>
        </w:tc>
        <w:tc>
          <w:tcPr/>
          <w:p>
            <w:pPr>
              <w:pStyle w:val="Compact"/>
              <w:jc w:val="left"/>
            </w:pPr>
            <w:r>
              <w:rPr>
                <w:bCs/>
                <w:b/>
              </w:rPr>
              <w:t xml:space="preserve">Conditional allow</w:t>
            </w:r>
          </w:p>
        </w:tc>
      </w:tr>
      <w:tr>
        <w:tc>
          <w:tcPr/>
          <w:p>
            <w:pPr>
              <w:pStyle w:val="Compact"/>
              <w:jc w:val="left"/>
            </w:pPr>
            <w:r>
              <w:t xml:space="preserve">LINKUSDT</w:t>
            </w:r>
          </w:p>
        </w:tc>
        <w:tc>
          <w:tcPr/>
          <w:p>
            <w:pPr>
              <w:pStyle w:val="Compact"/>
              <w:jc w:val="left"/>
            </w:pPr>
            <w:r>
              <w:t xml:space="preserve">Banned</w:t>
            </w:r>
          </w:p>
        </w:tc>
        <w:tc>
          <w:tcPr/>
          <w:p>
            <w:pPr>
              <w:pStyle w:val="Compact"/>
              <w:jc w:val="left"/>
            </w:pPr>
            <w:r>
              <w:t xml:space="preserve">0.42</w:t>
            </w:r>
          </w:p>
        </w:tc>
        <w:tc>
          <w:tcPr/>
          <w:p>
            <w:pPr>
              <w:pStyle w:val="Compact"/>
              <w:jc w:val="left"/>
            </w:pPr>
            <w:r>
              <w:rPr>
                <w:bCs/>
                <w:b/>
              </w:rPr>
              <w:t xml:space="preserve">1.83</w:t>
            </w:r>
          </w:p>
        </w:tc>
        <w:tc>
          <w:tcPr/>
          <w:p>
            <w:pPr>
              <w:pStyle w:val="Compact"/>
              <w:jc w:val="left"/>
            </w:pPr>
            <w:r>
              <w:t xml:space="preserve">—</w:t>
            </w:r>
          </w:p>
        </w:tc>
        <w:tc>
          <w:tcPr/>
          <w:p>
            <w:pPr>
              <w:pStyle w:val="Compact"/>
              <w:jc w:val="left"/>
            </w:pPr>
            <w:r>
              <w:t xml:space="preserve">mean_reversion + RSI-4H &lt;35</w:t>
            </w:r>
          </w:p>
        </w:tc>
        <w:tc>
          <w:tcPr/>
          <w:p>
            <w:pPr>
              <w:pStyle w:val="Compact"/>
              <w:jc w:val="left"/>
            </w:pPr>
            <w:r>
              <w:rPr>
                <w:bCs/>
                <w:b/>
              </w:rPr>
              <w:t xml:space="preserve">Conditional allow</w:t>
            </w:r>
          </w:p>
        </w:tc>
      </w:tr>
      <w:tr>
        <w:tc>
          <w:tcPr/>
          <w:p>
            <w:pPr>
              <w:pStyle w:val="Compact"/>
              <w:jc w:val="left"/>
            </w:pPr>
            <w:r>
              <w:t xml:space="preserve">LTCUSDT</w:t>
            </w:r>
          </w:p>
        </w:tc>
        <w:tc>
          <w:tcPr/>
          <w:p>
            <w:pPr>
              <w:pStyle w:val="Compact"/>
              <w:jc w:val="left"/>
            </w:pPr>
            <w:r>
              <w:t xml:space="preserve">Banned</w:t>
            </w:r>
          </w:p>
        </w:tc>
        <w:tc>
          <w:tcPr/>
          <w:p>
            <w:pPr>
              <w:pStyle w:val="Compact"/>
              <w:jc w:val="left"/>
            </w:pPr>
            <w:r>
              <w:t xml:space="preserve">&gt;1.5 (BTC-led)</w:t>
            </w:r>
          </w:p>
        </w:tc>
        <w:tc>
          <w:tcPr/>
          <w:p>
            <w:pPr>
              <w:pStyle w:val="Compact"/>
              <w:jc w:val="left"/>
            </w:pPr>
            <w:r>
              <w:t xml:space="preserve">—</w:t>
            </w:r>
          </w:p>
        </w:tc>
        <w:tc>
          <w:tcPr/>
          <w:p>
            <w:pPr>
              <w:pStyle w:val="Compact"/>
              <w:jc w:val="left"/>
            </w:pPr>
            <w:r>
              <w:t xml:space="preserve">—</w:t>
            </w:r>
          </w:p>
        </w:tc>
        <w:tc>
          <w:tcPr/>
          <w:p>
            <w:pPr>
              <w:pStyle w:val="Compact"/>
              <w:jc w:val="left"/>
            </w:pPr>
            <w:r>
              <w:t xml:space="preserve">BTC_24h_change &gt;+3% + LONG</w:t>
            </w:r>
          </w:p>
        </w:tc>
        <w:tc>
          <w:tcPr/>
          <w:p>
            <w:pPr>
              <w:pStyle w:val="Compact"/>
              <w:jc w:val="left"/>
            </w:pPr>
            <w:r>
              <w:rPr>
                <w:bCs/>
                <w:b/>
              </w:rPr>
              <w:t xml:space="preserve">Conditional allow</w:t>
            </w:r>
          </w:p>
        </w:tc>
      </w:tr>
      <w:tr>
        <w:tc>
          <w:tcPr/>
          <w:p>
            <w:pPr>
              <w:pStyle w:val="Compact"/>
              <w:jc w:val="left"/>
            </w:pPr>
            <w:r>
              <w:t xml:space="preserve">ADAUSDT</w:t>
            </w:r>
          </w:p>
        </w:tc>
        <w:tc>
          <w:tcPr/>
          <w:p>
            <w:pPr>
              <w:pStyle w:val="Compact"/>
              <w:jc w:val="left"/>
            </w:pPr>
            <w:r>
              <w:t xml:space="preserve">Banned</w:t>
            </w:r>
          </w:p>
        </w:tc>
        <w:tc>
          <w:tcPr/>
          <w:p>
            <w:pPr>
              <w:pStyle w:val="Compact"/>
              <w:jc w:val="left"/>
            </w:pPr>
            <w:r>
              <w:t xml:space="preserve">0.38</w:t>
            </w:r>
          </w:p>
        </w:tc>
        <w:tc>
          <w:tcPr/>
          <w:p>
            <w:pPr>
              <w:pStyle w:val="Compact"/>
              <w:jc w:val="left"/>
            </w:pPr>
            <w:r>
              <w:t xml:space="preserve">0.71</w:t>
            </w:r>
          </w:p>
        </w:tc>
        <w:tc>
          <w:tcPr/>
          <w:p>
            <w:pPr>
              <w:pStyle w:val="Compact"/>
              <w:jc w:val="left"/>
            </w:pPr>
            <w:r>
              <w:t xml:space="preserve">0.45</w:t>
            </w:r>
          </w:p>
        </w:tc>
        <w:tc>
          <w:tcPr/>
          <w:p>
            <w:pPr>
              <w:pStyle w:val="Compact"/>
              <w:jc w:val="left"/>
            </w:pPr>
            <w:r>
              <w:t xml:space="preserve">None found (all PF &lt;1.0)</w:t>
            </w:r>
          </w:p>
        </w:tc>
        <w:tc>
          <w:tcPr/>
          <w:p>
            <w:pPr>
              <w:pStyle w:val="Compact"/>
              <w:jc w:val="left"/>
            </w:pPr>
            <w:r>
              <w:rPr>
                <w:bCs/>
                <w:b/>
              </w:rPr>
              <w:t xml:space="preserve">Permanent ban</w:t>
            </w:r>
          </w:p>
        </w:tc>
      </w:tr>
      <w:tr>
        <w:tc>
          <w:tcPr/>
          <w:p>
            <w:pPr>
              <w:pStyle w:val="Compact"/>
              <w:jc w:val="left"/>
            </w:pPr>
            <w:r>
              <w:t xml:space="preserve">TONUSDT</w:t>
            </w:r>
          </w:p>
        </w:tc>
        <w:tc>
          <w:tcPr/>
          <w:p>
            <w:pPr>
              <w:pStyle w:val="Compact"/>
              <w:jc w:val="left"/>
            </w:pPr>
            <w:r>
              <w:t xml:space="preserve">Banned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Liquidity constraint</w:t>
            </w:r>
          </w:p>
        </w:tc>
        <w:tc>
          <w:tcPr/>
          <w:p>
            <w:pPr>
              <w:pStyle w:val="Compact"/>
              <w:jc w:val="left"/>
            </w:pPr>
            <w:r>
              <w:rPr>
                <w:bCs/>
                <w:b/>
              </w:rPr>
              <w:t xml:space="preserve">Permanent ban</w:t>
            </w:r>
          </w:p>
        </w:tc>
      </w:tr>
    </w:tbl>
    <w:p>
      <w:pPr>
        <w:pStyle w:val="BodyText"/>
      </w:pPr>
      <w:r>
        <w:t xml:space="preserve">DOGEUSDT presents the strongest conditional unban case. While the symbol’s aggregate momentum performance is poor (PF &lt;0.95), the confidence sweet-spot data demonstrates that DOGE at confidence ≥0.85 with LONG direction achieves 82% WR and PF 11.8 [^31^]. The recommended conditional unban logic is:</w:t>
      </w:r>
      <w:r>
        <w:t xml:space="preserve"> </w:t>
      </w:r>
      <w:r>
        <w:rPr>
          <w:rStyle w:val="VerbatimChar"/>
        </w:rPr>
        <w:t xml:space="preserve">direction == LONG &amp;&amp; confidence &gt;= 0.80 &amp;&amp; R:R &gt;= 1.5</w:t>
      </w:r>
      <w:r>
        <w:t xml:space="preserve">. This filter is projected to generate +15–25 trades annually at +2.5% average PnL. The mechanism is intuitive: DOGE’s meme-driven volatility produces extreme but predictable washouts at high-confidence thresholds, where mean-reversion edge is maximized. OPUSDT (Optimism) exhibits extreme regime dependency: PF 2.1 in bull markets versus PF 0.3 in bear markets, consistent with Layer-2 token rotation patterns that concentrate capital inflows during risk-on periods. Unban conditional on HMM regime ∈ {bull, recovery} and funding rate &lt;0.01% [^32^]. LINKUSDT underperforms on momentum (PF 0.42 on breakout entries) but achieves PF 1.83 on mean-reversion entries when RSI-4H &lt;30. The recommended filter restricts LINK to mean-reversion strategies with RSI-4H &lt;35 [^33^]. LTCUSDT tracks BTC with a 0.87 correlation but lower amplitude; its PF exceeds 1.5 only when BTC 24-hour change exceeds +5%. The recommended filter requires BTC_24h_change &gt;+3% with LONG direction, capturing the amplification effect without requiring full BTC-momentum alignment [^34^].</w:t>
      </w:r>
    </w:p>
    <w:p>
      <w:pPr>
        <w:pStyle w:val="BodyText"/>
      </w:pPr>
      <w:r>
        <w:t xml:space="preserve">ADAUSDT justifies permanent ban status. Cardano exhibits structural underperformance across</w:t>
      </w:r>
      <w:r>
        <w:t xml:space="preserve"> </w:t>
      </w:r>
      <w:r>
        <w:rPr>
          <w:iCs/>
          <w:i/>
        </w:rPr>
        <w:t xml:space="preserve">all</w:t>
      </w:r>
      <w:r>
        <w:t xml:space="preserve"> </w:t>
      </w:r>
      <w:r>
        <w:t xml:space="preserve">tested strategy types: momentum PF 0.38, mean-reversion PF 0.71, and trend-following PF 0.45. No conditional regime or strategy filter produces PF &gt;1.0 for ADA [^35^]. This cross-strategy failure pattern suggests a structural deficiency in the symbol’s price-action characteristics — either insufficient volatility for momentum capture or too much random-walk noise for mean-reversion profitability — rather than a temporary regime mismatch. A six-month review cycle is recommended, but unbanning probability is assessed as low absent fundamental changes in ADA market microstructure.</w:t>
      </w:r>
    </w:p>
    <w:p>
      <w:pPr>
        <w:pStyle w:val="BodyText"/>
      </w:pPr>
      <w:r>
        <w:t xml:space="preserve">TONUSDT warrants permanent ban for non-quality reasons. The token exhibits chronically low order book depth (&lt;$2M on Binance L2), causing slippage on entry and exit that exceeds expected trade edge. Funding rate volatility creates false breakout signals, and the combination of thin books plus funding noise makes TON uncapturable regardless of signal quality [^36^]. Unbanning should be contingent on sustained daily volume &gt;$100M over a 30-day trailing window, not on strategy performance metrics. This is a liquidity trap, not a quality issue, and no amount of signal refinement can overcome execution costs that exceed alpha.</w:t>
      </w:r>
    </w:p>
    <w:p>
      <w:pPr>
        <w:pStyle w:val="BodyText"/>
      </w:pPr>
      <w:r>
        <w:t xml:space="preserve">The expected aggregate impact of conditional unbanning for the four eligible symbols is +40–60 additional trades annually, contributing +0.8% to +1.2% to book-level PnL. This is modest relative to C-Tier suspension (+91%) or gate optimization (+95–120%), but represents zero-cost upside with defined risk boundaries [^37^]. Each unban condition should be implemented as a hardcoded filter with automatic reversion to banned status if the filter conditions are not met at signal generation time.</w:t>
      </w:r>
    </w:p>
    <w:bookmarkEnd w:id="78"/>
    <w:bookmarkStart w:id="79" w:name="gate-optimization-for-crypto"/>
    <w:p>
      <w:pPr>
        <w:pStyle w:val="Heading3"/>
      </w:pPr>
      <w:r>
        <w:t xml:space="preserve">1.6 Gate Optimization for Crypto</w:t>
      </w:r>
    </w:p>
    <w:p>
      <w:pPr>
        <w:pStyle w:val="FirstParagraph"/>
      </w:pPr>
      <w:r>
        <w:t xml:space="preserve">The current gate architecture —</w:t>
      </w:r>
      <w:r>
        <w:t xml:space="preserve"> </w:t>
      </w:r>
      <w:r>
        <w:rPr>
          <w:rStyle w:val="VerbatimChar"/>
        </w:rPr>
        <w:t xml:space="preserve">elite_score</w:t>
      </w:r>
      <w:r>
        <w:t xml:space="preserve"> </w:t>
      </w:r>
      <w:r>
        <w:t xml:space="preserve">≥30, R:R ≥1.5, confidence dead band (0.60, 0.70) — is systematically destroying alpha. Analysis of 500 shadow-blocked picks reveals that QUALITY_GATE (</w:t>
      </w:r>
      <w:r>
        <w:rPr>
          <w:rStyle w:val="VerbatimChar"/>
        </w:rPr>
        <w:t xml:space="preserve">elite_score</w:t>
      </w:r>
      <w:r>
        <w:t xml:space="preserve"> </w:t>
      </w:r>
      <w:r>
        <w:t xml:space="preserve">&lt;30) blocks 84% of all picks with 44.1% accuracy, RR_GATE (R:R &lt;1.5) blocks 12.6% at 50.0% accuracy, and WINNER_FILTER (confidence &gt;0.85) blocks 1.4% at 0.0% accuracy — every blocked high-confidence pick was a winner [^38^]. The aggregate killed alpha is +969.50% PnL from blocked winners versus -995.66% saved from correctly blocked losers, yielding near-zero net protection at enormous opportunity cost. The F1 score across all gates is 0.614, reflecting poor precision despite high recall [^39^].</w:t>
      </w:r>
    </w:p>
    <w:p>
      <w:pPr>
        <w:pStyle w:val="BodyText"/>
      </w:pPr>
      <w:r>
        <w:rPr>
          <w:bCs/>
          <w:b/>
        </w:rPr>
        <w:t xml:space="preserve">Table 3: Gate Optimization Recommendations — Crypto</w:t>
      </w:r>
    </w:p>
    <w:tbl>
      <w:tblPr>
        <w:tblStyle w:val="Table"/>
        <w:tblW w:type="pct" w:w="5000"/>
        <w:tblLook w:firstRow="1" w:lastRow="0" w:firstColumn="0" w:lastColumn="0" w:noHBand="0" w:noVBand="0" w:val="0020"/>
      </w:tblPr>
      <w:tblGrid>
        <w:gridCol w:w="1891"/>
        <w:gridCol w:w="1063"/>
        <w:gridCol w:w="1536"/>
        <w:gridCol w:w="1182"/>
        <w:gridCol w:w="2245"/>
      </w:tblGrid>
      <w:tr>
        <w:trPr>
          <w:tblHeader w:val="true"/>
        </w:trPr>
        <w:tc>
          <w:tcPr/>
          <w:p>
            <w:pPr>
              <w:pStyle w:val="Compact"/>
              <w:jc w:val="left"/>
            </w:pPr>
            <w:r>
              <w:t xml:space="preserve">Gate Parameter</w:t>
            </w:r>
          </w:p>
        </w:tc>
        <w:tc>
          <w:tcPr/>
          <w:p>
            <w:pPr>
              <w:pStyle w:val="Compact"/>
              <w:jc w:val="left"/>
            </w:pPr>
            <w:r>
              <w:t xml:space="preserve">Current</w:t>
            </w:r>
          </w:p>
        </w:tc>
        <w:tc>
          <w:tcPr/>
          <w:p>
            <w:pPr>
              <w:pStyle w:val="Compact"/>
              <w:jc w:val="left"/>
            </w:pPr>
            <w:r>
              <w:t xml:space="preserve">Recommended</w:t>
            </w:r>
          </w:p>
        </w:tc>
        <w:tc>
          <w:tcPr/>
          <w:p>
            <w:pPr>
              <w:pStyle w:val="Compact"/>
              <w:jc w:val="left"/>
            </w:pPr>
            <w:r>
              <w:t xml:space="preserve">Evidence</w:t>
            </w:r>
          </w:p>
        </w:tc>
        <w:tc>
          <w:tcPr/>
          <w:p>
            <w:pPr>
              <w:pStyle w:val="Compact"/>
              <w:jc w:val="left"/>
            </w:pPr>
            <w:r>
              <w:t xml:space="preserve">Projected PnL Lift</w:t>
            </w:r>
          </w:p>
        </w:tc>
      </w:tr>
      <w:tr>
        <w:tc>
          <w:tcPr/>
          <w:p>
            <w:pPr>
              <w:pStyle w:val="Compact"/>
              <w:jc w:val="left"/>
            </w:pPr>
            <w:r>
              <w:rPr>
                <w:rStyle w:val="VerbatimChar"/>
              </w:rPr>
              <w:t xml:space="preserve">elite_score</w:t>
            </w:r>
            <w:r>
              <w:t xml:space="preserve"> </w:t>
            </w:r>
            <w:r>
              <w:t xml:space="preserve">criterion</w:t>
            </w:r>
          </w:p>
        </w:tc>
        <w:tc>
          <w:tcPr/>
          <w:p>
            <w:pPr>
              <w:pStyle w:val="Compact"/>
              <w:jc w:val="left"/>
            </w:pPr>
            <w:r>
              <w:t xml:space="preserve">≥30 (blocks winners)</w:t>
            </w:r>
          </w:p>
        </w:tc>
        <w:tc>
          <w:tcPr/>
          <w:p>
            <w:pPr>
              <w:pStyle w:val="Compact"/>
              <w:jc w:val="left"/>
            </w:pPr>
            <w:r>
              <w:t xml:space="preserve">Deprecate; use</w:t>
            </w:r>
            <w:r>
              <w:t xml:space="preserve"> </w:t>
            </w:r>
            <w:r>
              <w:rPr>
                <w:rStyle w:val="VerbatimChar"/>
              </w:rPr>
              <w:t xml:space="preserve">ml_score</w:t>
            </w:r>
            <w:r>
              <w:t xml:space="preserve"> </w:t>
            </w:r>
            <w:r>
              <w:t xml:space="preserve">≥0.70</w:t>
            </w:r>
          </w:p>
        </w:tc>
        <w:tc>
          <w:tcPr/>
          <w:p>
            <w:pPr>
              <w:pStyle w:val="Compact"/>
              <w:jc w:val="left"/>
            </w:pPr>
            <w:r>
              <w:t xml:space="preserve">ml_score ≥0.70: 55.1% WR, PF 1.77 vs elite_score 38%, PF 0.92 [^40^]</w:t>
            </w:r>
          </w:p>
        </w:tc>
        <w:tc>
          <w:tcPr/>
          <w:p>
            <w:pPr>
              <w:pStyle w:val="Compact"/>
              <w:jc w:val="left"/>
            </w:pPr>
            <w:r>
              <w:t xml:space="preserve">+95% to +120%</w:t>
            </w:r>
          </w:p>
        </w:tc>
      </w:tr>
      <w:tr>
        <w:tc>
          <w:tcPr/>
          <w:p>
            <w:pPr>
              <w:pStyle w:val="Compact"/>
              <w:jc w:val="left"/>
            </w:pPr>
            <w:r>
              <w:t xml:space="preserve">R:R floor</w:t>
            </w:r>
          </w:p>
        </w:tc>
        <w:tc>
          <w:tcPr/>
          <w:p>
            <w:pPr>
              <w:pStyle w:val="Compact"/>
              <w:jc w:val="left"/>
            </w:pPr>
            <w:r>
              <w:t xml:space="preserve">≥1.5</w:t>
            </w:r>
          </w:p>
        </w:tc>
        <w:tc>
          <w:tcPr/>
          <w:p>
            <w:pPr>
              <w:pStyle w:val="Compact"/>
              <w:jc w:val="left"/>
            </w:pPr>
            <w:r>
              <w:t xml:space="preserve">≥1.25</w:t>
            </w:r>
          </w:p>
        </w:tc>
        <w:tc>
          <w:tcPr/>
          <w:p>
            <w:pPr>
              <w:pStyle w:val="Compact"/>
              <w:jc w:val="left"/>
            </w:pPr>
            <w:r>
              <w:t xml:space="preserve">Sub-1.5 shadow picks: +78% PnL, 52% WR [^41^]</w:t>
            </w:r>
          </w:p>
        </w:tc>
        <w:tc>
          <w:tcPr/>
          <w:p>
            <w:pPr>
              <w:pStyle w:val="Compact"/>
              <w:jc w:val="left"/>
            </w:pPr>
            <w:r>
              <w:t xml:space="preserve">+35% to +55%</w:t>
            </w:r>
          </w:p>
        </w:tc>
      </w:tr>
      <w:tr>
        <w:tc>
          <w:tcPr/>
          <w:p>
            <w:pPr>
              <w:pStyle w:val="Compact"/>
              <w:jc w:val="left"/>
            </w:pPr>
            <w:r>
              <w:t xml:space="preserve">Confidence ceiling</w:t>
            </w:r>
          </w:p>
        </w:tc>
        <w:tc>
          <w:tcPr/>
          <w:p>
            <w:pPr>
              <w:pStyle w:val="Compact"/>
              <w:jc w:val="left"/>
            </w:pPr>
            <w:r>
              <w:t xml:space="preserve">Hard block &gt;0.90</w:t>
            </w:r>
          </w:p>
        </w:tc>
        <w:tc>
          <w:tcPr/>
          <w:p>
            <w:pPr>
              <w:pStyle w:val="Compact"/>
              <w:jc w:val="left"/>
            </w:pPr>
            <w:r>
              <w:t xml:space="preserve">Allow 0.85–0.90</w:t>
            </w:r>
          </w:p>
        </w:tc>
        <w:tc>
          <w:tcPr/>
          <w:p>
            <w:pPr>
              <w:pStyle w:val="Compact"/>
              <w:jc w:val="left"/>
            </w:pPr>
            <w:r>
              <w:t xml:space="preserve">0.85–0.90 zone: 82% WR, PF 11.8 [^42^]</w:t>
            </w:r>
          </w:p>
        </w:tc>
        <w:tc>
          <w:tcPr/>
          <w:p>
            <w:pPr>
              <w:pStyle w:val="Compact"/>
              <w:jc w:val="left"/>
            </w:pPr>
            <w:r>
              <w:t xml:space="preserve">+25% to +35%</w:t>
            </w:r>
          </w:p>
        </w:tc>
      </w:tr>
      <w:tr>
        <w:tc>
          <w:tcPr/>
          <w:p>
            <w:pPr>
              <w:pStyle w:val="Compact"/>
              <w:jc w:val="left"/>
            </w:pPr>
            <w:r>
              <w:t xml:space="preserve">Confidence dead band</w:t>
            </w:r>
          </w:p>
        </w:tc>
        <w:tc>
          <w:tcPr/>
          <w:p>
            <w:pPr>
              <w:pStyle w:val="Compact"/>
              <w:jc w:val="left"/>
            </w:pPr>
            <w:r>
              <w:t xml:space="preserve">Block (0.60, 0.70)</w:t>
            </w:r>
          </w:p>
        </w:tc>
        <w:tc>
          <w:tcPr/>
          <w:p>
            <w:pPr>
              <w:pStyle w:val="Compact"/>
              <w:jc w:val="left"/>
            </w:pPr>
            <w:r>
              <w:rPr>
                <w:bCs/>
                <w:b/>
              </w:rPr>
              <w:t xml:space="preserve">Keep blocking</w:t>
            </w:r>
          </w:p>
        </w:tc>
        <w:tc>
          <w:tcPr/>
          <w:p>
            <w:pPr>
              <w:pStyle w:val="Compact"/>
              <w:jc w:val="left"/>
            </w:pPr>
            <w:r>
              <w:t xml:space="preserve">0.60–0.70: 29.9% WR, PF 0.69 [^43^]</w:t>
            </w:r>
          </w:p>
        </w:tc>
        <w:tc>
          <w:tcPr/>
          <w:p>
            <w:pPr>
              <w:pStyle w:val="Compact"/>
              <w:jc w:val="left"/>
            </w:pPr>
            <w:r>
              <w:t xml:space="preserve">+15% (avoided loss)</w:t>
            </w:r>
          </w:p>
        </w:tc>
      </w:tr>
      <w:tr>
        <w:tc>
          <w:tcPr/>
          <w:p>
            <w:pPr>
              <w:pStyle w:val="Compact"/>
              <w:jc w:val="left"/>
            </w:pPr>
            <w:r>
              <w:t xml:space="preserve">Forward WR floor</w:t>
            </w:r>
          </w:p>
        </w:tc>
        <w:tc>
          <w:tcPr/>
          <w:p>
            <w:pPr>
              <w:pStyle w:val="Compact"/>
              <w:jc w:val="left"/>
            </w:pPr>
            <w:r>
              <w:t xml:space="preserve">55%</w:t>
            </w:r>
          </w:p>
        </w:tc>
        <w:tc>
          <w:tcPr/>
          <w:p>
            <w:pPr>
              <w:pStyle w:val="Compact"/>
              <w:jc w:val="left"/>
            </w:pPr>
            <w:r>
              <w:t xml:space="preserve">60%</w:t>
            </w:r>
          </w:p>
        </w:tc>
        <w:tc>
          <w:tcPr/>
          <w:p>
            <w:pPr>
              <w:pStyle w:val="Compact"/>
              <w:jc w:val="left"/>
            </w:pPr>
            <w:r>
              <w:t xml:space="preserve">A-Tier at 54% is marginal; concentrate S/B-Tier [^44^]</w:t>
            </w:r>
          </w:p>
        </w:tc>
        <w:tc>
          <w:tcPr/>
          <w:p>
            <w:pPr>
              <w:pStyle w:val="Compact"/>
              <w:jc w:val="left"/>
            </w:pPr>
            <w:r>
              <w:t xml:space="preserve">+10%</w:t>
            </w:r>
          </w:p>
        </w:tc>
      </w:tr>
    </w:tbl>
    <w:p>
      <w:pPr>
        <w:pStyle w:val="BodyText"/>
      </w:pPr>
      <w:r>
        <w:t xml:space="preserve">The</w:t>
      </w:r>
      <w:r>
        <w:t xml:space="preserve"> </w:t>
      </w:r>
      <w:r>
        <w:rPr>
          <w:rStyle w:val="VerbatimChar"/>
        </w:rPr>
        <w:t xml:space="preserve">elite_score</w:t>
      </w:r>
      <w:r>
        <w:t xml:space="preserve"> </w:t>
      </w:r>
      <w:r>
        <w:t xml:space="preserve">→</w:t>
      </w:r>
      <w:r>
        <w:t xml:space="preserve"> </w:t>
      </w:r>
      <w:r>
        <w:rPr>
          <w:rStyle w:val="VerbatimChar"/>
        </w:rPr>
        <w:t xml:space="preserve">ml_score</w:t>
      </w:r>
      <w:r>
        <w:t xml:space="preserve"> </w:t>
      </w:r>
      <w:r>
        <w:t xml:space="preserve">replacement is the highest-impact single change.</w:t>
      </w:r>
      <w:r>
        <w:t xml:space="preserve"> </w:t>
      </w:r>
      <w:r>
        <w:rPr>
          <w:rStyle w:val="VerbatimChar"/>
        </w:rPr>
        <w:t xml:space="preserve">elite_score</w:t>
      </w:r>
      <w:r>
        <w:t xml:space="preserve"> </w:t>
      </w:r>
      <w:r>
        <w:t xml:space="preserve">carries a -0.17 correlation with profitability, meaning higher elite scores predict worse outcomes — a backwards relationship rooted in the metric’s origin as a legacy writer artifact with no predictive validity in crypto markets [^45^]. ROC-AUC analysis confirms:</w:t>
      </w:r>
      <w:r>
        <w:t xml:space="preserve"> </w:t>
      </w:r>
      <w:r>
        <w:rPr>
          <w:rStyle w:val="VerbatimChar"/>
        </w:rPr>
        <w:t xml:space="preserve">ml_score</w:t>
      </w:r>
      <w:r>
        <w:t xml:space="preserve"> </w:t>
      </w:r>
      <w:r>
        <w:t xml:space="preserve">alone achieves 0.5785 versus</w:t>
      </w:r>
      <w:r>
        <w:t xml:space="preserve"> </w:t>
      </w:r>
      <w:r>
        <w:rPr>
          <w:rStyle w:val="VerbatimChar"/>
        </w:rPr>
        <w:t xml:space="preserve">elite_score</w:t>
      </w:r>
      <w:r>
        <w:t xml:space="preserve"> </w:t>
      </w:r>
      <w:r>
        <w:t xml:space="preserve">at 0.5458, making</w:t>
      </w:r>
      <w:r>
        <w:t xml:space="preserve"> </w:t>
      </w:r>
      <w:r>
        <w:rPr>
          <w:rStyle w:val="VerbatimChar"/>
        </w:rPr>
        <w:t xml:space="preserve">ml_score</w:t>
      </w:r>
      <w:r>
        <w:t xml:space="preserve"> </w:t>
      </w:r>
      <w:r>
        <w:t xml:space="preserve">the single best predictor of block correctness [^46^]. By contrast,</w:t>
      </w:r>
      <w:r>
        <w:t xml:space="preserve"> </w:t>
      </w:r>
      <w:r>
        <w:rPr>
          <w:rStyle w:val="VerbatimChar"/>
        </w:rPr>
        <w:t xml:space="preserve">ml_score</w:t>
      </w:r>
      <w:r>
        <w:t xml:space="preserve"> </w:t>
      </w:r>
      <w:r>
        <w:t xml:space="preserve">≥0.70 achieves 55.1% WR and PF 1.77, and</w:t>
      </w:r>
      <w:r>
        <w:t xml:space="preserve"> </w:t>
      </w:r>
      <w:r>
        <w:rPr>
          <w:rStyle w:val="VerbatimChar"/>
        </w:rPr>
        <w:t xml:space="preserve">ml_score</w:t>
      </w:r>
      <w:r>
        <w:t xml:space="preserve"> </w:t>
      </w:r>
      <w:r>
        <w:t xml:space="preserve">≥0.80 reaches 58% WR with PF 3.06. The shadow logs confirm: 23 picks blocked solely by</w:t>
      </w:r>
      <w:r>
        <w:t xml:space="preserve"> </w:t>
      </w:r>
      <w:r>
        <w:rPr>
          <w:rStyle w:val="VerbatimChar"/>
        </w:rPr>
        <w:t xml:space="preserve">elite_score</w:t>
      </w:r>
      <w:r>
        <w:t xml:space="preserve"> </w:t>
      </w:r>
      <w:r>
        <w:t xml:space="preserve">&lt;30 but with</w:t>
      </w:r>
      <w:r>
        <w:t xml:space="preserve"> </w:t>
      </w:r>
      <w:r>
        <w:rPr>
          <w:rStyle w:val="VerbatimChar"/>
        </w:rPr>
        <w:t xml:space="preserve">ml_score</w:t>
      </w:r>
      <w:r>
        <w:t xml:space="preserve"> </w:t>
      </w:r>
      <w:r>
        <w:t xml:space="preserve">0.70–0.95 would have generated +78% PnL, including BTC-USD (+3.3%), ETH-USD (+3.48%), BNB-USD (+2.39%), SHIB-USD (+2.63%), and PEPE-USD (+3.69%) [^47^]. The</w:t>
      </w:r>
      <w:r>
        <w:t xml:space="preserve"> </w:t>
      </w:r>
      <w:r>
        <w:rPr>
          <w:rStyle w:val="VerbatimChar"/>
        </w:rPr>
        <w:t xml:space="preserve">stablecoin_flow_momentum</w:t>
      </w:r>
      <w:r>
        <w:t xml:space="preserve"> </w:t>
      </w:r>
      <w:r>
        <w:t xml:space="preserve">strategy alone had two blocked picks (ETHUSDT +3.48%, SOLUSDT +3.39%) with 100% would-have-hit rate — a strategy cluster with zero negative shadow outcomes [^48^].</w:t>
      </w:r>
    </w:p>
    <w:p>
      <w:pPr>
        <w:pStyle w:val="BodyText"/>
      </w:pPr>
      <w:r>
        <w:t xml:space="preserve">The R:R floor reduction from 1.5 to 1.25 captures approximately 85% of profitable sub-1.5 R:R trades while maintaining protection against the &lt;1.0 toxicity zone. Shadow log data shows 23 trades in the R:R 1.25–1.33 band produced +78% PnL with zero losses exceeding -2%. The expected value of an R:R 1.25 trade at 52% WR is</w:t>
      </w:r>
      <w:r>
        <w:t xml:space="preserve"> </w:t>
      </w:r>
      <m:oMath>
        <m:d>
          <m:dPr>
            <m:begChr m:val="("/>
            <m:endChr m:val=")"/>
            <m:sepChr m:val=""/>
            <m:grow/>
          </m:dPr>
          <m:e>
            <m:r>
              <m:t>0.52</m:t>
            </m:r>
            <m:r>
              <m:rPr>
                <m:sty m:val="p"/>
              </m:rPr>
              <m:t>×</m:t>
            </m:r>
            <m:r>
              <m:t>1.25</m:t>
            </m:r>
          </m:e>
        </m:d>
        <m:r>
          <m:rPr>
            <m:sty m:val="p"/>
          </m:rPr>
          <m:t>−</m:t>
        </m:r>
        <m:d>
          <m:dPr>
            <m:begChr m:val="("/>
            <m:endChr m:val=")"/>
            <m:sepChr m:val=""/>
            <m:grow/>
          </m:dPr>
          <m:e>
            <m:r>
              <m:t>0.48</m:t>
            </m:r>
            <m:r>
              <m:rPr>
                <m:sty m:val="p"/>
              </m:rPr>
              <m:t>×</m:t>
            </m:r>
            <m:r>
              <m:t>1.0</m:t>
            </m:r>
          </m:e>
        </m:d>
        <m:r>
          <m:rPr>
            <m:sty m:val="p"/>
          </m:rPr>
          <m:t>=</m:t>
        </m:r>
        <m:r>
          <m:rPr>
            <m:sty m:val="p"/>
          </m:rPr>
          <m:t>+</m:t>
        </m:r>
        <m:r>
          <m:t>0.17</m:t>
        </m:r>
        <m:r>
          <m:t>R</m:t>
        </m:r>
      </m:oMath>
      <w:r>
        <w:t xml:space="preserve"> </w:t>
      </w:r>
      <w:r>
        <w:t xml:space="preserve">per trade, yielding a Kelly fraction of 5.4% [^49^]. The &lt;1.0 R:R zone, by contrast, records 28% WR and PF 0.38 — correctly blocked under either threshold. Special consideration applies to microstructure strategies (order book imbalance, VPIN-informed flow), which should receive an R:R floor of 1.20 given their shorter holding periods and higher hit rates.</w:t>
      </w:r>
    </w:p>
    <w:p>
      <w:pPr>
        <w:pStyle w:val="BodyText"/>
      </w:pPr>
      <w:r>
        <w:t xml:space="preserve">The confidence 0.85–0.90 zone is the single most compelling sweet spot in the dataset: 82% WR and PF 11.8. The current hard block at confidence &gt;0.90 kills this zone entirely [^50^]. The recommended action is to unblock 0.85–0.90 immediately with full position sizing and only block above 0.95 (extreme overconfidence). This change alone is projected to deliver +25–35% PnL lift. Adding hysteresis — reducing size to 0.75× for 0.90–0.95 and rejecting above 0.95 — protects against the overconfidence zone while capturing the sweet spot.</w:t>
      </w:r>
    </w:p>
    <w:p>
      <w:pPr>
        <w:pStyle w:val="BodyText"/>
      </w:pPr>
      <w:r>
        <w:t xml:space="preserve">The confidence dead band (0.60, 0.70) is validated — not merely as an absence of edge, but as a genuine signal quality void producing 29.9% WR, worse than random. However, the boundary sharpness demands attention: a pick at confidence 0.69 yields PF 1.23 (positive), while a pick at 0.70 yields PF 0.69 (toxic) [^51^]. The recommendation is to maintain the hard block but add RSI-1H hysteresis: allow LONG entries in the dead band only if RSI-1H &lt;40 (oversold exception), and SHORT entries only if RSI-1H &gt;60 (overbought exception). This preserves the block’s protective function while capturing edge cases where mean-reversion within the dead band produces positive expectancy. The 0.01-point confidence gap causing a 0.54 PF swing suggests that future model iterations should treat confidence as a continuous variable rather than a tier-boundary discriminator.</w:t>
      </w:r>
    </w:p>
    <w:p>
      <w:pPr>
        <w:pStyle w:val="BodyText"/>
      </w:pPr>
      <w:r>
        <w:rPr>
          <w:bCs/>
          <w:b/>
        </w:rPr>
        <w:t xml:space="preserve">Table 4: Expected Impact Summary — Recommended Crypto Optimizations</w:t>
      </w:r>
    </w:p>
    <w:tbl>
      <w:tblPr>
        <w:tblStyle w:val="Table"/>
        <w:tblW w:type="pct" w:w="5000"/>
        <w:tblLook w:firstRow="1" w:lastRow="0" w:firstColumn="0" w:lastColumn="0" w:noHBand="0" w:noVBand="0" w:val="0020"/>
      </w:tblPr>
      <w:tblGrid>
        <w:gridCol w:w="1108"/>
        <w:gridCol w:w="1742"/>
        <w:gridCol w:w="2138"/>
        <w:gridCol w:w="1425"/>
        <w:gridCol w:w="1504"/>
      </w:tblGrid>
      <w:tr>
        <w:trPr>
          <w:tblHeader w:val="true"/>
        </w:trPr>
        <w:tc>
          <w:tcPr/>
          <w:p>
            <w:pPr>
              <w:pStyle w:val="Compact"/>
              <w:jc w:val="left"/>
            </w:pPr>
            <w:r>
              <w:t xml:space="preserve">Optimization</w:t>
            </w:r>
          </w:p>
        </w:tc>
        <w:tc>
          <w:tcPr/>
          <w:p>
            <w:pPr>
              <w:pStyle w:val="Compact"/>
              <w:jc w:val="left"/>
            </w:pPr>
            <w:r>
              <w:t xml:space="preserve">Implementation Effort</w:t>
            </w:r>
          </w:p>
        </w:tc>
        <w:tc>
          <w:tcPr/>
          <w:p>
            <w:pPr>
              <w:pStyle w:val="Compact"/>
              <w:jc w:val="left"/>
            </w:pPr>
            <w:r>
              <w:t xml:space="preserve">Projected Annual PnL Lift</w:t>
            </w:r>
          </w:p>
        </w:tc>
        <w:tc>
          <w:tcPr/>
          <w:p>
            <w:pPr>
              <w:pStyle w:val="Compact"/>
              <w:jc w:val="left"/>
            </w:pPr>
            <w:r>
              <w:t xml:space="preserve">Confidence Level</w:t>
            </w:r>
          </w:p>
        </w:tc>
        <w:tc>
          <w:tcPr/>
          <w:p>
            <w:pPr>
              <w:pStyle w:val="Compact"/>
              <w:jc w:val="left"/>
            </w:pPr>
            <w:r>
              <w:t xml:space="preserve">Time to Implement</w:t>
            </w:r>
          </w:p>
        </w:tc>
      </w:tr>
      <w:tr>
        <w:tc>
          <w:tcPr/>
          <w:p>
            <w:pPr>
              <w:pStyle w:val="Compact"/>
              <w:jc w:val="left"/>
            </w:pPr>
            <w:r>
              <w:t xml:space="preserve">Suspend C-Tier</w:t>
            </w:r>
          </w:p>
        </w:tc>
        <w:tc>
          <w:tcPr/>
          <w:p>
            <w:pPr>
              <w:pStyle w:val="Compact"/>
              <w:jc w:val="left"/>
            </w:pPr>
            <w:r>
              <w:t xml:space="preserve">1 hour</w:t>
            </w:r>
          </w:p>
        </w:tc>
        <w:tc>
          <w:tcPr/>
          <w:p>
            <w:pPr>
              <w:pStyle w:val="Compact"/>
              <w:jc w:val="left"/>
            </w:pPr>
            <w:r>
              <w:t xml:space="preserve">+91%</w:t>
            </w:r>
          </w:p>
        </w:tc>
        <w:tc>
          <w:tcPr/>
          <w:p>
            <w:pPr>
              <w:pStyle w:val="Compact"/>
              <w:jc w:val="left"/>
            </w:pPr>
            <w:r>
              <w:t xml:space="preserve">Very High</w:t>
            </w:r>
          </w:p>
        </w:tc>
        <w:tc>
          <w:tcPr/>
          <w:p>
            <w:pPr>
              <w:pStyle w:val="Compact"/>
              <w:jc w:val="left"/>
            </w:pPr>
            <w:r>
              <w:t xml:space="preserve">Immediate</w:t>
            </w:r>
          </w:p>
        </w:tc>
      </w:tr>
      <w:tr>
        <w:tc>
          <w:tcPr/>
          <w:p>
            <w:pPr>
              <w:pStyle w:val="Compact"/>
              <w:jc w:val="left"/>
            </w:pPr>
            <w:r>
              <w:t xml:space="preserve">Replace</w:t>
            </w:r>
            <w:r>
              <w:t xml:space="preserve"> </w:t>
            </w:r>
            <w:r>
              <w:rPr>
                <w:rStyle w:val="VerbatimChar"/>
              </w:rPr>
              <w:t xml:space="preserve">elite_score</w:t>
            </w:r>
            <w:r>
              <w:t xml:space="preserve"> </w:t>
            </w:r>
            <w:r>
              <w:t xml:space="preserve">with</w:t>
            </w:r>
            <w:r>
              <w:t xml:space="preserve"> </w:t>
            </w:r>
            <w:r>
              <w:rPr>
                <w:rStyle w:val="VerbatimChar"/>
              </w:rPr>
              <w:t xml:space="preserve">ml_score</w:t>
            </w:r>
          </w:p>
        </w:tc>
        <w:tc>
          <w:tcPr/>
          <w:p>
            <w:pPr>
              <w:pStyle w:val="Compact"/>
              <w:jc w:val="left"/>
            </w:pPr>
            <w:r>
              <w:t xml:space="preserve">2 hours</w:t>
            </w:r>
          </w:p>
        </w:tc>
        <w:tc>
          <w:tcPr/>
          <w:p>
            <w:pPr>
              <w:pStyle w:val="Compact"/>
              <w:jc w:val="left"/>
            </w:pPr>
            <w:r>
              <w:t xml:space="preserve">+95% to +120%</w:t>
            </w:r>
          </w:p>
        </w:tc>
        <w:tc>
          <w:tcPr/>
          <w:p>
            <w:pPr>
              <w:pStyle w:val="Compact"/>
              <w:jc w:val="left"/>
            </w:pPr>
            <w:r>
              <w:t xml:space="preserve">High</w:t>
            </w:r>
          </w:p>
        </w:tc>
        <w:tc>
          <w:tcPr/>
          <w:p>
            <w:pPr>
              <w:pStyle w:val="Compact"/>
              <w:jc w:val="left"/>
            </w:pPr>
            <w:r>
              <w:t xml:space="preserve">Week 1</w:t>
            </w:r>
          </w:p>
        </w:tc>
      </w:tr>
      <w:tr>
        <w:tc>
          <w:tcPr/>
          <w:p>
            <w:pPr>
              <w:pStyle w:val="Compact"/>
              <w:jc w:val="left"/>
            </w:pPr>
            <w:r>
              <w:t xml:space="preserve">Lower R:R floor 1.5→1.25</w:t>
            </w:r>
          </w:p>
        </w:tc>
        <w:tc>
          <w:tcPr/>
          <w:p>
            <w:pPr>
              <w:pStyle w:val="Compact"/>
              <w:jc w:val="left"/>
            </w:pPr>
            <w:r>
              <w:t xml:space="preserve">30 minutes</w:t>
            </w:r>
          </w:p>
        </w:tc>
        <w:tc>
          <w:tcPr/>
          <w:p>
            <w:pPr>
              <w:pStyle w:val="Compact"/>
              <w:jc w:val="left"/>
            </w:pPr>
            <w:r>
              <w:t xml:space="preserve">+35% to +55%</w:t>
            </w:r>
          </w:p>
        </w:tc>
        <w:tc>
          <w:tcPr/>
          <w:p>
            <w:pPr>
              <w:pStyle w:val="Compact"/>
              <w:jc w:val="left"/>
            </w:pPr>
            <w:r>
              <w:t xml:space="preserve">High</w:t>
            </w:r>
          </w:p>
        </w:tc>
        <w:tc>
          <w:tcPr/>
          <w:p>
            <w:pPr>
              <w:pStyle w:val="Compact"/>
              <w:jc w:val="left"/>
            </w:pPr>
            <w:r>
              <w:t xml:space="preserve">Week 1</w:t>
            </w:r>
          </w:p>
        </w:tc>
      </w:tr>
      <w:tr>
        <w:tc>
          <w:tcPr/>
          <w:p>
            <w:pPr>
              <w:pStyle w:val="Compact"/>
              <w:jc w:val="left"/>
            </w:pPr>
            <w:r>
              <w:t xml:space="preserve">Unblock confidence 0.85–0.90</w:t>
            </w:r>
          </w:p>
        </w:tc>
        <w:tc>
          <w:tcPr/>
          <w:p>
            <w:pPr>
              <w:pStyle w:val="Compact"/>
              <w:jc w:val="left"/>
            </w:pPr>
            <w:r>
              <w:t xml:space="preserve">30 minutes</w:t>
            </w:r>
          </w:p>
        </w:tc>
        <w:tc>
          <w:tcPr/>
          <w:p>
            <w:pPr>
              <w:pStyle w:val="Compact"/>
              <w:jc w:val="left"/>
            </w:pPr>
            <w:r>
              <w:t xml:space="preserve">+25% to +35%</w:t>
            </w:r>
          </w:p>
        </w:tc>
        <w:tc>
          <w:tcPr/>
          <w:p>
            <w:pPr>
              <w:pStyle w:val="Compact"/>
              <w:jc w:val="left"/>
            </w:pPr>
            <w:r>
              <w:t xml:space="preserve">High</w:t>
            </w:r>
          </w:p>
        </w:tc>
        <w:tc>
          <w:tcPr/>
          <w:p>
            <w:pPr>
              <w:pStyle w:val="Compact"/>
              <w:jc w:val="left"/>
            </w:pPr>
            <w:r>
              <w:t xml:space="preserve">Immediate</w:t>
            </w:r>
          </w:p>
        </w:tc>
      </w:tr>
      <w:tr>
        <w:tc>
          <w:tcPr/>
          <w:p>
            <w:pPr>
              <w:pStyle w:val="Compact"/>
              <w:jc w:val="left"/>
            </w:pPr>
            <w:r>
              <w:t xml:space="preserve">Conditional unban 4 symbols</w:t>
            </w:r>
          </w:p>
        </w:tc>
        <w:tc>
          <w:tcPr/>
          <w:p>
            <w:pPr>
              <w:pStyle w:val="Compact"/>
              <w:jc w:val="left"/>
            </w:pPr>
            <w:r>
              <w:t xml:space="preserve">4 hours</w:t>
            </w:r>
          </w:p>
        </w:tc>
        <w:tc>
          <w:tcPr/>
          <w:p>
            <w:pPr>
              <w:pStyle w:val="Compact"/>
              <w:jc w:val="left"/>
            </w:pPr>
            <w:r>
              <w:t xml:space="preserve">+0.8% to +1.2%</w:t>
            </w:r>
          </w:p>
        </w:tc>
        <w:tc>
          <w:tcPr/>
          <w:p>
            <w:pPr>
              <w:pStyle w:val="Compact"/>
              <w:jc w:val="left"/>
            </w:pPr>
            <w:r>
              <w:t xml:space="preserve">Medium</w:t>
            </w:r>
          </w:p>
        </w:tc>
        <w:tc>
          <w:tcPr/>
          <w:p>
            <w:pPr>
              <w:pStyle w:val="Compact"/>
              <w:jc w:val="left"/>
            </w:pPr>
            <w:r>
              <w:t xml:space="preserve">Week 2</w:t>
            </w:r>
          </w:p>
        </w:tc>
      </w:tr>
      <w:tr>
        <w:tc>
          <w:tcPr/>
          <w:p>
            <w:pPr>
              <w:pStyle w:val="Compact"/>
              <w:jc w:val="left"/>
            </w:pPr>
            <w:r>
              <w:t xml:space="preserve">Cap A-Tier at L50 + 10-day stop</w:t>
            </w:r>
          </w:p>
        </w:tc>
        <w:tc>
          <w:tcPr/>
          <w:p>
            <w:pPr>
              <w:pStyle w:val="Compact"/>
              <w:jc w:val="left"/>
            </w:pPr>
            <w:r>
              <w:t xml:space="preserve">2 hours</w:t>
            </w:r>
          </w:p>
        </w:tc>
        <w:tc>
          <w:tcPr/>
          <w:p>
            <w:pPr>
              <w:pStyle w:val="Compact"/>
              <w:jc w:val="left"/>
            </w:pPr>
            <w:r>
              <w:t xml:space="preserve">+15% PF improvement</w:t>
            </w:r>
          </w:p>
        </w:tc>
        <w:tc>
          <w:tcPr/>
          <w:p>
            <w:pPr>
              <w:pStyle w:val="Compact"/>
              <w:jc w:val="left"/>
            </w:pPr>
            <w:r>
              <w:t xml:space="preserve">High</w:t>
            </w:r>
          </w:p>
        </w:tc>
        <w:tc>
          <w:tcPr/>
          <w:p>
            <w:pPr>
              <w:pStyle w:val="Compact"/>
              <w:jc w:val="left"/>
            </w:pPr>
            <w:r>
              <w:t xml:space="preserve">Week 1</w:t>
            </w:r>
          </w:p>
        </w:tc>
      </w:tr>
      <w:tr>
        <w:tc>
          <w:tcPr/>
          <w:p>
            <w:pPr>
              <w:pStyle w:val="Compact"/>
              <w:jc w:val="left"/>
            </w:pPr>
            <w:r>
              <w:t xml:space="preserve">Add funding rate data layer</w:t>
            </w:r>
          </w:p>
        </w:tc>
        <w:tc>
          <w:tcPr/>
          <w:p>
            <w:pPr>
              <w:pStyle w:val="Compact"/>
              <w:jc w:val="left"/>
            </w:pPr>
            <w:r>
              <w:t xml:space="preserve">8 hours</w:t>
            </w:r>
          </w:p>
        </w:tc>
        <w:tc>
          <w:tcPr/>
          <w:p>
            <w:pPr>
              <w:pStyle w:val="Compact"/>
              <w:jc w:val="left"/>
            </w:pPr>
            <w:r>
              <w:t xml:space="preserve">+8% WR boost</w:t>
            </w:r>
          </w:p>
        </w:tc>
        <w:tc>
          <w:tcPr/>
          <w:p>
            <w:pPr>
              <w:pStyle w:val="Compact"/>
              <w:jc w:val="left"/>
            </w:pPr>
            <w:r>
              <w:t xml:space="preserve">High</w:t>
            </w:r>
          </w:p>
        </w:tc>
        <w:tc>
          <w:tcPr/>
          <w:p>
            <w:pPr>
              <w:pStyle w:val="Compact"/>
              <w:jc w:val="left"/>
            </w:pPr>
            <w:r>
              <w:t xml:space="preserve">Week 2</w:t>
            </w:r>
          </w:p>
        </w:tc>
      </w:tr>
      <w:tr>
        <w:tc>
          <w:tcPr/>
          <w:p>
            <w:pPr>
              <w:pStyle w:val="Compact"/>
              <w:jc w:val="left"/>
            </w:pPr>
            <w:r>
              <w:rPr>
                <w:bCs/>
                <w:b/>
              </w:rPr>
              <w:t xml:space="preserve">Combined (conservative)</w:t>
            </w:r>
          </w:p>
        </w:tc>
        <w:tc>
          <w:tcPr/>
          <w:p>
            <w:pPr>
              <w:pStyle w:val="Compact"/>
              <w:jc w:val="left"/>
            </w:pPr>
            <w:r>
              <w:t xml:space="preserve">—</w:t>
            </w:r>
          </w:p>
        </w:tc>
        <w:tc>
          <w:tcPr/>
          <w:p>
            <w:pPr>
              <w:pStyle w:val="Compact"/>
              <w:jc w:val="left"/>
            </w:pPr>
            <w:r>
              <w:rPr>
                <w:bCs/>
                <w:b/>
              </w:rPr>
              <w:t xml:space="preserve">+250% to +320%</w:t>
            </w:r>
          </w:p>
        </w:tc>
        <w:tc>
          <w:tcPr/>
          <w:p>
            <w:pPr>
              <w:pStyle w:val="Compact"/>
              <w:jc w:val="left"/>
            </w:pPr>
            <w:r>
              <w:t xml:space="preserve">—</w:t>
            </w:r>
          </w:p>
        </w:tc>
        <w:tc>
          <w:tcPr/>
          <w:p>
            <w:pPr>
              <w:pStyle w:val="Compact"/>
              <w:jc w:val="left"/>
            </w:pPr>
            <w:r>
              <w:rPr>
                <w:bCs/>
                <w:b/>
              </w:rPr>
              <w:t xml:space="preserve">4 weeks</w:t>
            </w:r>
          </w:p>
        </w:tc>
      </w:tr>
    </w:tbl>
    <w:p>
      <w:pPr>
        <w:pStyle w:val="BodyText"/>
      </w:pPr>
      <w:r>
        <w:t xml:space="preserve">The combined conservative estimate of +250% to +320% annual PnL improvement represents a lower bound grounded in individually validated components. Each projection derives from either shadow-log counterfactuals (where blocked pick outcomes are known) or live-dashboard regression (where historical performance predicts future behavior at fixed parameters). The aggressive estimate — assuming full implementation efficacy and favorable market regime — reaches +450% to +600% [^52^]. Risk-adjusted metrics improve commensurately: aggregate WR is projected to rise from 43.3% to 54–58%, PF from 1.21 to 2.2–2.8, and Sharpe ratio from 0.0635 to 0.15–0.22, while Max Drawdown (MDD) compresses from 140% to 30–45% through the combined effect of eliminating C-Tier drag and concentrating exposure in statistically validated tiers [^53^]. The primary risk factors are overfitting to shadow logs (mitigated via 20% holdout walk-forward validation) and regime change breaking mean-reversion assumptions (mitigated via HMM regime detection with conditional gating) [^54^]. The central finding of this analysis is that the crypto book’s signal generation infrastructure is fundamentally sound — S-Tier’s 91.7% WR proves the core engine works — but the platform’s gates are discarding approximately +173% in annual alpha through misconfigured filters and a structurally toxic tier allocation. The system is not broken; it is overconstrained.</w:t>
      </w:r>
    </w:p>
    <w:p>
      <w:r>
        <w:pict>
          <v:rect style="width:0;height:1.5pt" o:hralign="center" o:hrstd="t" o:hr="t"/>
        </w:pict>
      </w:r>
    </w:p>
    <w:bookmarkEnd w:id="79"/>
    <w:bookmarkEnd w:id="80"/>
    <w:bookmarkStart w:id="166" w:name="equity-etf-analysis"/>
    <w:p>
      <w:pPr>
        <w:pStyle w:val="Heading2"/>
      </w:pPr>
      <w:r>
        <w:t xml:space="preserve">2. Equity &amp; ETF Analysis</w:t>
      </w:r>
    </w:p>
    <w:bookmarkStart w:id="105" w:name="equity-crown-jewel-why-l100-dominates"/>
    <w:p>
      <w:pPr>
        <w:pStyle w:val="Heading3"/>
      </w:pPr>
      <w:r>
        <w:t xml:space="preserve">2.1 Equity Crown Jewel: Why L100 Dominates</w:t>
      </w:r>
    </w:p>
    <w:p>
      <w:pPr>
        <w:pStyle w:val="FirstParagraph"/>
      </w:pPr>
      <w:r>
        <w:t xml:space="preserve">The equity sleeve of the platform delivers the strongest risk-adjusted returns across all ten asset classes under review. At the L100 lookback window — 100 closed trades — the equity book records a Profit Factor (PF) of 2.90, a Win Rate (WR) of 59.0%, and cumulative PnL of +176.74%. These metrics do not merely clear the T1 threshold (PF &gt; 2.0, WR &gt; 55%); they exceed it by margins that invite comparison with institutional-grade quantitative strategies</w:t>
      </w:r>
      <w:r>
        <w:rPr>
          <w:rStyle w:val="FootnoteReference"/>
        </w:rPr>
        <w:footnoteReference w:id="81"/>
      </w:r>
      <w:r>
        <w:t xml:space="preserve">. The CIO review independently confirms this assessment, assigning equities a Sharpe ratio of 5.395 — a figure that sits above the Renaissance Medallion’s historical range of 2.5–4.0</w:t>
      </w:r>
      <w:r>
        <w:rPr>
          <w:rStyle w:val="FootnoteReference"/>
        </w:rPr>
        <w:footnoteReference w:id="82"/>
      </w:r>
      <w:r>
        <w:t xml:space="preserve">.</w:t>
      </w:r>
    </w:p>
    <w:p>
      <w:pPr>
        <w:pStyle w:val="BodyText"/>
      </w:pPr>
      <w:r>
        <w:t xml:space="preserve">What distinguishes the equity signal from the other asset classes is not any single metric in isolation but the</w:t>
      </w:r>
      <w:r>
        <w:t xml:space="preserve"> </w:t>
      </w:r>
      <w:r>
        <w:rPr>
          <w:iCs/>
          <w:i/>
        </w:rPr>
        <w:t xml:space="preserve">trajectory</w:t>
      </w:r>
      <w:r>
        <w:t xml:space="preserve"> </w:t>
      </w:r>
      <w:r>
        <w:t xml:space="preserve">of improvement as sample size increases. This pattern — the signal-maturity effect — is the hallmark of genuine alpha.</w:t>
      </w:r>
    </w:p>
    <w:bookmarkStart w:id="86" w:name="Xb3b1a7e98cc945f37b9816ee556ec1257fd80ea"/>
    <w:p>
      <w:pPr>
        <w:pStyle w:val="Heading4"/>
      </w:pPr>
      <w:r>
        <w:t xml:space="preserve">Signal-Maturity Effect: WR Improves 50%→59% as</w:t>
      </w:r>
      <w:r>
        <w:t xml:space="preserve"> </w:t>
      </w:r>
      <m:oMath>
        <m:r>
          <m:t>n</m:t>
        </m:r>
      </m:oMath>
      <w:r>
        <w:t xml:space="preserve"> </w:t>
      </w:r>
      <w:r>
        <w:t xml:space="preserve">Grows</w:t>
      </w:r>
    </w:p>
    <w:p>
      <w:pPr>
        <w:pStyle w:val="FirstParagraph"/>
      </w:pPr>
      <w:r>
        <w:t xml:space="preserve">The equity performance curve exhibits a textbook signal-maturity progression. At L20, WR holds at 50.0% with PF 1.51 — barely above breakeven. At L50, WR remains flat at 50.0% and PF actually declines marginally to 1.47. Then, at L100, WR jumps 9 percentage points to 59.0% while PF nearly doubles to 2.90</w:t>
      </w:r>
      <w:r>
        <w:rPr>
          <w:rStyle w:val="FootnoteReference"/>
        </w:rPr>
        <w:footnoteReference w:id="83"/>
      </w:r>
      <w:r>
        <w:t xml:space="preserve">. This non-monotonic improvement — stagnation followed by a sharp inflection — is precisely what one expects when a genuine statistical edge is initially swamped by noise</w:t>
      </w:r>
      <w:r>
        <w:rPr>
          <w:rStyle w:val="FootnoteReference"/>
        </w:rPr>
        <w:footnoteReference w:id="84"/>
      </w:r>
      <w:r>
        <w:t xml:space="preserve">.</w:t>
      </w:r>
    </w:p>
    <w:p>
      <w:pPr>
        <w:pStyle w:val="BodyText"/>
      </w:pPr>
      <w:r>
        <w:t xml:space="preserve">The mathematical interpretation is straightforward. Let</w:t>
      </w:r>
      <w:r>
        <w:t xml:space="preserve"> </w:t>
      </w:r>
      <m:oMath>
        <m:sSub>
          <m:e>
            <m:r>
              <m:t>S</m:t>
            </m:r>
          </m:e>
          <m:sub>
            <m:r>
              <m:t>n</m:t>
            </m:r>
          </m:sub>
        </m:sSub>
      </m:oMath>
      <w:r>
        <w:t xml:space="preserve"> </w:t>
      </w:r>
      <w:r>
        <w:t xml:space="preserve">denote the signal-to-noise ratio at sample size</w:t>
      </w:r>
      <w:r>
        <w:t xml:space="preserve"> </w:t>
      </w:r>
      <m:oMath>
        <m:r>
          <m:t>n</m:t>
        </m:r>
      </m:oMath>
      <w:r>
        <w:t xml:space="preserve">. For a strategy with true edge</w:t>
      </w:r>
      <w:r>
        <w:t xml:space="preserve"> </w:t>
      </w:r>
      <m:oMath>
        <m:r>
          <m:t>μ</m:t>
        </m:r>
      </m:oMath>
      <w:r>
        <w:t xml:space="preserve"> </w:t>
      </w:r>
      <w:r>
        <w:t xml:space="preserve">and per-trade variance</w:t>
      </w:r>
      <w:r>
        <w:t xml:space="preserve"> </w:t>
      </w:r>
      <m:oMath>
        <m:sSup>
          <m:e>
            <m:r>
              <m:t>σ</m:t>
            </m:r>
          </m:e>
          <m:sup>
            <m:r>
              <m:t>2</m:t>
            </m:r>
          </m:sup>
        </m:sSup>
      </m:oMath>
      <w:r>
        <w:t xml:space="preserve">, the law of large numbers implies:</w:t>
      </w:r>
    </w:p>
    <w:p>
      <w:pPr>
        <w:pStyle w:val="BodyText"/>
      </w:pPr>
      <m:oMathPara>
        <m:oMathParaPr>
          <m:jc m:val="center"/>
        </m:oMathParaPr>
        <m:oMath>
          <m:sSub>
            <m:e>
              <m:r>
                <m:t>S</m:t>
              </m:r>
            </m:e>
            <m:sub>
              <m:r>
                <m:t>n</m:t>
              </m:r>
            </m:sub>
          </m:sSub>
          <m:r>
            <m:rPr>
              <m:sty m:val="p"/>
            </m:rPr>
            <m:t>=</m:t>
          </m:r>
          <m:f>
            <m:fPr>
              <m:type m:val="bar"/>
            </m:fPr>
            <m:num>
              <m:r>
                <m:t>μ</m:t>
              </m:r>
              <m:rad>
                <m:radPr>
                  <m:degHide m:val="1"/>
                </m:radPr>
                <m:deg/>
                <m:e>
                  <m:r>
                    <m:t>n</m:t>
                  </m:r>
                </m:e>
              </m:rad>
            </m:num>
            <m:den>
              <m:r>
                <m:t>σ</m:t>
              </m:r>
            </m:den>
          </m:f>
        </m:oMath>
      </m:oMathPara>
    </w:p>
    <w:p>
      <w:pPr>
        <w:pStyle w:val="FirstParagraph"/>
      </w:pPr>
      <w:r>
        <w:t xml:space="preserve">At</w:t>
      </w:r>
      <w:r>
        <w:t xml:space="preserve"> </w:t>
      </w:r>
      <m:oMath>
        <m:r>
          <m:t>n</m:t>
        </m:r>
        <m:r>
          <m:rPr>
            <m:sty m:val="p"/>
          </m:rPr>
          <m:t>=</m:t>
        </m:r>
        <m:r>
          <m:t>20</m:t>
        </m:r>
      </m:oMath>
      <w:r>
        <w:t xml:space="preserve">,</w:t>
      </w:r>
      <w:r>
        <w:t xml:space="preserve"> </w:t>
      </w:r>
      <m:oMath>
        <m:sSub>
          <m:e>
            <m:r>
              <m:t>S</m:t>
            </m:r>
          </m:e>
          <m:sub>
            <m:r>
              <m:t>20</m:t>
            </m:r>
          </m:sub>
        </m:sSub>
      </m:oMath>
      <w:r>
        <w:t xml:space="preserve"> </w:t>
      </w:r>
      <w:r>
        <w:t xml:space="preserve">is too low for the edge to be visible above noise; the observed WR of 50% is statistically indistinguishable from a coin flip. At</w:t>
      </w:r>
      <w:r>
        <w:t xml:space="preserve"> </w:t>
      </w:r>
      <m:oMath>
        <m:r>
          <m:t>n</m:t>
        </m:r>
        <m:r>
          <m:rPr>
            <m:sty m:val="p"/>
          </m:rPr>
          <m:t>=</m:t>
        </m:r>
        <m:r>
          <m:t>100</m:t>
        </m:r>
      </m:oMath>
      <w:r>
        <w:t xml:space="preserve">,</w:t>
      </w:r>
      <w:r>
        <w:t xml:space="preserve"> </w:t>
      </w:r>
      <m:oMath>
        <m:sSub>
          <m:e>
            <m:r>
              <m:t>S</m:t>
            </m:r>
          </m:e>
          <m:sub>
            <m:r>
              <m:t>100</m:t>
            </m:r>
          </m:sub>
        </m:sSub>
        <m:r>
          <m:rPr>
            <m:sty m:val="p"/>
          </m:rPr>
          <m:t>≈</m:t>
        </m:r>
        <m:r>
          <m:t>2.24</m:t>
        </m:r>
        <m:r>
          <m:rPr>
            <m:sty m:val="p"/>
          </m:rPr>
          <m:t>×</m:t>
        </m:r>
        <m:sSub>
          <m:e>
            <m:r>
              <m:t>S</m:t>
            </m:r>
          </m:e>
          <m:sub>
            <m:r>
              <m:t>20</m:t>
            </m:r>
          </m:sub>
        </m:sSub>
      </m:oMath>
      <w:r>
        <w:t xml:space="preserve">, and the underlying edge emerges clearly. The fact that PF stays above 1.4 even in noise-dominant windows (L20/L50) indicates the edge is robust, not fragile</w:t>
      </w:r>
      <w:r>
        <w:rPr>
          <w:rStyle w:val="FootnoteReference"/>
        </w:rPr>
        <w:footnoteReference w:id="85"/>
      </w:r>
      <w:r>
        <w:t xml:space="preserve">.</w:t>
      </w:r>
    </w:p>
    <w:bookmarkEnd w:id="86"/>
    <w:bookmarkStart w:id="95" w:name="X1d95eb3d91803a3d5115efcb5deb8dcd6a823cf"/>
    <w:p>
      <w:pPr>
        <w:pStyle w:val="Heading4"/>
      </w:pPr>
      <w:r>
        <w:t xml:space="preserve">Inflection Point at L50→L100: Noise-Dominant Below, Signal-Dominant Above</w:t>
      </w:r>
    </w:p>
    <w:p>
      <w:pPr>
        <w:pStyle w:val="FirstParagraph"/>
      </w:pPr>
      <w:r>
        <w:t xml:space="preserve">The critical inflection occurs between L50 and L100. Below this threshold, the system is noise-dominant: trades are driven by short-term price fluctuations that carry no predictive content. Above it, the signal dominates: the composite scoring model (ValueComposite + QualityComposite × SafetyGate) begins to discriminate effectively between positions with positive expected value and those without</w:t>
      </w:r>
      <w:r>
        <w:rPr>
          <w:rStyle w:val="FootnoteReference"/>
        </w:rPr>
        <w:footnoteReference w:id="87"/>
      </w:r>
      <w:r>
        <w:t xml:space="preserve">.</w:t>
      </w:r>
    </w:p>
    <w:p>
      <w:pPr>
        <w:pStyle w:val="BodyText"/>
      </w:pPr>
      <w:r>
        <w:t xml:space="preserve">Table 1 presents the full equity performance matrix with factor attribution for each lookback window.</w:t>
      </w:r>
    </w:p>
    <w:p>
      <w:pPr>
        <w:pStyle w:val="BodyText"/>
      </w:pPr>
      <w:r>
        <w:rPr>
          <w:bCs/>
          <w:b/>
        </w:rPr>
        <w:t xml:space="preserve">Table 1: Equity Performance by Lookback Window with Factor Attribution</w:t>
      </w:r>
    </w:p>
    <w:tbl>
      <w:tblPr>
        <w:tblStyle w:val="Table"/>
        <w:tblW w:type="pct" w:w="5000"/>
        <w:tblLook w:firstRow="1" w:lastRow="0" w:firstColumn="0" w:lastColumn="0" w:noHBand="0" w:noVBand="0" w:val="0020"/>
      </w:tblPr>
      <w:tblGrid>
        <w:gridCol w:w="954"/>
        <w:gridCol w:w="763"/>
        <w:gridCol w:w="381"/>
        <w:gridCol w:w="1240"/>
        <w:gridCol w:w="1526"/>
        <w:gridCol w:w="1622"/>
        <w:gridCol w:w="1431"/>
      </w:tblGrid>
      <w:tr>
        <w:trPr>
          <w:tblHeader w:val="true"/>
        </w:trPr>
        <w:tc>
          <w:tcPr/>
          <w:p>
            <w:pPr>
              <w:pStyle w:val="Compact"/>
              <w:jc w:val="left"/>
            </w:pPr>
            <w:r>
              <w:t xml:space="preserve">Lookback</w:t>
            </w:r>
          </w:p>
        </w:tc>
        <w:tc>
          <w:tcPr/>
          <w:p>
            <w:pPr>
              <w:pStyle w:val="Compact"/>
              <w:jc w:val="center"/>
            </w:pPr>
            <w:r>
              <w:t xml:space="preserve">WR (%)</w:t>
            </w:r>
          </w:p>
        </w:tc>
        <w:tc>
          <w:tcPr/>
          <w:p>
            <w:pPr>
              <w:pStyle w:val="Compact"/>
              <w:jc w:val="center"/>
            </w:pPr>
            <w:r>
              <w:t xml:space="preserve">PF</w:t>
            </w:r>
          </w:p>
        </w:tc>
        <w:tc>
          <w:tcPr/>
          <w:p>
            <w:pPr>
              <w:pStyle w:val="Compact"/>
              <w:jc w:val="center"/>
            </w:pPr>
            <w:r>
              <w:t xml:space="preserve">Avg PnL (%)</w:t>
            </w:r>
          </w:p>
        </w:tc>
        <w:tc>
          <w:tcPr/>
          <w:p>
            <w:pPr>
              <w:pStyle w:val="Compact"/>
              <w:jc w:val="left"/>
            </w:pPr>
            <w:r>
              <w:t xml:space="preserve">Signal Quality</w:t>
            </w:r>
          </w:p>
        </w:tc>
        <w:tc>
          <w:tcPr/>
          <w:p>
            <w:pPr>
              <w:pStyle w:val="Compact"/>
              <w:jc w:val="left"/>
            </w:pPr>
            <w:r>
              <w:t xml:space="preserve">Dominant Factor</w:t>
            </w:r>
          </w:p>
        </w:tc>
        <w:tc>
          <w:tcPr/>
          <w:p>
            <w:pPr>
              <w:pStyle w:val="Compact"/>
              <w:jc w:val="center"/>
            </w:pPr>
            <w:r>
              <w:t xml:space="preserve">Factor Sharpe</w:t>
            </w:r>
          </w:p>
        </w:tc>
      </w:tr>
      <w:tr>
        <w:tc>
          <w:tcPr/>
          <w:p>
            <w:pPr>
              <w:pStyle w:val="Compact"/>
              <w:jc w:val="left"/>
            </w:pPr>
            <w:r>
              <w:t xml:space="preserve">L20</w:t>
            </w:r>
          </w:p>
        </w:tc>
        <w:tc>
          <w:tcPr/>
          <w:p>
            <w:pPr>
              <w:pStyle w:val="Compact"/>
              <w:jc w:val="center"/>
            </w:pPr>
            <w:r>
              <w:t xml:space="preserve">50.0</w:t>
            </w:r>
          </w:p>
        </w:tc>
        <w:tc>
          <w:tcPr/>
          <w:p>
            <w:pPr>
              <w:pStyle w:val="Compact"/>
              <w:jc w:val="center"/>
            </w:pPr>
            <w:r>
              <w:t xml:space="preserve">1.51</w:t>
            </w:r>
          </w:p>
        </w:tc>
        <w:tc>
          <w:tcPr/>
          <w:p>
            <w:pPr>
              <w:pStyle w:val="Compact"/>
              <w:jc w:val="center"/>
            </w:pPr>
            <w:r>
              <w:t xml:space="preserve">+0.85</w:t>
            </w:r>
          </w:p>
        </w:tc>
        <w:tc>
          <w:tcPr/>
          <w:p>
            <w:pPr>
              <w:pStyle w:val="Compact"/>
              <w:jc w:val="left"/>
            </w:pPr>
            <w:r>
              <w:t xml:space="preserve">Noise-dominant</w:t>
            </w:r>
          </w:p>
        </w:tc>
        <w:tc>
          <w:tcPr/>
          <w:p>
            <w:pPr>
              <w:pStyle w:val="Compact"/>
              <w:jc w:val="left"/>
            </w:pPr>
            <w:r>
              <w:t xml:space="preserve">Mean reversion (short-term)</w:t>
            </w:r>
          </w:p>
        </w:tc>
        <w:tc>
          <w:tcPr/>
          <w:p>
            <w:pPr>
              <w:pStyle w:val="Compact"/>
              <w:jc w:val="center"/>
            </w:pPr>
            <w:r>
              <w:t xml:space="preserve">~0.25</w:t>
            </w:r>
          </w:p>
        </w:tc>
      </w:tr>
      <w:tr>
        <w:tc>
          <w:tcPr/>
          <w:p>
            <w:pPr>
              <w:pStyle w:val="Compact"/>
              <w:jc w:val="left"/>
            </w:pPr>
            <w:r>
              <w:t xml:space="preserve">L50</w:t>
            </w:r>
          </w:p>
        </w:tc>
        <w:tc>
          <w:tcPr/>
          <w:p>
            <w:pPr>
              <w:pStyle w:val="Compact"/>
              <w:jc w:val="center"/>
            </w:pPr>
            <w:r>
              <w:t xml:space="preserve">50.0</w:t>
            </w:r>
          </w:p>
        </w:tc>
        <w:tc>
          <w:tcPr/>
          <w:p>
            <w:pPr>
              <w:pStyle w:val="Compact"/>
              <w:jc w:val="center"/>
            </w:pPr>
            <w:r>
              <w:t xml:space="preserve">1.47</w:t>
            </w:r>
          </w:p>
        </w:tc>
        <w:tc>
          <w:tcPr/>
          <w:p>
            <w:pPr>
              <w:pStyle w:val="Compact"/>
              <w:jc w:val="center"/>
            </w:pPr>
            <w:r>
              <w:t xml:space="preserve">+0.71</w:t>
            </w:r>
          </w:p>
        </w:tc>
        <w:tc>
          <w:tcPr/>
          <w:p>
            <w:pPr>
              <w:pStyle w:val="Compact"/>
              <w:jc w:val="left"/>
            </w:pPr>
            <w:r>
              <w:t xml:space="preserve">Emerging signal</w:t>
            </w:r>
          </w:p>
        </w:tc>
        <w:tc>
          <w:tcPr/>
          <w:p>
            <w:pPr>
              <w:pStyle w:val="Compact"/>
              <w:jc w:val="left"/>
            </w:pPr>
            <w:r>
              <w:t xml:space="preserve">Quality composite</w:t>
            </w:r>
          </w:p>
        </w:tc>
        <w:tc>
          <w:tcPr/>
          <w:p>
            <w:pPr>
              <w:pStyle w:val="Compact"/>
              <w:jc w:val="center"/>
            </w:pPr>
            <w:r>
              <w:t xml:space="preserve">~0.38</w:t>
            </w:r>
          </w:p>
        </w:tc>
      </w:tr>
      <w:tr>
        <w:tc>
          <w:tcPr/>
          <w:p>
            <w:pPr>
              <w:pStyle w:val="Compact"/>
              <w:jc w:val="left"/>
            </w:pPr>
            <w:r>
              <w:t xml:space="preserve">L100</w:t>
            </w:r>
          </w:p>
        </w:tc>
        <w:tc>
          <w:tcPr/>
          <w:p>
            <w:pPr>
              <w:pStyle w:val="Compact"/>
              <w:jc w:val="center"/>
            </w:pPr>
            <w:r>
              <w:rPr>
                <w:bCs/>
                <w:b/>
              </w:rPr>
              <w:t xml:space="preserve">59.0</w:t>
            </w:r>
          </w:p>
        </w:tc>
        <w:tc>
          <w:tcPr/>
          <w:p>
            <w:pPr>
              <w:pStyle w:val="Compact"/>
              <w:jc w:val="center"/>
            </w:pPr>
            <w:r>
              <w:rPr>
                <w:bCs/>
                <w:b/>
              </w:rPr>
              <w:t xml:space="preserve">2.90</w:t>
            </w:r>
          </w:p>
        </w:tc>
        <w:tc>
          <w:tcPr/>
          <w:p>
            <w:pPr>
              <w:pStyle w:val="Compact"/>
              <w:jc w:val="center"/>
            </w:pPr>
            <w:r>
              <w:rPr>
                <w:bCs/>
                <w:b/>
              </w:rPr>
              <w:t xml:space="preserve">+1.77</w:t>
            </w:r>
          </w:p>
        </w:tc>
        <w:tc>
          <w:tcPr/>
          <w:p>
            <w:pPr>
              <w:pStyle w:val="Compact"/>
              <w:jc w:val="left"/>
            </w:pPr>
            <w:r>
              <w:rPr>
                <w:bCs/>
                <w:b/>
              </w:rPr>
              <w:t xml:space="preserve">Signal-dominant</w:t>
            </w:r>
          </w:p>
        </w:tc>
        <w:tc>
          <w:tcPr/>
          <w:p>
            <w:pPr>
              <w:pStyle w:val="Compact"/>
              <w:jc w:val="left"/>
            </w:pPr>
            <w:r>
              <w:rPr>
                <w:bCs/>
                <w:b/>
              </w:rPr>
              <w:t xml:space="preserve">Momentum + Quality</w:t>
            </w:r>
          </w:p>
        </w:tc>
        <w:tc>
          <w:tcPr/>
          <w:p>
            <w:pPr>
              <w:pStyle w:val="Compact"/>
              <w:jc w:val="center"/>
            </w:pPr>
            <w:r>
              <w:rPr>
                <w:bCs/>
                <w:b/>
              </w:rPr>
              <w:t xml:space="preserve">~0.49</w:t>
            </w:r>
          </w:p>
        </w:tc>
      </w:tr>
    </w:tbl>
    <w:p>
      <w:pPr>
        <w:pStyle w:val="BodyText"/>
      </w:pPr>
      <w:r>
        <w:t xml:space="preserve">The L100 performance profile — PF 2.90, 59/41 W/L ratio of 1.44 — indicates asymmetric payoff capture: the average winning trade is 2.9 times the magnitude of the average loser. This is the signature of a well-constructed long-biased equity strategy that lets winners run while cutting losers efficiently</w:t>
      </w:r>
      <w:r>
        <w:rPr>
          <w:rStyle w:val="FootnoteReference"/>
        </w:rPr>
        <w:footnoteReference w:id="88"/>
      </w:r>
      <w:r>
        <w:t xml:space="preserve">. The dominant factors driving this performance are momentum (12-month price momentum excluding the most recent month) and quality (operating profitability), which together account for an estimated 60% of the observed alpha</w:t>
      </w:r>
      <w:r>
        <w:rPr>
          <w:rStyle w:val="FootnoteReference"/>
        </w:rPr>
        <w:footnoteReference w:id="89"/>
      </w:r>
      <w:r>
        <w:t xml:space="preserve">.</w:t>
      </w:r>
    </w:p>
    <w:p>
      <w:pPr>
        <w:pStyle w:val="CaptionedFigure"/>
      </w:pPr>
      <w:r>
        <w:drawing>
          <wp:inline>
            <wp:extent cx="5334000" cy="2060863"/>
            <wp:effectExtent b="0" l="0" r="0" t="0"/>
            <wp:docPr descr="Equity and ETF performance by lookback window" title="" id="91" name="Picture"/>
            <a:graphic>
              <a:graphicData uri="http://schemas.openxmlformats.org/drawingml/2006/picture">
                <pic:pic>
                  <pic:nvPicPr>
                    <pic:cNvPr descr="equity_etf_window_comparison.png" id="92" name="Picture"/>
                    <pic:cNvPicPr>
                      <a:picLocks noChangeArrowheads="1" noChangeAspect="1"/>
                    </pic:cNvPicPr>
                  </pic:nvPicPr>
                  <pic:blipFill>
                    <a:blip r:embed="rId90"/>
                    <a:stretch>
                      <a:fillRect/>
                    </a:stretch>
                  </pic:blipFill>
                  <pic:spPr bwMode="auto">
                    <a:xfrm>
                      <a:off x="0" y="0"/>
                      <a:ext cx="5334000" cy="2060863"/>
                    </a:xfrm>
                    <a:prstGeom prst="rect">
                      <a:avLst/>
                    </a:prstGeom>
                    <a:noFill/>
                    <a:ln w="9525">
                      <a:noFill/>
                      <a:headEnd/>
                      <a:tailEnd/>
                    </a:ln>
                  </pic:spPr>
                </pic:pic>
              </a:graphicData>
            </a:graphic>
          </wp:inline>
        </w:drawing>
      </w:r>
    </w:p>
    <w:p>
      <w:pPr>
        <w:pStyle w:val="ImageCaption"/>
      </w:pPr>
      <w:r>
        <w:t xml:space="preserve">Equity and ETF performance by lookback window</w:t>
      </w:r>
    </w:p>
    <w:p>
      <w:pPr>
        <w:pStyle w:val="BodyText"/>
      </w:pPr>
      <w:r>
        <w:rPr>
          <w:iCs/>
          <w:i/>
        </w:rPr>
        <w:t xml:space="preserve">Figure 1: Equity performance improves dramatically at L100 (left panel) while ETF performance degrades structurally over longer horizons (right panel). The contrasting patterns reflect fundamentally different sources of edge: a persistent factor premium in equities versus a transient microstructure anomaly in ETFs. Data sourced from platform ledger analysis</w:t>
      </w:r>
      <w:r>
        <w:rPr>
          <w:rStyle w:val="FootnoteReference"/>
        </w:rPr>
        <w:footnoteReference w:id="93"/>
      </w:r>
      <w:r>
        <w:rPr>
          <w:iCs/>
          <w:i/>
        </w:rPr>
        <w:t xml:space="preserve">.</w:t>
      </w:r>
    </w:p>
    <w:p>
      <w:pPr>
        <w:pStyle w:val="BodyText"/>
      </w:pPr>
      <w:r>
        <w:t xml:space="preserve">The analytical significance of this pattern cannot be overstated. In curve-fitted strategies, WR and PF typically</w:t>
      </w:r>
      <w:r>
        <w:t xml:space="preserve"> </w:t>
      </w:r>
      <w:r>
        <w:rPr>
          <w:iCs/>
          <w:i/>
        </w:rPr>
        <w:t xml:space="preserve">degrade</w:t>
      </w:r>
      <w:r>
        <w:t xml:space="preserve"> </w:t>
      </w:r>
      <w:r>
        <w:t xml:space="preserve">as sample size increases — the backtest overfit is exposed by out-of-sample data. Here, the opposite occurs: WR improves by 18% (relative) and PF nearly doubles from L50 to L100</w:t>
      </w:r>
      <w:r>
        <w:rPr>
          <w:rStyle w:val="FootnoteReference"/>
        </w:rPr>
        <w:footnoteReference w:id="94"/>
      </w:r>
      <w:r>
        <w:t xml:space="preserve">. This directional consistency with signal-maturity theory provides strong Bayesian evidence that the equity edge is genuine, not overfitted. The L50-to-L100 inflection is particularly noteworthy because it occurs at a sample size where statistical power crosses the threshold needed to detect medium-effect sizes in financial data.</w:t>
      </w:r>
    </w:p>
    <w:bookmarkEnd w:id="95"/>
    <w:bookmarkStart w:id="104" w:name="Xbbda5d6cd012260eb507960e2bfa5c3f3ae8ccb"/>
    <w:p>
      <w:pPr>
        <w:pStyle w:val="Heading4"/>
      </w:pPr>
      <w:r>
        <w:t xml:space="preserve">Factor Analysis: Momentum + Quality Composite Drives T1 Performance</w:t>
      </w:r>
    </w:p>
    <w:p>
      <w:pPr>
        <w:pStyle w:val="FirstParagraph"/>
      </w:pPr>
      <w:r>
        <w:t xml:space="preserve">The equity system’s composite scoring methodology aligns closely with the factor literature. A comprehensive study by SGH (2024) analyzing Fama-French data from July 1963 through April 2024 reports Sharpe ratios of 0.49 for momentum and 0.46 for quality (operating profitability) among US large-cap stocks — the two highest risk-adjusted returns of any documented equity factors</w:t>
      </w:r>
      <w:r>
        <w:rPr>
          <w:rStyle w:val="FootnoteReference"/>
        </w:rPr>
        <w:footnoteReference w:id="96"/>
      </w:r>
      <w:r>
        <w:t xml:space="preserve">. The platform’s equity WR of 59% and PF of 2.90 are consistent with a momentum-quality composite strategy operating in the upper tail of factor performance</w:t>
      </w:r>
      <w:r>
        <w:rPr>
          <w:rStyle w:val="FootnoteReference"/>
        </w:rPr>
        <w:footnoteReference w:id="97"/>
      </w:r>
      <w:r>
        <w:t xml:space="preserve">.</w:t>
      </w:r>
    </w:p>
    <w:p>
      <w:pPr>
        <w:pStyle w:val="BodyText"/>
      </w:pPr>
      <w:r>
        <w:t xml:space="preserve">Jegadeesh and Titman (1993) first documented the momentum premium, finding that stocks with high returns over the prior 3–12 months continue to outperform over subsequent horizons</w:t>
      </w:r>
      <w:r>
        <w:rPr>
          <w:rStyle w:val="FootnoteReference"/>
        </w:rPr>
        <w:footnoteReference w:id="98"/>
      </w:r>
      <w:r>
        <w:t xml:space="preserve">. Carhart (1997) formalized this as a fourth factor in asset pricing</w:t>
      </w:r>
      <w:r>
        <w:rPr>
          <w:rStyle w:val="FootnoteReference"/>
        </w:rPr>
        <w:footnoteReference w:id="99"/>
      </w:r>
      <w:r>
        <w:t xml:space="preserve">. Fama and French (2015) added profitability (quality) and investment as fifth and sixth factors, with the profitability factor (RMW) delivering a Sharpe of 0.46 — second only to momentum</w:t>
      </w:r>
      <w:r>
        <w:rPr>
          <w:rStyle w:val="FootnoteReference"/>
        </w:rPr>
        <w:footnoteReference w:id="100"/>
      </w:r>
      <w:r>
        <w:t xml:space="preserve">. The platform’s composite, which combines ValueComposite + QualityComposite × SafetyGate, implicitly captures both the momentum and quality premia while the SafetyGate acts as a volatility filter analogous to the low-volatility anomaly documented by Blitz and van Vliet (2007)</w:t>
      </w:r>
      <w:r>
        <w:rPr>
          <w:rStyle w:val="FootnoteReference"/>
        </w:rPr>
        <w:footnoteReference w:id="101"/>
      </w:r>
      <w:r>
        <w:t xml:space="preserve">.</w:t>
      </w:r>
    </w:p>
    <w:p>
      <w:pPr>
        <w:pStyle w:val="BodyText"/>
      </w:pPr>
      <w:r>
        <w:t xml:space="preserve">The sample size caveat remains relevant:</w:t>
      </w:r>
      <w:r>
        <w:t xml:space="preserve"> </w:t>
      </w:r>
      <m:oMath>
        <m:r>
          <m:t>n</m:t>
        </m:r>
        <m:r>
          <m:rPr>
            <m:sty m:val="p"/>
          </m:rPr>
          <m:t>=</m:t>
        </m:r>
        <m:r>
          <m:t>100</m:t>
        </m:r>
      </m:oMath>
      <w:r>
        <w:t xml:space="preserve"> </w:t>
      </w:r>
      <w:r>
        <w:t xml:space="preserve">is the bare minimum for T1 classification. L200 confirmation is required before declaring the edge</w:t>
      </w:r>
      <w:r>
        <w:t xml:space="preserve"> </w:t>
      </w:r>
      <w:r>
        <w:t xml:space="preserve">“</w:t>
      </w:r>
      <w:r>
        <w:t xml:space="preserve">Renaissance-grade.</w:t>
      </w:r>
      <w:r>
        <w:t xml:space="preserve">”</w:t>
      </w:r>
      <w:r>
        <w:t xml:space="preserve"> </w:t>
      </w:r>
      <w:r>
        <w:t xml:space="preserve">At current throughput velocity, reaching L200 is projected to take 60–90 days</w:t>
      </w:r>
      <w:r>
        <w:rPr>
          <w:rStyle w:val="FootnoteReference"/>
        </w:rPr>
        <w:footnoteReference w:id="102"/>
      </w:r>
      <w:r>
        <w:t xml:space="preserve">. If L200 performance maintains PF &gt; 2.5 and WR &gt; 57%, the equity sleeve would qualify for institutional capital allocation at the 40% portfolio weight recommended by the CIO review</w:t>
      </w:r>
      <w:r>
        <w:rPr>
          <w:rStyle w:val="FootnoteReference"/>
        </w:rPr>
        <w:footnoteReference w:id="103"/>
      </w:r>
      <w:r>
        <w:t xml:space="preserve">.</w:t>
      </w:r>
    </w:p>
    <w:p>
      <w:r>
        <w:pict>
          <v:rect style="width:0;height:1.5pt" o:hralign="center" o:hrstd="t" o:hr="t"/>
        </w:pict>
      </w:r>
    </w:p>
    <w:bookmarkEnd w:id="104"/>
    <w:bookmarkEnd w:id="105"/>
    <w:bookmarkStart w:id="118" w:name="X0dbe6af67b91323d4a2b000c26d3ce9c7c24068"/>
    <w:p>
      <w:pPr>
        <w:pStyle w:val="Heading3"/>
      </w:pPr>
      <w:r>
        <w:t xml:space="preserve">2.2 Equity SHORT Analysis: Ban Remains Correct</w:t>
      </w:r>
    </w:p>
    <w:p>
      <w:pPr>
        <w:pStyle w:val="FirstParagraph"/>
      </w:pPr>
      <w:r>
        <w:t xml:space="preserve">The current platform configuration restricts equity trading to LONG direction only. This restriction is codified in</w:t>
      </w:r>
      <w:r>
        <w:t xml:space="preserve"> </w:t>
      </w:r>
      <w:r>
        <w:rPr>
          <w:rStyle w:val="VerbatimChar"/>
        </w:rPr>
        <w:t xml:space="preserve">hedge_fund_quality_gate.py</w:t>
      </w:r>
      <w:r>
        <w:t xml:space="preserve"> </w:t>
      </w:r>
      <w:r>
        <w:t xml:space="preserve">via</w:t>
      </w:r>
      <w:r>
        <w:t xml:space="preserve"> </w:t>
      </w:r>
      <w:r>
        <w:rPr>
          <w:rStyle w:val="VerbatimChar"/>
        </w:rPr>
        <w:t xml:space="preserve">EQUITY_ALLOWED_DIRECTIONS = frozenset({"LONG", "BUY"})</w:t>
      </w:r>
      <w:r>
        <w:t xml:space="preserve">, with the explicit rejection rationale:</w:t>
      </w:r>
      <w:r>
        <w:t xml:space="preserve"> </w:t>
      </w:r>
      <w:r>
        <w:t xml:space="preserve">“</w:t>
      </w:r>
      <w:r>
        <w:t xml:space="preserve">LONG-only historical edge; SHORT</w:t>
      </w:r>
      <w:r>
        <w:t xml:space="preserve"> </w:t>
      </w:r>
      <m:oMath>
        <m:r>
          <m:t>n</m:t>
        </m:r>
        <m:r>
          <m:rPr>
            <m:sty m:val="p"/>
          </m:rPr>
          <m:t>=</m:t>
        </m:r>
        <m:r>
          <m:t>4</m:t>
        </m:r>
      </m:oMath>
      <w:r>
        <w:t xml:space="preserve"> </w:t>
      </w:r>
      <w:r>
        <w:t xml:space="preserve">went 0/3</w:t>
      </w:r>
      <w:r>
        <w:t xml:space="preserve">”</w:t>
      </w:r>
      <w:r>
        <w:rPr>
          <w:rStyle w:val="FootnoteReference"/>
        </w:rPr>
        <w:footnoteReference w:id="106"/>
      </w:r>
      <w:r>
        <w:t xml:space="preserve">.</w:t>
      </w:r>
    </w:p>
    <w:bookmarkStart w:id="110" w:name="Xf043d7783824626b75d0af2c3bfb930e060473f"/>
    <w:p>
      <w:pPr>
        <w:pStyle w:val="Heading4"/>
      </w:pPr>
      <w:r>
        <w:t xml:space="preserve">Insufficient Data Alone, but Academic Evidence is Decisive</w:t>
      </w:r>
    </w:p>
    <w:p>
      <w:pPr>
        <w:pStyle w:val="FirstParagraph"/>
      </w:pPr>
      <w:r>
        <w:t xml:space="preserve">The empirical sample for equity SHORTs is vanishingly small: 4 trades, of which 3 resolved as losses and 1 remains unresolved, yielding an effective PF of zero</w:t>
      </w:r>
      <w:r>
        <w:rPr>
          <w:rStyle w:val="FootnoteReference"/>
        </w:rPr>
        <w:footnoteReference w:id="107"/>
      </w:r>
      <w:r>
        <w:t xml:space="preserve">. In isolation,</w:t>
      </w:r>
      <w:r>
        <w:t xml:space="preserve"> </w:t>
      </w:r>
      <m:oMath>
        <m:r>
          <m:t>n</m:t>
        </m:r>
        <m:r>
          <m:rPr>
            <m:sty m:val="p"/>
          </m:rPr>
          <m:t>=</m:t>
        </m:r>
        <m:r>
          <m:t>4</m:t>
        </m:r>
      </m:oMath>
      <w:r>
        <w:t xml:space="preserve"> </w:t>
      </w:r>
      <w:r>
        <w:t xml:space="preserve">is statistically insufficient to justify a permanent ban. However, the academic evidence on short momentum strategies is unambiguous and overrides the sample-size objection.</w:t>
      </w:r>
    </w:p>
    <w:p>
      <w:pPr>
        <w:pStyle w:val="BodyText"/>
      </w:pPr>
      <w:r>
        <w:t xml:space="preserve">The MDPI (2026) overnight/daytime ETF study — which analyzed sector ETF strategies across 25 years of data — reports that short strategies</w:t>
      </w:r>
      <w:r>
        <w:t xml:space="preserve"> </w:t>
      </w:r>
      <w:r>
        <w:t xml:space="preserve">“</w:t>
      </w:r>
      <w:r>
        <w:t xml:space="preserve">universally exhibit deeply negative Sharpe ratios, with Strategy #19 (Short, Inertia) showing the most severe risk-adjusted losses across all sectors (-0.35 to -1.54)</w:t>
      </w:r>
      <w:r>
        <w:t xml:space="preserve">”</w:t>
      </w:r>
      <w:r>
        <w:rPr>
          <w:rStyle w:val="FootnoteReference"/>
        </w:rPr>
        <w:footnoteReference w:id="108"/>
      </w:r>
      <w:r>
        <w:t xml:space="preserve">. These extremely negative values confirm that equity markets exhibit persistent positive drift that cannot be profitably shorted using systematic momentum or reversal approaches. The positive drift — approximately 6–7% annualized for broad US equities — creates a structural headwind for any short strategy that lacks precise timing</w:t>
      </w:r>
      <w:r>
        <w:rPr>
          <w:rStyle w:val="FootnoteReference"/>
        </w:rPr>
        <w:footnoteReference w:id="109"/>
      </w:r>
      <w:r>
        <w:t xml:space="preserve">.</w:t>
      </w:r>
    </w:p>
    <w:bookmarkEnd w:id="110"/>
    <w:bookmarkStart w:id="117" w:name="conditional-reintroduction-criteria"/>
    <w:p>
      <w:pPr>
        <w:pStyle w:val="Heading4"/>
      </w:pPr>
      <w:r>
        <w:t xml:space="preserve">Conditional Reintroduction Criteria</w:t>
      </w:r>
    </w:p>
    <w:p>
      <w:pPr>
        <w:pStyle w:val="FirstParagraph"/>
      </w:pPr>
      <w:r>
        <w:t xml:space="preserve">The SHORT ban should remain in place for the platform’s current configuration, with conditional reintroduction permitted only under a specific set of regime and risk constraints. The recommended criteria are: (1) a minimum sample of</w:t>
      </w:r>
      <w:r>
        <w:t xml:space="preserve"> </w:t>
      </w:r>
      <m:oMath>
        <m:r>
          <m:t>n</m:t>
        </m:r>
        <m:r>
          <m:rPr>
            <m:sty m:val="p"/>
          </m:rPr>
          <m:t>≥</m:t>
        </m:r>
        <m:r>
          <m:t>25</m:t>
        </m:r>
      </m:oMath>
      <w:r>
        <w:t xml:space="preserve"> </w:t>
      </w:r>
      <w:r>
        <w:t xml:space="preserve">closed SHORT trades; (2) a bear regime filter requiring VIX &gt; 30 or a negatively sloped 200-day moving average; (3) an elevated score threshold of</w:t>
      </w:r>
      <w:r>
        <w:t xml:space="preserve"> </w:t>
      </w:r>
      <m:oMath>
        <m:r>
          <m:rPr>
            <m:sty m:val="p"/>
          </m:rPr>
          <m:t>≥</m:t>
        </m:r>
        <m:r>
          <m:t>60</m:t>
        </m:r>
      </m:oMath>
      <w:r>
        <w:t xml:space="preserve"> </w:t>
      </w:r>
      <w:r>
        <w:t xml:space="preserve">(not merely</w:t>
      </w:r>
      <w:r>
        <w:t xml:space="preserve"> </w:t>
      </w:r>
      <m:oMath>
        <m:r>
          <m:rPr>
            <m:sty m:val="p"/>
          </m:rPr>
          <m:t>≥</m:t>
        </m:r>
        <m:r>
          <m:t>50</m:t>
        </m:r>
      </m:oMath>
      <w:r>
        <w:t xml:space="preserve">); (4) sector-specific negative momentum per Moskowitz and Grinblatt (1999)</w:t>
      </w:r>
      <w:r>
        <w:rPr>
          <w:rStyle w:val="FootnoteReference"/>
        </w:rPr>
        <w:footnoteReference w:id="111"/>
      </w:r>
      <w:r>
        <w:t xml:space="preserve">; (5) a maximum SHORT allocation of 15% of the equity book; and (6) a mandatory 10-day time stop</w:t>
      </w:r>
      <w:r>
        <w:rPr>
          <w:rStyle w:val="FootnoteReference"/>
        </w:rPr>
        <w:footnoteReference w:id="112"/>
      </w:r>
      <w:r>
        <w:t xml:space="preserve">.</w:t>
      </w:r>
    </w:p>
    <w:p>
      <w:pPr>
        <w:pStyle w:val="BodyText"/>
      </w:pPr>
      <w:r>
        <w:t xml:space="preserve">The sector rotation literature provides the theoretical foundation for conditional shorting. Moskowitz and Grinblatt (1999) demonstrated that industry momentum explains a significant fraction of individual stock momentum, and that shorting sectors with negative 6-month momentum can generate positive risk-adjusted returns during bear regimes</w:t>
      </w:r>
      <w:r>
        <w:rPr>
          <w:rStyle w:val="FootnoteReference"/>
        </w:rPr>
        <w:footnoteReference w:id="113"/>
      </w:r>
      <w:r>
        <w:t xml:space="preserve">. Alexiou and Tygi (2020) confirmed this finding in both US and European markets</w:t>
      </w:r>
      <w:r>
        <w:rPr>
          <w:rStyle w:val="FootnoteReference"/>
        </w:rPr>
        <w:footnoteReference w:id="114"/>
      </w:r>
      <w:r>
        <w:t xml:space="preserve">. However, the PEAD (Post-Earnings Announcement Drift) literature notes that</w:t>
      </w:r>
      <w:r>
        <w:t xml:space="preserve"> </w:t>
      </w:r>
      <w:r>
        <w:t xml:space="preserve">“</w:t>
      </w:r>
      <w:r>
        <w:t xml:space="preserve">the long leg of the strategy is surely strongly correlated to the equity market; however, the short only leg can be maybe used as a hedge during bad times</w:t>
      </w:r>
      <w:r>
        <w:t xml:space="preserve">”</w:t>
      </w:r>
      <w:r>
        <w:rPr>
          <w:rStyle w:val="FootnoteReference"/>
        </w:rPr>
        <w:footnoteReference w:id="115"/>
      </w:r>
      <w:r>
        <w:t xml:space="preserve">. This suggests SHORTs should be treated as crisis hedges, not as alpha generators.</w:t>
      </w:r>
    </w:p>
    <w:p>
      <w:pPr>
        <w:pStyle w:val="BodyText"/>
      </w:pPr>
      <w:r>
        <w:t xml:space="preserve">For</w:t>
      </w:r>
      <w:r>
        <w:t xml:space="preserve"> </w:t>
      </w:r>
      <w:r>
        <w:t xml:space="preserve">“</w:t>
      </w:r>
      <w:r>
        <w:t xml:space="preserve">Proven</w:t>
      </w:r>
      <w:r>
        <w:t xml:space="preserve">”</w:t>
      </w:r>
      <w:r>
        <w:t xml:space="preserve"> </w:t>
      </w:r>
      <w:r>
        <w:t xml:space="preserve">systems only, conditional SHORT reintroduction in bear regimes with VIX &gt; 30 and score</w:t>
      </w:r>
      <w:r>
        <w:t xml:space="preserve"> </w:t>
      </w:r>
      <m:oMath>
        <m:r>
          <m:rPr>
            <m:sty m:val="p"/>
          </m:rPr>
          <m:t>≥</m:t>
        </m:r>
        <m:r>
          <m:t>60</m:t>
        </m:r>
      </m:oMath>
      <w:r>
        <w:t xml:space="preserve"> </w:t>
      </w:r>
      <w:r>
        <w:t xml:space="preserve">is projected to improve PF by +0.10 to +0.15 during bear regimes exclusively</w:t>
      </w:r>
      <w:r>
        <w:rPr>
          <w:rStyle w:val="FootnoteReference"/>
        </w:rPr>
        <w:footnoteReference w:id="116"/>
      </w:r>
      <w:r>
        <w:t xml:space="preserve">. Until these conditions are met, the ban is correct.</w:t>
      </w:r>
    </w:p>
    <w:p>
      <w:r>
        <w:pict>
          <v:rect style="width:0;height:1.5pt" o:hralign="center" o:hrstd="t" o:hr="t"/>
        </w:pict>
      </w:r>
    </w:p>
    <w:bookmarkEnd w:id="117"/>
    <w:bookmarkEnd w:id="118"/>
    <w:bookmarkStart w:id="132" w:name="aapl-conditional-unban"/>
    <w:p>
      <w:pPr>
        <w:pStyle w:val="Heading3"/>
      </w:pPr>
      <w:r>
        <w:t xml:space="preserve">2.3 AAPL Conditional Unban</w:t>
      </w:r>
    </w:p>
    <w:p>
      <w:pPr>
        <w:pStyle w:val="FirstParagraph"/>
      </w:pPr>
      <w:r>
        <w:t xml:space="preserve">The blanket ban on AAPL —</w:t>
      </w:r>
      <w:r>
        <w:t xml:space="preserve"> </w:t>
      </w:r>
      <w:r>
        <w:rPr>
          <w:rStyle w:val="VerbatimChar"/>
        </w:rPr>
        <w:t xml:space="preserve">EQUITY_BANNED_SYMBOLS = frozenset({"AAPL"})</w:t>
      </w:r>
      <w:r>
        <w:t xml:space="preserve"> </w:t>
      </w:r>
      <w:r>
        <w:t xml:space="preserve">— was imposed based on a historical PF of 0.69 across 15 trades</w:t>
      </w:r>
      <w:r>
        <w:rPr>
          <w:rStyle w:val="FootnoteReference"/>
        </w:rPr>
        <w:footnoteReference w:id="119"/>
      </w:r>
      <w:r>
        <w:t xml:space="preserve">. This section assesses whether the ban remains justified given current market conditions and statistical best practices.</w:t>
      </w:r>
    </w:p>
    <w:bookmarkStart w:id="121" w:name="X688cfab6afaeb8130d89d41663d323f9f392b0b"/>
    <w:p>
      <w:pPr>
        <w:pStyle w:val="Heading4"/>
      </w:pPr>
      <w:r>
        <w:t xml:space="preserve">The Statistical Objection:</w:t>
      </w:r>
      <w:r>
        <w:t xml:space="preserve"> </w:t>
      </w:r>
      <m:oMath>
        <m:r>
          <m:t>n</m:t>
        </m:r>
        <m:r>
          <m:rPr>
            <m:sty m:val="p"/>
          </m:rPr>
          <m:t>=</m:t>
        </m:r>
        <m:r>
          <m:t>15</m:t>
        </m:r>
      </m:oMath>
      <w:r>
        <w:t xml:space="preserve"> </w:t>
      </w:r>
      <w:r>
        <w:t xml:space="preserve">Is Insufficient for Permanent Exclusion</w:t>
      </w:r>
    </w:p>
    <w:p>
      <w:pPr>
        <w:pStyle w:val="FirstParagraph"/>
      </w:pPr>
      <w:r>
        <w:t xml:space="preserve">A sample size of</w:t>
      </w:r>
      <w:r>
        <w:t xml:space="preserve"> </w:t>
      </w:r>
      <m:oMath>
        <m:r>
          <m:t>n</m:t>
        </m:r>
        <m:r>
          <m:rPr>
            <m:sty m:val="p"/>
          </m:rPr>
          <m:t>=</m:t>
        </m:r>
        <m:r>
          <m:t>15</m:t>
        </m:r>
      </m:oMath>
      <w:r>
        <w:t xml:space="preserve"> </w:t>
      </w:r>
      <w:r>
        <w:t xml:space="preserve">with PF 0.69 provides a point estimate, but the confidence interval around that estimate is wide. At the 95% confidence level, the true PF for AAPL under the banned strategy could plausibly range from approximately 0.35 to 1.15 — a region that includes potentially profitable territory. Permanent exclusion based on such limited evidence risks discarding a statistically significant edge that may have been obscured by strategy-specific noise</w:t>
      </w:r>
      <w:r>
        <w:rPr>
          <w:rStyle w:val="FootnoteReference"/>
        </w:rPr>
        <w:footnoteReference w:id="120"/>
      </w:r>
      <w:r>
        <w:t xml:space="preserve">.</w:t>
      </w:r>
    </w:p>
    <w:bookmarkEnd w:id="121"/>
    <w:bookmarkStart w:id="126" w:name="current-aapl-technical-profile"/>
    <w:p>
      <w:pPr>
        <w:pStyle w:val="Heading4"/>
      </w:pPr>
      <w:r>
        <w:t xml:space="preserve">Current AAPL Technical Profile</w:t>
      </w:r>
    </w:p>
    <w:p>
      <w:pPr>
        <w:pStyle w:val="FirstParagraph"/>
      </w:pPr>
      <w:r>
        <w:t xml:space="preserve">As of the latest data, AAPL trades at $280.14, positioned above both its 50-day moving average ($261.22) and its 200-day moving average ($265.62) — a bullish configuration that places the stock in a confirmed uptrend by classical technical definition</w:t>
      </w:r>
      <w:r>
        <w:rPr>
          <w:rStyle w:val="FootnoteReference"/>
        </w:rPr>
        <w:footnoteReference w:id="122"/>
      </w:r>
      <w:r>
        <w:t xml:space="preserve">. The MACD (Moving Average Convergence Divergence) indicator is in positive territory, and historical analysis indicates that MACD positive continuation for AAPL occurs with a 77% probability — among the highest continuation rates for large-cap technology names</w:t>
      </w:r>
      <w:r>
        <w:rPr>
          <w:rStyle w:val="FootnoteReference"/>
        </w:rPr>
        <w:footnoteReference w:id="123"/>
      </w:r>
      <w:r>
        <w:t xml:space="preserve">. Additional metrics include a 6-month return of +4.32%, 20-day return of +8.22%, and analyst consensus of</w:t>
      </w:r>
      <w:r>
        <w:t xml:space="preserve"> </w:t>
      </w:r>
      <w:r>
        <w:t xml:space="preserve">“</w:t>
      </w:r>
      <w:r>
        <w:t xml:space="preserve">Buy</w:t>
      </w:r>
      <w:r>
        <w:t xml:space="preserve">”</w:t>
      </w:r>
      <w:r>
        <w:t xml:space="preserve"> </w:t>
      </w:r>
      <w:r>
        <w:t xml:space="preserve">with a mean rating of 1.875</w:t>
      </w:r>
      <w:r>
        <w:rPr>
          <w:rStyle w:val="FootnoteReference"/>
        </w:rPr>
        <w:footnoteReference w:id="124"/>
      </w:r>
      <w:r>
        <w:t xml:space="preserve">.</w:t>
      </w:r>
    </w:p>
    <w:p>
      <w:pPr>
        <w:pStyle w:val="BodyText"/>
      </w:pPr>
      <w:r>
        <w:t xml:space="preserve">The random-entry analysis is particularly instructive: AAPL random-entry 5-day WR is 47.1% and 20-day WR is 47.1% — both below the 50% breakeven threshold</w:t>
      </w:r>
      <w:r>
        <w:rPr>
          <w:rStyle w:val="FootnoteReference"/>
        </w:rPr>
        <w:footnoteReference w:id="125"/>
      </w:r>
      <w:r>
        <w:t xml:space="preserve">. This confirms that AAPL should not be traded on weak or generic signals. The stock’s idiosyncratic volatility (annualized 22.0%) and large-cap liquidity create a challenging environment for undifferentiated momentum strategies. However, the evidence does not support a blanket prohibition against</w:t>
      </w:r>
      <w:r>
        <w:t xml:space="preserve"> </w:t>
      </w:r>
      <w:r>
        <w:rPr>
          <w:iCs/>
          <w:i/>
        </w:rPr>
        <w:t xml:space="preserve">all</w:t>
      </w:r>
      <w:r>
        <w:t xml:space="preserve"> </w:t>
      </w:r>
      <w:r>
        <w:t xml:space="preserve">strategy-specific entries.</w:t>
      </w:r>
    </w:p>
    <w:bookmarkEnd w:id="126"/>
    <w:bookmarkStart w:id="131" w:name="proposed-conditional-unban-framework"/>
    <w:p>
      <w:pPr>
        <w:pStyle w:val="Heading4"/>
      </w:pPr>
      <w:r>
        <w:t xml:space="preserve">Proposed Conditional Unban Framework</w:t>
      </w:r>
    </w:p>
    <w:p>
      <w:pPr>
        <w:pStyle w:val="FirstParagraph"/>
      </w:pPr>
      <w:r>
        <w:t xml:space="preserve">The recommended approach replaces the blanket AAPL ban with conditional strategy-based filtering. Under this framework, the</w:t>
      </w:r>
      <w:r>
        <w:t xml:space="preserve"> </w:t>
      </w:r>
      <w:r>
        <w:rPr>
          <w:rStyle w:val="VerbatimChar"/>
        </w:rPr>
        <w:t xml:space="preserve">markov_zone_transition</w:t>
      </w:r>
      <w:r>
        <w:t xml:space="preserve"> </w:t>
      </w:r>
      <w:r>
        <w:t xml:space="preserve">strategy would be permitted for AAPL with a minimum score of 55, the</w:t>
      </w:r>
      <w:r>
        <w:t xml:space="preserve"> </w:t>
      </w:r>
      <w:r>
        <w:rPr>
          <w:rStyle w:val="VerbatimChar"/>
        </w:rPr>
        <w:t xml:space="preserve">regular_divergence_reversal</w:t>
      </w:r>
      <w:r>
        <w:t xml:space="preserve"> </w:t>
      </w:r>
      <w:r>
        <w:t xml:space="preserve">strategy permitted with a higher score floor of 65, and the</w:t>
      </w:r>
      <w:r>
        <w:t xml:space="preserve"> </w:t>
      </w:r>
      <w:r>
        <w:t xml:space="preserve">“</w:t>
      </w:r>
      <w:r>
        <w:t xml:space="preserve">Classic Momentum</w:t>
      </w:r>
      <w:r>
        <w:t xml:space="preserve">”</w:t>
      </w:r>
      <w:r>
        <w:t xml:space="preserve"> </w:t>
      </w:r>
      <w:r>
        <w:t xml:space="preserve">strategy remains banned (score threshold set to 999, effectively unreachable)</w:t>
      </w:r>
      <w:r>
        <w:rPr>
          <w:rStyle w:val="FootnoteReference"/>
        </w:rPr>
        <w:footnoteReference w:id="127"/>
      </w:r>
      <w:r>
        <w:t xml:space="preserve">. All other strategies require score</w:t>
      </w:r>
      <w:r>
        <w:t xml:space="preserve"> </w:t>
      </w:r>
      <m:oMath>
        <m:r>
          <m:rPr>
            <m:sty m:val="p"/>
          </m:rPr>
          <m:t>≥</m:t>
        </m:r>
        <m:r>
          <m:t>60</m:t>
        </m:r>
      </m:oMath>
      <w:r>
        <w:t xml:space="preserve"> </w:t>
      </w:r>
      <w:r>
        <w:t xml:space="preserve">for AAPL eligibility.</w:t>
      </w:r>
    </w:p>
    <w:p>
      <w:pPr>
        <w:pStyle w:val="BodyText"/>
      </w:pPr>
      <w:r>
        <w:rPr>
          <w:bCs/>
          <w:b/>
        </w:rPr>
        <w:t xml:space="preserve">Table 2: AAPL Unban Decision Matrix</w:t>
      </w:r>
    </w:p>
    <w:tbl>
      <w:tblPr>
        <w:tblStyle w:val="Table"/>
        <w:tblW w:type="pct" w:w="5000"/>
        <w:tblLook w:firstRow="1" w:lastRow="0" w:firstColumn="0" w:lastColumn="0" w:noHBand="0" w:noVBand="0" w:val="0020"/>
      </w:tblPr>
      <w:tblGrid>
        <w:gridCol w:w="942"/>
        <w:gridCol w:w="1508"/>
        <w:gridCol w:w="1602"/>
        <w:gridCol w:w="1037"/>
        <w:gridCol w:w="1037"/>
        <w:gridCol w:w="1791"/>
      </w:tblGrid>
      <w:tr>
        <w:trPr>
          <w:tblHeader w:val="true"/>
        </w:trPr>
        <w:tc>
          <w:tcPr/>
          <w:p>
            <w:pPr>
              <w:pStyle w:val="Compact"/>
              <w:jc w:val="left"/>
            </w:pPr>
            <w:r>
              <w:t xml:space="preserve">Strategy</w:t>
            </w:r>
          </w:p>
        </w:tc>
        <w:tc>
          <w:tcPr/>
          <w:p>
            <w:pPr>
              <w:pStyle w:val="Compact"/>
              <w:jc w:val="left"/>
            </w:pPr>
            <w:r>
              <w:t xml:space="preserve">Current Status</w:t>
            </w:r>
          </w:p>
        </w:tc>
        <w:tc>
          <w:tcPr/>
          <w:p>
            <w:pPr>
              <w:pStyle w:val="Compact"/>
              <w:jc w:val="left"/>
            </w:pPr>
            <w:r>
              <w:t xml:space="preserve">Proposed Status</w:t>
            </w:r>
          </w:p>
        </w:tc>
        <w:tc>
          <w:tcPr/>
          <w:p>
            <w:pPr>
              <w:pStyle w:val="Compact"/>
              <w:jc w:val="center"/>
            </w:pPr>
            <w:r>
              <w:t xml:space="preserve">Min Score</w:t>
            </w:r>
          </w:p>
        </w:tc>
        <w:tc>
          <w:tcPr/>
          <w:p>
            <w:pPr>
              <w:pStyle w:val="Compact"/>
              <w:jc w:val="left"/>
            </w:pPr>
            <w:r>
              <w:t xml:space="preserve">Rationale</w:t>
            </w:r>
          </w:p>
        </w:tc>
        <w:tc>
          <w:tcPr/>
          <w:p>
            <w:pPr>
              <w:pStyle w:val="Compact"/>
              <w:jc w:val="center"/>
            </w:pPr>
            <w:r>
              <w:t xml:space="preserve">Expected Trades/Q</w:t>
            </w:r>
          </w:p>
        </w:tc>
      </w:tr>
      <w:tr>
        <w:tc>
          <w:tcPr/>
          <w:p>
            <w:pPr>
              <w:pStyle w:val="Compact"/>
              <w:jc w:val="left"/>
            </w:pPr>
            <w:r>
              <w:t xml:space="preserve">markov_zone_transition</w:t>
            </w:r>
          </w:p>
        </w:tc>
        <w:tc>
          <w:tcPr/>
          <w:p>
            <w:pPr>
              <w:pStyle w:val="Compact"/>
              <w:jc w:val="left"/>
            </w:pPr>
            <w:r>
              <w:t xml:space="preserve">Banned (blanket)</w:t>
            </w:r>
          </w:p>
        </w:tc>
        <w:tc>
          <w:tcPr/>
          <w:p>
            <w:pPr>
              <w:pStyle w:val="Compact"/>
              <w:jc w:val="left"/>
            </w:pPr>
            <w:r>
              <w:t xml:space="preserve">Conditional Unban</w:t>
            </w:r>
          </w:p>
        </w:tc>
        <w:tc>
          <w:tcPr/>
          <w:p>
            <w:pPr>
              <w:pStyle w:val="Compact"/>
              <w:jc w:val="center"/>
            </w:pPr>
            <w:r>
              <w:t xml:space="preserve">55</w:t>
            </w:r>
          </w:p>
        </w:tc>
        <w:tc>
          <w:tcPr/>
          <w:p>
            <w:pPr>
              <w:pStyle w:val="Compact"/>
              <w:jc w:val="left"/>
            </w:pPr>
            <w:r>
              <w:t xml:space="preserve">Strongest equity strategy; 77% MACD continuation</w:t>
            </w:r>
          </w:p>
        </w:tc>
        <w:tc>
          <w:tcPr/>
          <w:p>
            <w:pPr>
              <w:pStyle w:val="Compact"/>
              <w:jc w:val="center"/>
            </w:pPr>
            <w:r>
              <w:t xml:space="preserve">2–4</w:t>
            </w:r>
          </w:p>
        </w:tc>
      </w:tr>
      <w:tr>
        <w:tc>
          <w:tcPr/>
          <w:p>
            <w:pPr>
              <w:pStyle w:val="Compact"/>
              <w:jc w:val="left"/>
            </w:pPr>
            <w:r>
              <w:t xml:space="preserve">regular_divergence_reversal</w:t>
            </w:r>
          </w:p>
        </w:tc>
        <w:tc>
          <w:tcPr/>
          <w:p>
            <w:pPr>
              <w:pStyle w:val="Compact"/>
              <w:jc w:val="left"/>
            </w:pPr>
            <w:r>
              <w:t xml:space="preserve">Banned (blanket)</w:t>
            </w:r>
          </w:p>
        </w:tc>
        <w:tc>
          <w:tcPr/>
          <w:p>
            <w:pPr>
              <w:pStyle w:val="Compact"/>
              <w:jc w:val="left"/>
            </w:pPr>
            <w:r>
              <w:t xml:space="preserve">Conditional Unban</w:t>
            </w:r>
          </w:p>
        </w:tc>
        <w:tc>
          <w:tcPr/>
          <w:p>
            <w:pPr>
              <w:pStyle w:val="Compact"/>
              <w:jc w:val="center"/>
            </w:pPr>
            <w:r>
              <w:t xml:space="preserve">65</w:t>
            </w:r>
          </w:p>
        </w:tc>
        <w:tc>
          <w:tcPr/>
          <w:p>
            <w:pPr>
              <w:pStyle w:val="Compact"/>
              <w:jc w:val="left"/>
            </w:pPr>
            <w:r>
              <w:t xml:space="preserve">Higher bar for reversal signals on momentum name</w:t>
            </w:r>
          </w:p>
        </w:tc>
        <w:tc>
          <w:tcPr/>
          <w:p>
            <w:pPr>
              <w:pStyle w:val="Compact"/>
              <w:jc w:val="center"/>
            </w:pPr>
            <w:r>
              <w:t xml:space="preserve">1–2</w:t>
            </w:r>
          </w:p>
        </w:tc>
      </w:tr>
      <w:tr>
        <w:tc>
          <w:tcPr/>
          <w:p>
            <w:pPr>
              <w:pStyle w:val="Compact"/>
              <w:jc w:val="left"/>
            </w:pPr>
            <w:r>
              <w:t xml:space="preserve">Classic Momentum</w:t>
            </w:r>
          </w:p>
        </w:tc>
        <w:tc>
          <w:tcPr/>
          <w:p>
            <w:pPr>
              <w:pStyle w:val="Compact"/>
              <w:jc w:val="left"/>
            </w:pPr>
            <w:r>
              <w:t xml:space="preserve">Banned (strategy)</w:t>
            </w:r>
          </w:p>
        </w:tc>
        <w:tc>
          <w:tcPr/>
          <w:p>
            <w:pPr>
              <w:pStyle w:val="Compact"/>
              <w:jc w:val="left"/>
            </w:pPr>
            <w:r>
              <w:rPr>
                <w:bCs/>
                <w:b/>
              </w:rPr>
              <w:t xml:space="preserve">Remain Banned</w:t>
            </w:r>
          </w:p>
        </w:tc>
        <w:tc>
          <w:tcPr/>
          <w:p>
            <w:pPr>
              <w:pStyle w:val="Compact"/>
              <w:jc w:val="center"/>
            </w:pPr>
            <w:r>
              <w:t xml:space="preserve">999</w:t>
            </w:r>
          </w:p>
        </w:tc>
        <w:tc>
          <w:tcPr/>
          <w:p>
            <w:pPr>
              <w:pStyle w:val="Compact"/>
              <w:jc w:val="left"/>
            </w:pPr>
            <w:r>
              <w:t xml:space="preserve">PF 0.92 on</w:t>
            </w:r>
            <w:r>
              <w:t xml:space="preserve"> </w:t>
            </w:r>
            <m:oMath>
              <m:r>
                <m:t>n</m:t>
              </m:r>
              <m:r>
                <m:rPr>
                  <m:sty m:val="p"/>
                </m:rPr>
                <m:t>=</m:t>
              </m:r>
              <m:r>
                <m:t>39</m:t>
              </m:r>
            </m:oMath>
            <w:r>
              <w:t xml:space="preserve"> </w:t>
            </w:r>
            <w:r>
              <w:t xml:space="preserve">across all equities</w:t>
            </w:r>
            <w:r>
              <w:rPr>
                <w:rStyle w:val="FootnoteReference"/>
              </w:rPr>
              <w:footnoteReference w:id="128"/>
            </w:r>
          </w:p>
        </w:tc>
        <w:tc>
          <w:tcPr/>
          <w:p>
            <w:pPr>
              <w:pStyle w:val="Compact"/>
              <w:jc w:val="center"/>
            </w:pPr>
            <w:r>
              <w:t xml:space="preserve">0</w:t>
            </w:r>
          </w:p>
        </w:tc>
      </w:tr>
      <w:tr>
        <w:tc>
          <w:tcPr/>
          <w:p>
            <w:pPr>
              <w:pStyle w:val="Compact"/>
              <w:jc w:val="left"/>
            </w:pPr>
            <w:r>
              <w:t xml:space="preserve">All others</w:t>
            </w:r>
          </w:p>
        </w:tc>
        <w:tc>
          <w:tcPr/>
          <w:p>
            <w:pPr>
              <w:pStyle w:val="Compact"/>
              <w:jc w:val="left"/>
            </w:pPr>
            <w:r>
              <w:t xml:space="preserve">Banned (blanket)</w:t>
            </w:r>
          </w:p>
        </w:tc>
        <w:tc>
          <w:tcPr/>
          <w:p>
            <w:pPr>
              <w:pStyle w:val="Compact"/>
              <w:jc w:val="left"/>
            </w:pPr>
            <w:r>
              <w:t xml:space="preserve">Conditional Unban</w:t>
            </w:r>
          </w:p>
        </w:tc>
        <w:tc>
          <w:tcPr/>
          <w:p>
            <w:pPr>
              <w:pStyle w:val="Compact"/>
              <w:jc w:val="center"/>
            </w:pPr>
            <w:r>
              <w:t xml:space="preserve">60</w:t>
            </w:r>
          </w:p>
        </w:tc>
        <w:tc>
          <w:tcPr/>
          <w:p>
            <w:pPr>
              <w:pStyle w:val="Compact"/>
              <w:jc w:val="left"/>
            </w:pPr>
            <w:r>
              <w:t xml:space="preserve">Generic score floor for unproven strategies</w:t>
            </w:r>
          </w:p>
        </w:tc>
        <w:tc>
          <w:tcPr/>
          <w:p>
            <w:pPr>
              <w:pStyle w:val="Compact"/>
              <w:jc w:val="center"/>
            </w:pPr>
            <w:r>
              <w:t xml:space="preserve">0–1</w:t>
            </w:r>
          </w:p>
        </w:tc>
      </w:tr>
    </w:tbl>
    <w:p>
      <w:pPr>
        <w:pStyle w:val="BodyText"/>
      </w:pPr>
      <w:r>
        <w:t xml:space="preserve">The decision matrix reflects a risk-tiered approach. The</w:t>
      </w:r>
      <w:r>
        <w:t xml:space="preserve"> </w:t>
      </w:r>
      <w:r>
        <w:rPr>
          <w:rStyle w:val="VerbatimChar"/>
        </w:rPr>
        <w:t xml:space="preserve">markov_zone_transition</w:t>
      </w:r>
      <w:r>
        <w:t xml:space="preserve"> </w:t>
      </w:r>
      <w:r>
        <w:t xml:space="preserve">strategy receives the lowest score threshold because it has demonstrated the strongest signal quality on the equity book. The 77% MACD continuation rate for AAPL, combined with the stock’s position above both key moving averages, suggests that entries generated by this strategy carry a materially higher probability of success than random entries or generic momentum signals</w:t>
      </w:r>
      <w:r>
        <w:rPr>
          <w:rStyle w:val="FootnoteReference"/>
        </w:rPr>
        <w:footnoteReference w:id="129"/>
      </w:r>
      <w:r>
        <w:t xml:space="preserve">. The</w:t>
      </w:r>
      <w:r>
        <w:t xml:space="preserve"> </w:t>
      </w:r>
      <w:r>
        <w:rPr>
          <w:rStyle w:val="VerbatimChar"/>
        </w:rPr>
        <w:t xml:space="preserve">regular_divergence_reversal</w:t>
      </w:r>
      <w:r>
        <w:t xml:space="preserve"> </w:t>
      </w:r>
      <w:r>
        <w:t xml:space="preserve">strategy requires a higher score of 65 because divergence-reversal signals on strongly trending names are inherently more susceptible to false positives — the trend continuation probability outweighs the reversal probability when MACD is positive and price is above the 200-day MA.</w:t>
      </w:r>
    </w:p>
    <w:p>
      <w:pPr>
        <w:pStyle w:val="BodyText"/>
      </w:pPr>
      <w:r>
        <w:t xml:space="preserve">The expected impact of lifting the AAPL ban for</w:t>
      </w:r>
      <w:r>
        <w:t xml:space="preserve"> </w:t>
      </w:r>
      <w:r>
        <w:rPr>
          <w:rStyle w:val="VerbatimChar"/>
        </w:rPr>
        <w:t xml:space="preserve">markov_zone_transition</w:t>
      </w:r>
      <w:r>
        <w:t xml:space="preserve"> </w:t>
      </w:r>
      <w:r>
        <w:t xml:space="preserve">(score</w:t>
      </w:r>
      <w:r>
        <w:t xml:space="preserve"> </w:t>
      </w:r>
      <m:oMath>
        <m:r>
          <m:rPr>
            <m:sty m:val="p"/>
          </m:rPr>
          <m:t>≥</m:t>
        </m:r>
        <m:r>
          <m:t>55</m:t>
        </m:r>
      </m:oMath>
      <w:r>
        <w:t xml:space="preserve">) is estimated at 2–4 additional trades per quarter. If these picks maintain the system’s L100 WR of approximately 59%, the expected contribution is positive. Risk is minimal: the score floor and strategy filter provide guardrails that prevent weak-signal AAPL entries from degrading book performance</w:t>
      </w:r>
      <w:r>
        <w:rPr>
          <w:rStyle w:val="FootnoteReference"/>
        </w:rPr>
        <w:footnoteReference w:id="130"/>
      </w:r>
      <w:r>
        <w:t xml:space="preserve">.</w:t>
      </w:r>
    </w:p>
    <w:p>
      <w:r>
        <w:pict>
          <v:rect style="width:0;height:1.5pt" o:hralign="center" o:hrstd="t" o:hr="t"/>
        </w:pict>
      </w:r>
    </w:p>
    <w:bookmarkEnd w:id="131"/>
    <w:bookmarkEnd w:id="132"/>
    <w:bookmarkStart w:id="144" w:name="etf-time-decay-structural-not-fixable"/>
    <w:p>
      <w:pPr>
        <w:pStyle w:val="Heading3"/>
      </w:pPr>
      <w:r>
        <w:t xml:space="preserve">2.4 ETF Time-Decay: Structural, Not Fixable</w:t>
      </w:r>
    </w:p>
    <w:p>
      <w:pPr>
        <w:pStyle w:val="FirstParagraph"/>
      </w:pPr>
      <w:r>
        <w:t xml:space="preserve">The ETF sleeve presents a mirror-image problem to equities. Where equity performance improves with sample size, ETF performance degrades — and this degradation is structural, not curable by parameter tuning or better stock selection.</w:t>
      </w:r>
    </w:p>
    <w:bookmarkStart w:id="136" w:name="Xb41653cd1dba698a06f4e8f8dfe86a5902e337a"/>
    <w:p>
      <w:pPr>
        <w:pStyle w:val="Heading4"/>
      </w:pPr>
      <w:r>
        <w:t xml:space="preserve">Single-Lag Mean Reversion Decay: 25 Years of Academic Evidence</w:t>
      </w:r>
    </w:p>
    <w:p>
      <w:pPr>
        <w:pStyle w:val="FirstParagraph"/>
      </w:pPr>
      <w:r>
        <w:t xml:space="preserve">The ETF performance trajectory is the opposite of equity. At L20, WR is 70.0% with PF 2.88 (T1). At L50, WR improves slightly to 72.0% with PF 2.67 (T1). At L100, WR collapses to 52.9% and PF falls to 1.32 (T3)</w:t>
      </w:r>
      <w:r>
        <w:rPr>
          <w:rStyle w:val="FootnoteReference"/>
        </w:rPr>
        <w:footnoteReference w:id="133"/>
      </w:r>
      <w:r>
        <w:t xml:space="preserve">.</w:t>
      </w:r>
    </w:p>
    <w:p>
      <w:pPr>
        <w:pStyle w:val="BodyText"/>
      </w:pPr>
      <w:r>
        <w:t xml:space="preserve">The academic literature provides a definitive explanation. The MDPI (2026) overnight/daytime ETF study states:</w:t>
      </w:r>
      <w:r>
        <w:t xml:space="preserve"> </w:t>
      </w:r>
      <w:r>
        <w:t xml:space="preserve">“</w:t>
      </w:r>
      <w:r>
        <w:t xml:space="preserve">The kNN reversal signal is exploited at the single-period lag and is not a multi-period momentum or contrarian effect… Extending the lookback to three or more periods progressively dilutes the signal by averaging in lags with negligible predictive content, reducing final portfolio values by a factor of 5–10 relative to the single-lag implementation</w:t>
      </w:r>
      <w:r>
        <w:t xml:space="preserve">”</w:t>
      </w:r>
      <w:r>
        <w:rPr>
          <w:rStyle w:val="FootnoteReference"/>
        </w:rPr>
        <w:footnoteReference w:id="134"/>
      </w:r>
      <w:r>
        <w:t xml:space="preserve">.</w:t>
      </w:r>
    </w:p>
    <w:p>
      <w:pPr>
        <w:pStyle w:val="BodyText"/>
      </w:pPr>
      <w:r>
        <w:t xml:space="preserve">This finding — that the ETF edge is a microstructure anomaly tied to overnight drift and daytime mean reversion, operative only at the single-lag horizon — has been replicated across multiple academic studies spanning 25 years. The ETF edge is not a factor premium; it is a trading friction that dissipates as holding periods extend</w:t>
      </w:r>
      <w:r>
        <w:rPr>
          <w:rStyle w:val="FootnoteReference"/>
        </w:rPr>
        <w:footnoteReference w:id="135"/>
      </w:r>
      <w:r>
        <w:t xml:space="preserve">.</w:t>
      </w:r>
    </w:p>
    <w:bookmarkEnd w:id="136"/>
    <w:bookmarkStart w:id="143" w:name="X8feb3d65c091ec8ae2ae514f851ab0825fef97b"/>
    <w:p>
      <w:pPr>
        <w:pStyle w:val="Heading4"/>
      </w:pPr>
      <w:r>
        <w:t xml:space="preserve">ETFs Are Tactical (L20/L50 T1), Not Strategic (L100 T3)</w:t>
      </w:r>
    </w:p>
    <w:p>
      <w:pPr>
        <w:pStyle w:val="FirstParagraph"/>
      </w:pPr>
      <w:r>
        <w:t xml:space="preserve">The diagnosis of three competing hypotheses confirms the structural nature of the decay. Under the volatility clustering hypothesis, ETF volatility is predictable short-term but not long-term — a partial contributor. Under the mean reversion hypothesis (the primary cause), strong academic evidence supports single-lag mean reversion across ETF universes. Under the strategy-specific failure hypothesis, PF degrades across</w:t>
      </w:r>
      <w:r>
        <w:t xml:space="preserve"> </w:t>
      </w:r>
      <w:r>
        <w:rPr>
          <w:iCs/>
          <w:i/>
        </w:rPr>
        <w:t xml:space="preserve">all</w:t>
      </w:r>
      <w:r>
        <w:t xml:space="preserve"> </w:t>
      </w:r>
      <w:r>
        <w:t xml:space="preserve">ETF strategies, not merely one, confirming the issue is systemic rather than idiosyncratic</w:t>
      </w:r>
      <w:r>
        <w:rPr>
          <w:rStyle w:val="FootnoteReference"/>
        </w:rPr>
        <w:footnoteReference w:id="137"/>
      </w:r>
      <w:r>
        <w:t xml:space="preserve">.</w:t>
      </w:r>
    </w:p>
    <w:p>
      <w:pPr>
        <w:pStyle w:val="BodyText"/>
      </w:pPr>
      <w:r>
        <w:rPr>
          <w:bCs/>
          <w:b/>
        </w:rPr>
        <w:t xml:space="preserve">Table 3: ETF Tactical vs Strategic Recommendations</w:t>
      </w:r>
    </w:p>
    <w:tbl>
      <w:tblPr>
        <w:tblStyle w:val="Table"/>
        <w:tblW w:type="pct" w:w="5000"/>
        <w:tblLook w:firstRow="1" w:lastRow="0" w:firstColumn="0" w:lastColumn="0" w:noHBand="0" w:noVBand="0" w:val="0020"/>
      </w:tblPr>
      <w:tblGrid>
        <w:gridCol w:w="1428"/>
        <w:gridCol w:w="1168"/>
        <w:gridCol w:w="1687"/>
        <w:gridCol w:w="1428"/>
        <w:gridCol w:w="2207"/>
      </w:tblGrid>
      <w:tr>
        <w:trPr>
          <w:tblHeader w:val="true"/>
        </w:trPr>
        <w:tc>
          <w:tcPr/>
          <w:p>
            <w:pPr>
              <w:pStyle w:val="Compact"/>
              <w:jc w:val="left"/>
            </w:pPr>
            <w:r>
              <w:t xml:space="preserve">Parameter</w:t>
            </w:r>
          </w:p>
        </w:tc>
        <w:tc>
          <w:tcPr/>
          <w:p>
            <w:pPr>
              <w:pStyle w:val="Compact"/>
              <w:jc w:val="left"/>
            </w:pPr>
            <w:r>
              <w:t xml:space="preserve">Current</w:t>
            </w:r>
          </w:p>
        </w:tc>
        <w:tc>
          <w:tcPr/>
          <w:p>
            <w:pPr>
              <w:pStyle w:val="Compact"/>
              <w:jc w:val="left"/>
            </w:pPr>
            <w:r>
              <w:t xml:space="preserve">Recommended</w:t>
            </w:r>
          </w:p>
        </w:tc>
        <w:tc>
          <w:tcPr/>
          <w:p>
            <w:pPr>
              <w:pStyle w:val="Compact"/>
              <w:jc w:val="left"/>
            </w:pPr>
            <w:r>
              <w:t xml:space="preserve">Rationale</w:t>
            </w:r>
          </w:p>
        </w:tc>
        <w:tc>
          <w:tcPr/>
          <w:p>
            <w:pPr>
              <w:pStyle w:val="Compact"/>
              <w:jc w:val="left"/>
            </w:pPr>
            <w:r>
              <w:t xml:space="preserve">Expected Impact</w:t>
            </w:r>
          </w:p>
        </w:tc>
      </w:tr>
      <w:tr>
        <w:tc>
          <w:tcPr/>
          <w:p>
            <w:pPr>
              <w:pStyle w:val="Compact"/>
              <w:jc w:val="left"/>
            </w:pPr>
            <w:r>
              <w:t xml:space="preserve">Hold period</w:t>
            </w:r>
          </w:p>
        </w:tc>
        <w:tc>
          <w:tcPr/>
          <w:p>
            <w:pPr>
              <w:pStyle w:val="Compact"/>
              <w:jc w:val="left"/>
            </w:pPr>
            <w:r>
              <w:t xml:space="preserve">Variable (up to L100)</w:t>
            </w:r>
          </w:p>
        </w:tc>
        <w:tc>
          <w:tcPr/>
          <w:p>
            <w:pPr>
              <w:pStyle w:val="Compact"/>
              <w:jc w:val="left"/>
            </w:pPr>
            <w:r>
              <w:t xml:space="preserve">Max 10 days</w:t>
            </w:r>
          </w:p>
        </w:tc>
        <w:tc>
          <w:tcPr/>
          <w:p>
            <w:pPr>
              <w:pStyle w:val="Compact"/>
              <w:jc w:val="left"/>
            </w:pPr>
            <w:r>
              <w:t xml:space="preserve">Single-lag decay beyond 10 days</w:t>
            </w:r>
          </w:p>
        </w:tc>
        <w:tc>
          <w:tcPr/>
          <w:p>
            <w:pPr>
              <w:pStyle w:val="Compact"/>
              <w:jc w:val="left"/>
            </w:pPr>
            <w:r>
              <w:t xml:space="preserve">Prevents L100 degradation</w:t>
            </w:r>
          </w:p>
        </w:tc>
      </w:tr>
      <w:tr>
        <w:tc>
          <w:tcPr/>
          <w:p>
            <w:pPr>
              <w:pStyle w:val="Compact"/>
              <w:jc w:val="left"/>
            </w:pPr>
            <w:r>
              <w:t xml:space="preserve">Re-entry window</w:t>
            </w:r>
          </w:p>
        </w:tc>
        <w:tc>
          <w:tcPr/>
          <w:p>
            <w:pPr>
              <w:pStyle w:val="Compact"/>
              <w:jc w:val="left"/>
            </w:pPr>
            <w:r>
              <w:t xml:space="preserve">Any</w:t>
            </w:r>
          </w:p>
        </w:tc>
        <w:tc>
          <w:tcPr/>
          <w:p>
            <w:pPr>
              <w:pStyle w:val="Compact"/>
              <w:jc w:val="left"/>
            </w:pPr>
            <w:r>
              <w:t xml:space="preserve">24–48h only</w:t>
            </w:r>
          </w:p>
        </w:tc>
        <w:tc>
          <w:tcPr/>
          <w:p>
            <w:pPr>
              <w:pStyle w:val="Compact"/>
              <w:jc w:val="left"/>
            </w:pPr>
            <w:r>
              <w:t xml:space="preserve">Fresh signal required after exit</w:t>
            </w:r>
          </w:p>
        </w:tc>
        <w:tc>
          <w:tcPr/>
          <w:p>
            <w:pPr>
              <w:pStyle w:val="Compact"/>
              <w:jc w:val="left"/>
            </w:pPr>
            <w:r>
              <w:t xml:space="preserve">Maintains signal freshness</w:t>
            </w:r>
          </w:p>
        </w:tc>
      </w:tr>
      <w:tr>
        <w:tc>
          <w:tcPr/>
          <w:p>
            <w:pPr>
              <w:pStyle w:val="Compact"/>
              <w:jc w:val="left"/>
            </w:pPr>
            <w:r>
              <w:t xml:space="preserve">Position sizing</w:t>
            </w:r>
          </w:p>
        </w:tc>
        <w:tc>
          <w:tcPr/>
          <w:p>
            <w:pPr>
              <w:pStyle w:val="Compact"/>
              <w:jc w:val="left"/>
            </w:pPr>
            <w:r>
              <w:t xml:space="preserve">Standard equity sizing</w:t>
            </w:r>
          </w:p>
        </w:tc>
        <w:tc>
          <w:tcPr/>
          <w:p>
            <w:pPr>
              <w:pStyle w:val="Compact"/>
              <w:jc w:val="left"/>
            </w:pPr>
            <w:r>
              <w:t xml:space="preserve">0.5× equity sizing</w:t>
            </w:r>
          </w:p>
        </w:tc>
        <w:tc>
          <w:tcPr/>
          <w:p>
            <w:pPr>
              <w:pStyle w:val="Compact"/>
              <w:jc w:val="left"/>
            </w:pPr>
            <w:r>
              <w:t xml:space="preserve">Higher turnover, lower conviction</w:t>
            </w:r>
          </w:p>
        </w:tc>
        <w:tc>
          <w:tcPr/>
          <w:p>
            <w:pPr>
              <w:pStyle w:val="Compact"/>
              <w:jc w:val="left"/>
            </w:pPr>
            <w:r>
              <w:t xml:space="preserve">Reduces turnover drag</w:t>
            </w:r>
          </w:p>
        </w:tc>
      </w:tr>
      <w:tr>
        <w:tc>
          <w:tcPr/>
          <w:p>
            <w:pPr>
              <w:pStyle w:val="Compact"/>
              <w:jc w:val="left"/>
            </w:pPr>
            <w:r>
              <w:t xml:space="preserve">Tier target</w:t>
            </w:r>
          </w:p>
        </w:tc>
        <w:tc>
          <w:tcPr/>
          <w:p>
            <w:pPr>
              <w:pStyle w:val="Compact"/>
              <w:jc w:val="left"/>
            </w:pPr>
            <w:r>
              <w:t xml:space="preserve">T1 across all windows</w:t>
            </w:r>
          </w:p>
        </w:tc>
        <w:tc>
          <w:tcPr/>
          <w:p>
            <w:pPr>
              <w:pStyle w:val="Compact"/>
              <w:jc w:val="left"/>
            </w:pPr>
            <w:r>
              <w:t xml:space="preserve">T1 at L20 only; T2 acceptable at L50</w:t>
            </w:r>
          </w:p>
        </w:tc>
        <w:tc>
          <w:tcPr/>
          <w:p>
            <w:pPr>
              <w:pStyle w:val="Compact"/>
              <w:jc w:val="left"/>
            </w:pPr>
            <w:r>
              <w:t xml:space="preserve">Realistic given structural decay</w:t>
            </w:r>
          </w:p>
        </w:tc>
        <w:tc>
          <w:tcPr/>
          <w:p>
            <w:pPr>
              <w:pStyle w:val="Compact"/>
              <w:jc w:val="left"/>
            </w:pPr>
            <w:r>
              <w:t xml:space="preserve">Aligns expectations</w:t>
            </w:r>
          </w:p>
        </w:tc>
      </w:tr>
      <w:tr>
        <w:tc>
          <w:tcPr/>
          <w:p>
            <w:pPr>
              <w:pStyle w:val="Compact"/>
              <w:jc w:val="left"/>
            </w:pPr>
            <w:r>
              <w:t xml:space="preserve">Stop regime</w:t>
            </w:r>
          </w:p>
        </w:tc>
        <w:tc>
          <w:tcPr/>
          <w:p>
            <w:pPr>
              <w:pStyle w:val="Compact"/>
              <w:jc w:val="left"/>
            </w:pPr>
            <w:r>
              <w:t xml:space="preserve">Standard</w:t>
            </w:r>
          </w:p>
        </w:tc>
        <w:tc>
          <w:tcPr/>
          <w:p>
            <w:pPr>
              <w:pStyle w:val="Compact"/>
              <w:jc w:val="left"/>
            </w:pPr>
            <w:r>
              <w:t xml:space="preserve">2% hard stop</w:t>
            </w:r>
          </w:p>
        </w:tc>
        <w:tc>
          <w:tcPr/>
          <w:p>
            <w:pPr>
              <w:pStyle w:val="Compact"/>
              <w:jc w:val="left"/>
            </w:pPr>
            <w:r>
              <w:t xml:space="preserve">Microstructure edges are fragile</w:t>
            </w:r>
          </w:p>
        </w:tc>
        <w:tc>
          <w:tcPr/>
          <w:p>
            <w:pPr>
              <w:pStyle w:val="Compact"/>
              <w:jc w:val="left"/>
            </w:pPr>
            <w:r>
              <w:t xml:space="preserve">Limits downside per trade</w:t>
            </w:r>
          </w:p>
        </w:tc>
      </w:tr>
      <w:tr>
        <w:tc>
          <w:tcPr/>
          <w:p>
            <w:pPr>
              <w:pStyle w:val="Compact"/>
              <w:jc w:val="left"/>
            </w:pPr>
            <w:r>
              <w:t xml:space="preserve">Allocation cap</w:t>
            </w:r>
          </w:p>
        </w:tc>
        <w:tc>
          <w:tcPr/>
          <w:p>
            <w:pPr>
              <w:pStyle w:val="Compact"/>
              <w:jc w:val="left"/>
            </w:pPr>
            <w:r>
              <w:t xml:space="preserve">25% of portfolio</w:t>
            </w:r>
          </w:p>
        </w:tc>
        <w:tc>
          <w:tcPr/>
          <w:p>
            <w:pPr>
              <w:pStyle w:val="Compact"/>
              <w:jc w:val="left"/>
            </w:pPr>
            <w:r>
              <w:t xml:space="preserve">15–20% of portfolio</w:t>
            </w:r>
          </w:p>
        </w:tc>
        <w:tc>
          <w:tcPr/>
          <w:p>
            <w:pPr>
              <w:pStyle w:val="Compact"/>
              <w:jc w:val="left"/>
            </w:pPr>
            <w:r>
              <w:t xml:space="preserve">Tactical, not strategic asset class</w:t>
            </w:r>
          </w:p>
        </w:tc>
        <w:tc>
          <w:tcPr/>
          <w:p>
            <w:pPr>
              <w:pStyle w:val="Compact"/>
              <w:jc w:val="left"/>
            </w:pPr>
            <w:r>
              <w:t xml:space="preserve">Reduces decay exposure</w:t>
            </w:r>
          </w:p>
        </w:tc>
      </w:tr>
    </w:tbl>
    <w:p>
      <w:pPr>
        <w:pStyle w:val="BodyText"/>
      </w:pPr>
      <w:r>
        <w:t xml:space="preserve">The analytical interpretation of Table 3 centers on a fundamental reclassification: ETFs should be treated as a</w:t>
      </w:r>
      <w:r>
        <w:t xml:space="preserve"> </w:t>
      </w:r>
      <w:r>
        <w:rPr>
          <w:iCs/>
          <w:i/>
        </w:rPr>
        <w:t xml:space="preserve">tactical</w:t>
      </w:r>
      <w:r>
        <w:t xml:space="preserve"> </w:t>
      </w:r>
      <w:r>
        <w:t xml:space="preserve">asset class, suitable for short-horizon exploitation of microstructure inefficiencies, rather than a</w:t>
      </w:r>
      <w:r>
        <w:t xml:space="preserve"> </w:t>
      </w:r>
      <w:r>
        <w:rPr>
          <w:iCs/>
          <w:i/>
        </w:rPr>
        <w:t xml:space="preserve">strategic</w:t>
      </w:r>
      <w:r>
        <w:t xml:space="preserve"> </w:t>
      </w:r>
      <w:r>
        <w:t xml:space="preserve">asset class for long-horizon factor exposure. This distinction has profound implications for portfolio construction. The CIO review currently assigns ETFs a 25% portfolio weight under HRP allocation</w:t>
      </w:r>
      <w:r>
        <w:rPr>
          <w:rStyle w:val="FootnoteReference"/>
        </w:rPr>
        <w:footnoteReference w:id="138"/>
      </w:r>
      <w:r>
        <w:t xml:space="preserve">; the evidence suggests 15–20% is more appropriate given the structural time-decay that erodes edge beyond the 10-day holding horizon.</w:t>
      </w:r>
    </w:p>
    <w:p>
      <w:pPr>
        <w:pStyle w:val="BodyText"/>
      </w:pPr>
      <w:r>
        <w:t xml:space="preserve">The platform’s current practice of allowing variable hold periods up to L100 is the primary driver of ETF T3 classification. The recommended 10-day hard stop directly addresses this by truncating positions before the single-lag mean reversion signal decays into noise. Re-entry is restricted to 24–48 hour windows to ensure that only fresh signals — not stale continuations — trigger new positions</w:t>
      </w:r>
      <w:r>
        <w:rPr>
          <w:rStyle w:val="FootnoteReference"/>
        </w:rPr>
        <w:footnoteReference w:id="139"/>
      </w:r>
      <w:r>
        <w:t xml:space="preserve">.</w:t>
      </w:r>
    </w:p>
    <w:p>
      <w:pPr>
        <w:pStyle w:val="BodyText"/>
      </w:pPr>
      <w:r>
        <w:t xml:space="preserve">Among academic ETF strategies, Strategy #18 (Long/Reversal) from the MDPI study achieves Sharpe ratios of 1.09–1.25 across the broadest ETF set — XLK, XLU, XLP, XLV, XLI — making it the single most robust ETF strategy documented in the literature</w:t>
      </w:r>
      <w:r>
        <w:rPr>
          <w:rStyle w:val="FootnoteReference"/>
        </w:rPr>
        <w:footnoteReference w:id="140"/>
      </w:r>
      <w:r>
        <w:t xml:space="preserve">. Implementation of this overnight/daytime decomposition framework is projected to deliver Sharpe 1.0–1.25 potential, though development timeline is estimated at 3–4 weeks given the required data infrastructure</w:t>
      </w:r>
      <w:r>
        <w:rPr>
          <w:rStyle w:val="FootnoteReference"/>
        </w:rPr>
        <w:footnoteReference w:id="141"/>
      </w:r>
      <w:r>
        <w:t xml:space="preserve">. Sector-specific implementations show additional promise: XLE momentum strategies (commodity-linked) delivered Sharpe 0.71 with 1–3 day holds, while XLP mean reversion achieved Sharpe 1.14, though both are limited by sector-specific concentration risk</w:t>
      </w:r>
      <w:r>
        <w:rPr>
          <w:rStyle w:val="FootnoteReference"/>
        </w:rPr>
        <w:footnoteReference w:id="142"/>
      </w:r>
      <w:r>
        <w:t xml:space="preserve">. The overnight/daytime framework is preferred precisely because it operates across multiple sectors, avoiding the single-sector dependency that amplifies drawdowns during sector-specific stress events.</w:t>
      </w:r>
    </w:p>
    <w:p>
      <w:r>
        <w:pict>
          <v:rect style="width:0;height:1.5pt" o:hralign="center" o:hrstd="t" o:hr="t"/>
        </w:pict>
      </w:r>
    </w:p>
    <w:bookmarkEnd w:id="143"/>
    <w:bookmarkEnd w:id="144"/>
    <w:bookmarkStart w:id="165" w:name="factor-sleeve-enhancement"/>
    <w:p>
      <w:pPr>
        <w:pStyle w:val="Heading3"/>
      </w:pPr>
      <w:r>
        <w:t xml:space="preserve">2.5 Factor Sleeve Enhancement</w:t>
      </w:r>
    </w:p>
    <w:p>
      <w:pPr>
        <w:pStyle w:val="FirstParagraph"/>
      </w:pPr>
      <w:r>
        <w:t xml:space="preserve">The current equity system’s composite scoring — ValueComposite + QualityComposite × SafetyGate — is well-designed but can be enhanced through explicit factor sleeve weighting. This section presents the recommended allocation framework and its academic foundations.</w:t>
      </w:r>
    </w:p>
    <w:bookmarkStart w:id="157" w:name="X8570865e7b6f7a6c3f4b24c84ceb3f9933ebb4c"/>
    <w:p>
      <w:pPr>
        <w:pStyle w:val="Heading4"/>
      </w:pPr>
      <w:r>
        <w:t xml:space="preserve">Recommended Allocation: Quality 35% / Momentum 25% / Value 20% / Low-Vol 15% / ML Overlay 5%</w:t>
      </w:r>
    </w:p>
    <w:p>
      <w:pPr>
        <w:pStyle w:val="FirstParagraph"/>
      </w:pPr>
      <w:r>
        <w:t xml:space="preserve">The SGH (2024) analysis of Fama-French data from July 1963 through April 2024 provides the empirical basis for factor weighting</w:t>
      </w:r>
      <w:r>
        <w:rPr>
          <w:rStyle w:val="FootnoteReference"/>
        </w:rPr>
        <w:footnoteReference w:id="145"/>
      </w:r>
      <w:r>
        <w:t xml:space="preserve">. Among US large-cap stocks, momentum delivered the highest Sharpe (0.49) and quality the second-highest (0.46), with value estimated at approximately 0.38 and the market factor at 0.39</w:t>
      </w:r>
      <w:r>
        <w:rPr>
          <w:rStyle w:val="FootnoteReference"/>
        </w:rPr>
        <w:footnoteReference w:id="146"/>
      </w:r>
      <w:r>
        <w:t xml:space="preserve">. The recommended allocation inverts the raw Sharpe ranking, placing quality at the highest weight because it exhibits the most stable returns — tracking error of 4.19% versus 9.09% for momentum — making it the more reliable core holding</w:t>
      </w:r>
      <w:r>
        <w:rPr>
          <w:rStyle w:val="FootnoteReference"/>
        </w:rPr>
        <w:footnoteReference w:id="147"/>
      </w:r>
      <w:r>
        <w:t xml:space="preserve">.</w:t>
      </w:r>
    </w:p>
    <w:p>
      <w:pPr>
        <w:pStyle w:val="BodyText"/>
      </w:pPr>
      <w:r>
        <w:t xml:space="preserve">Momentum receives 25% because it delivers the highest absolute returns despite its elevated volatility. Jegadeesh and Titman’s original finding — that stocks with high prior 6–12 month returns continue to outperform — has persisted for over three decades, with the momentum premium estimated at 13.30% annualized for US large caps</w:t>
      </w:r>
      <w:r>
        <w:rPr>
          <w:rStyle w:val="FootnoteReference"/>
        </w:rPr>
        <w:footnoteReference w:id="148"/>
      </w:r>
      <w:r>
        <w:rPr>
          <w:rStyle w:val="FootnoteReference"/>
        </w:rPr>
        <w:footnoteReference w:id="149"/>
      </w:r>
      <w:r>
        <w:t xml:space="preserve">. Value serves as a diversifier due to its negative correlation with momentum (-0.15), providing a natural hedge during momentum drawdowns</w:t>
      </w:r>
      <w:r>
        <w:rPr>
          <w:rStyle w:val="FootnoteReference"/>
        </w:rPr>
        <w:footnoteReference w:id="150"/>
      </w:r>
      <w:r>
        <w:t xml:space="preserve">. The low-volatility sleeve (15%) draws on Blitz and van Vliet (2007), who documented a 2.34–2.62% annualized anomaly across regions</w:t>
      </w:r>
      <w:r>
        <w:rPr>
          <w:rStyle w:val="FootnoteReference"/>
        </w:rPr>
        <w:footnoteReference w:id="151"/>
      </w:r>
      <w:r>
        <w:t xml:space="preserve">, and CIBC (2025) data showing $693B AUM in low-volatility strategies by end of 2024[^12^].</w:t>
      </w:r>
    </w:p>
    <w:p>
      <w:pPr>
        <w:pStyle w:val="CaptionedFigure"/>
      </w:pPr>
      <w:r>
        <w:drawing>
          <wp:inline>
            <wp:extent cx="5334000" cy="2903556"/>
            <wp:effectExtent b="0" l="0" r="0" t="0"/>
            <wp:docPr descr="Recommended factor sleeve allocation" title="" id="153" name="Picture"/>
            <a:graphic>
              <a:graphicData uri="http://schemas.openxmlformats.org/drawingml/2006/picture">
                <pic:pic>
                  <pic:nvPicPr>
                    <pic:cNvPr descr="factor_sleeve_allocation.png" id="154" name="Picture"/>
                    <pic:cNvPicPr>
                      <a:picLocks noChangeArrowheads="1" noChangeAspect="1"/>
                    </pic:cNvPicPr>
                  </pic:nvPicPr>
                  <pic:blipFill>
                    <a:blip r:embed="rId152"/>
                    <a:stretch>
                      <a:fillRect/>
                    </a:stretch>
                  </pic:blipFill>
                  <pic:spPr bwMode="auto">
                    <a:xfrm>
                      <a:off x="0" y="0"/>
                      <a:ext cx="5334000" cy="2903556"/>
                    </a:xfrm>
                    <a:prstGeom prst="rect">
                      <a:avLst/>
                    </a:prstGeom>
                    <a:noFill/>
                    <a:ln w="9525">
                      <a:noFill/>
                      <a:headEnd/>
                      <a:tailEnd/>
                    </a:ln>
                  </pic:spPr>
                </pic:pic>
              </a:graphicData>
            </a:graphic>
          </wp:inline>
        </w:drawing>
      </w:r>
    </w:p>
    <w:p>
      <w:pPr>
        <w:pStyle w:val="ImageCaption"/>
      </w:pPr>
      <w:r>
        <w:t xml:space="preserve">Recommended factor sleeve allocation</w:t>
      </w:r>
    </w:p>
    <w:p>
      <w:pPr>
        <w:pStyle w:val="BodyText"/>
      </w:pPr>
      <w:r>
        <w:rPr>
          <w:iCs/>
          <w:i/>
        </w:rPr>
        <w:t xml:space="preserve">Figure 2: Recommended factor sleeve allocation for the equity book. Quality and momentum together account for 60% of allocation, reflecting their superior Sharpe ratios in the SGH (2024) 60-year Fama-French analysis</w:t>
      </w:r>
      <w:r>
        <w:rPr>
          <w:rStyle w:val="FootnoteReference"/>
        </w:rPr>
        <w:footnoteReference w:id="155"/>
      </w:r>
      <w:r>
        <w:rPr>
          <w:iCs/>
          <w:i/>
        </w:rPr>
        <w:t xml:space="preserve">. The ML/sentiment overlay at 5% preserves the platform’s proprietary edge while maintaining factor purity in the core allocation.</w:t>
      </w:r>
    </w:p>
    <w:p>
      <w:pPr>
        <w:pStyle w:val="BodyText"/>
      </w:pPr>
      <w:r>
        <w:t xml:space="preserve">The ML/Sentiment overlay at 5% reflects the platform’s proprietary signal. While the academic literature cannot validate this component, the equity L100 PF of 2.90 suggests the ML overlay contributes meaningful alpha beyond what standard factors would predict. The 5% weight is deliberately conservative — sufficient to capture the proprietary edge without allowing model risk to dominate the factor allocation</w:t>
      </w:r>
      <w:r>
        <w:rPr>
          <w:rStyle w:val="FootnoteReference"/>
        </w:rPr>
        <w:footnoteReference w:id="156"/>
      </w:r>
      <w:r>
        <w:t xml:space="preserve">.</w:t>
      </w:r>
    </w:p>
    <w:bookmarkEnd w:id="157"/>
    <w:bookmarkStart w:id="164" w:name="Xb54aa50e23ffcbccff7c7e222692e661b89479c"/>
    <w:p>
      <w:pPr>
        <w:pStyle w:val="Heading4"/>
      </w:pPr>
      <w:r>
        <w:t xml:space="preserve">Sector Rotation Filter: Expected +0.20 PF, +4pp WR</w:t>
      </w:r>
    </w:p>
    <w:p>
      <w:pPr>
        <w:pStyle w:val="FirstParagraph"/>
      </w:pPr>
      <w:r>
        <w:t xml:space="preserve">Beyond factor sleeve rebalancing, the addition of a sector rotation filter represents the highest-impact enhancement available to the equity book. The TSX 60 sector rotation study (2026) reports 15.30% annual returns with a Sharpe of 0.922, outperforming buy-and-hold by 4.95 percentage points</w:t>
      </w:r>
      <w:r>
        <w:rPr>
          <w:rStyle w:val="FootnoteReference"/>
        </w:rPr>
        <w:footnoteReference w:id="158"/>
      </w:r>
      <w:r>
        <w:t xml:space="preserve">. Global sector momentum strategies over 30 years delivered 13.94% annual returns with Sharpe 0.80[^13^].</w:t>
      </w:r>
    </w:p>
    <w:p>
      <w:pPr>
        <w:pStyle w:val="BodyText"/>
      </w:pPr>
      <w:r>
        <w:t xml:space="preserve">The recommended implementation adds sector-relative momentum as a filter: only equity picks in sectors ranked in the top 5 of 11 GICS sectors by 6-month momentum are eligible for entry. This filter is projected to improve equity PF by +0.15 to +0.25 and WR by +3 to +5 percentage points</w:t>
      </w:r>
      <w:r>
        <w:rPr>
          <w:rStyle w:val="FootnoteReference"/>
        </w:rPr>
        <w:footnoteReference w:id="159"/>
      </w:r>
      <w:r>
        <w:t xml:space="preserve">. The mechanism is straightforward — sector momentum acts as a macro-level quality filter, ensuring that individual stock picks are aligned with broad sectoral tailwinds rather than swimming against industry-level headwinds.</w:t>
      </w:r>
    </w:p>
    <w:p>
      <w:pPr>
        <w:pStyle w:val="BodyText"/>
      </w:pPr>
      <w:r>
        <w:t xml:space="preserve">Combining factor sleeve enhancement with the sector rotation filter, the equity book is projected to improve from its current PF 2.90 / WR 59% to PF 3.20–3.55 / WR 62–65% under the medium scenario, with an optimistic scenario reaching PF 3.50–4.00 / WR 64–67%</w:t>
      </w:r>
      <w:r>
        <w:rPr>
          <w:rStyle w:val="FootnoteReference"/>
        </w:rPr>
        <w:footnoteReference w:id="160"/>
      </w:r>
      <w:r>
        <w:t xml:space="preserve">. Even at the conservative end of this range, the equity sleeve would maintain its status as the platform’s crown jewel and primary capital destination.</w:t>
      </w:r>
    </w:p>
    <w:p>
      <w:pPr>
        <w:pStyle w:val="BodyText"/>
      </w:pPr>
      <w:r>
        <w:t xml:space="preserve">The combined impact of all recommended enhancements — factor sleeve rebalancing (+0.15 to +0.25 PF), explicit momentum factor (+0.10 to +0.20 PF), sector rotation filter (+0.15 to +0.25 PF), and conditional AAPL unban (+0.05 PF) — represents a material improvement to an already exceptional equity signal. The principal risk remains sample size:</w:t>
      </w:r>
      <w:r>
        <w:t xml:space="preserve"> </w:t>
      </w:r>
      <m:oMath>
        <m:r>
          <m:t>n</m:t>
        </m:r>
        <m:r>
          <m:rPr>
            <m:sty m:val="p"/>
          </m:rPr>
          <m:t>=</m:t>
        </m:r>
        <m:r>
          <m:t>100</m:t>
        </m:r>
      </m:oMath>
      <w:r>
        <w:t xml:space="preserve"> </w:t>
      </w:r>
      <w:r>
        <w:t xml:space="preserve">is sufficient for T1 classification but L200 confirmation is necessary before allocating institutional capital at scale</w:t>
      </w:r>
      <w:r>
        <w:rPr>
          <w:rStyle w:val="FootnoteReference"/>
        </w:rPr>
        <w:footnoteReference w:id="161"/>
      </w:r>
      <w:r>
        <w:rPr>
          <w:rStyle w:val="FootnoteReference"/>
        </w:rPr>
        <w:footnoteReference w:id="162"/>
      </w:r>
      <w:r>
        <w:t xml:space="preserve">. Factor overcrowding presents a secondary concern: if too many market participants adopt identical factor tilts, the historical premium may compress. The multi-factor approach recommended here mitigates this risk by diversifying across five distinct sources of alpha, ensuring that underperformance in any single factor sleeve does not meaningfully degrade overall book returns. Historical evidence from the 2018–2029 period suggests that factor drawdowns of 15–20% for individual styles are common, but multi-factor portfolios experience drawdowns roughly 40% smaller due to the imperfect correlation among factor returns</w:t>
      </w:r>
      <w:r>
        <w:rPr>
          <w:rStyle w:val="FootnoteReference"/>
        </w:rPr>
        <w:footnoteReference w:id="163"/>
      </w:r>
      <w:r>
        <w:t xml:space="preserve">.</w:t>
      </w:r>
    </w:p>
    <w:p>
      <w:r>
        <w:pict>
          <v:rect style="width:0;height:1.5pt" o:hralign="center" o:hrstd="t" o:hr="t"/>
        </w:pict>
      </w:r>
    </w:p>
    <w:bookmarkEnd w:id="164"/>
    <w:bookmarkEnd w:id="165"/>
    <w:bookmarkEnd w:id="166"/>
    <w:bookmarkStart w:id="199" w:name="forex-recovery-path"/>
    <w:p>
      <w:pPr>
        <w:pStyle w:val="Heading2"/>
      </w:pPr>
      <w:r>
        <w:t xml:space="preserve">3. Forex Recovery Path</w:t>
      </w:r>
    </w:p>
    <w:p>
      <w:pPr>
        <w:pStyle w:val="FirstParagraph"/>
      </w:pPr>
      <w:r>
        <w:t xml:space="preserve">The foreign exchange module presented the most alarming metrics in the entire platform audit: a recorded Win Rate (WR) of 0–5% and Profit Factor (PF) of 0.00–0.06 across the L20, L50, and L100 observation windows. These figures triggered blanket bans on four major currency pairs and pushed the forwardWRMinPct threshold to 70%, effectively halting all forex signal generation. The central finding of this chapter is that the 0% WR was not a strategy failure but a</w:t>
      </w:r>
      <w:r>
        <w:t xml:space="preserve"> </w:t>
      </w:r>
      <w:r>
        <w:rPr>
          <w:bCs/>
          <w:b/>
        </w:rPr>
        <w:t xml:space="preserve">measurement artifact</w:t>
      </w:r>
      <w:r>
        <w:t xml:space="preserve"> </w:t>
      </w:r>
      <w:r>
        <w:t xml:space="preserve">produced by a self-reinforcing bug-to-filter cascade. Independent statistical analysis of a trusted filter subset (</w:t>
      </w:r>
      <m:oMath>
        <m:r>
          <m:t>n</m:t>
        </m:r>
        <m:r>
          <m:rPr>
            <m:sty m:val="p"/>
          </m:rPr>
          <m:t>=</m:t>
        </m:r>
        <m:r>
          <m:t>273</m:t>
        </m:r>
      </m:oMath>
      <w:r>
        <w:t xml:space="preserve">) reveals a true WR of</w:t>
      </w:r>
      <w:r>
        <w:t xml:space="preserve"> </w:t>
      </w:r>
      <w:r>
        <w:rPr>
          <w:bCs/>
          <w:b/>
        </w:rPr>
        <w:t xml:space="preserve">48.7%</w:t>
      </w:r>
      <w:r>
        <w:t xml:space="preserve"> </w:t>
      </w:r>
      <w:r>
        <w:t xml:space="preserve">(95% CI: 42.6%–54.8%) with a PF of</w:t>
      </w:r>
      <w:r>
        <w:t xml:space="preserve"> </w:t>
      </w:r>
      <w:r>
        <w:rPr>
          <w:bCs/>
          <w:b/>
        </w:rPr>
        <w:t xml:space="preserve">3.59</w:t>
      </w:r>
      <w:r>
        <w:t xml:space="preserve">—an exceptional signal that ranks among the platform’s best-performing alpha streams. The cascade has been disarmed through nine targeted code fixes deployed on 2026-05-02, and a calibrated recovery timeline projects T3 confirmation by Week 4 and T2 achievability by Week 8 with the addition of a G10 carry sleeve.</w:t>
      </w:r>
    </w:p>
    <w:bookmarkStart w:id="175" w:name="X2fba0ce18d003c1ed61f7d3cc7143bca49b675d"/>
    <w:p>
      <w:pPr>
        <w:pStyle w:val="Heading3"/>
      </w:pPr>
      <w:r>
        <w:t xml:space="preserve">3.1 Root Cause Validation: Bug-to-Filter Cascade Confirmed</w:t>
      </w:r>
    </w:p>
    <w:bookmarkStart w:id="169" w:name="the-cascade-mechanism"/>
    <w:p>
      <w:pPr>
        <w:pStyle w:val="Heading4"/>
      </w:pPr>
      <w:r>
        <w:t xml:space="preserve">3.1.1 The Cascade Mechanism</w:t>
      </w:r>
    </w:p>
    <w:p>
      <w:pPr>
        <w:pStyle w:val="FirstParagraph"/>
      </w:pPr>
      <w:r>
        <w:t xml:space="preserve">The path from functional forex trading to the reported 0% WR followed a precise mechanical chain. On 2026-04-28, the v2 resolver was deployed with an expanded OHLC window for non-crypto asset classes. For forex symbols, the yfinance OHLC fetch proved unreliable: forex markets observe weekend gaps, certain CI/CD runners experienced geo-blocking against Yahoo Finance endpoints, and no timeout guard was present on the fetch call. When OHLC data could not be retrieved, the resolver entered an</w:t>
      </w:r>
      <w:r>
        <w:t xml:space="preserve"> </w:t>
      </w:r>
      <w:r>
        <w:rPr>
          <w:bCs/>
          <w:b/>
        </w:rPr>
        <w:t xml:space="preserve">infinite retry loop</w:t>
      </w:r>
      <w:r>
        <w:t xml:space="preserve">—each failed pick accumulated retry counts without ever reaching a terminal state. Trades that hit their Stop-Loss (SL) had pre-existing</w:t>
      </w:r>
      <w:r>
        <w:t xml:space="preserve"> </w:t>
      </w:r>
      <w:r>
        <w:rPr>
          <w:rStyle w:val="VerbatimChar"/>
        </w:rPr>
        <w:t xml:space="preserve">exit_price</w:t>
      </w:r>
      <w:r>
        <w:t xml:space="preserve"> </w:t>
      </w:r>
      <w:r>
        <w:t xml:space="preserve">values and therefore bypassed the retry logic entirely, flowing directly to the dashboard as resolved losses. Winning trades, which typically hit Take-Profit (TP) and lacked pre-existing exit prices, remained trapped in the retry queue and never resolved. The dashboard computed WR exclusively from the resolved subset, which was structurally conditioned on SL-hit losers. The analyst, observing an apparent catastrophic failure, raised</w:t>
      </w:r>
      <w:r>
        <w:t xml:space="preserve"> </w:t>
      </w:r>
      <w:r>
        <w:rPr>
          <w:rStyle w:val="VerbatimChar"/>
        </w:rPr>
        <w:t xml:space="preserve">forwardWRMinPct</w:t>
      </w:r>
      <w:r>
        <w:t xml:space="preserve"> </w:t>
      </w:r>
      <w:r>
        <w:t xml:space="preserve">to 70% and banned major pairs, reducing pick flow to approximately 5% of baseline. Fewer picks produced noisier statistics, which in turn triggered more aggressive filtering—a classic self-reinforcing doom loop.</w:t>
      </w:r>
    </w:p>
    <w:p>
      <w:pPr>
        <w:pStyle w:val="BodyText"/>
      </w:pPr>
      <w:r>
        <w:rPr>
          <w:bCs/>
          <w:b/>
        </w:rPr>
        <w:t xml:space="preserve">Table 1: Bug Cascade Timeline &amp; Impact</w:t>
      </w:r>
    </w:p>
    <w:tbl>
      <w:tblPr>
        <w:tblStyle w:val="Table"/>
        <w:tblW w:type="pct" w:w="5000"/>
        <w:tblLook w:firstRow="1" w:lastRow="0" w:firstColumn="0" w:lastColumn="0" w:noHBand="0" w:noVBand="0" w:val="0020"/>
      </w:tblPr>
      <w:tblGrid>
        <w:gridCol w:w="792"/>
        <w:gridCol w:w="678"/>
        <w:gridCol w:w="1018"/>
        <w:gridCol w:w="1244"/>
        <w:gridCol w:w="2489"/>
        <w:gridCol w:w="1697"/>
      </w:tblGrid>
      <w:tr>
        <w:trPr>
          <w:tblHeader w:val="true"/>
        </w:trPr>
        <w:tc>
          <w:tcPr/>
          <w:p>
            <w:pPr>
              <w:pStyle w:val="Compact"/>
              <w:jc w:val="left"/>
            </w:pPr>
            <w:r>
              <w:t xml:space="preserve">Stage</w:t>
            </w:r>
          </w:p>
        </w:tc>
        <w:tc>
          <w:tcPr/>
          <w:p>
            <w:pPr>
              <w:pStyle w:val="Compact"/>
              <w:jc w:val="left"/>
            </w:pPr>
            <w:r>
              <w:t xml:space="preserve">Date</w:t>
            </w:r>
          </w:p>
        </w:tc>
        <w:tc>
          <w:tcPr/>
          <w:p>
            <w:pPr>
              <w:pStyle w:val="Compact"/>
              <w:jc w:val="left"/>
            </w:pPr>
            <w:r>
              <w:t xml:space="preserve">Trigger</w:t>
            </w:r>
          </w:p>
        </w:tc>
        <w:tc>
          <w:tcPr/>
          <w:p>
            <w:pPr>
              <w:pStyle w:val="Compact"/>
              <w:jc w:val="left"/>
            </w:pPr>
            <w:r>
              <w:t xml:space="preserve">Mechanism</w:t>
            </w:r>
          </w:p>
        </w:tc>
        <w:tc>
          <w:tcPr/>
          <w:p>
            <w:pPr>
              <w:pStyle w:val="Compact"/>
              <w:jc w:val="left"/>
            </w:pPr>
            <w:r>
              <w:t xml:space="preserve">Impact on Reported WR</w:t>
            </w:r>
          </w:p>
        </w:tc>
        <w:tc>
          <w:tcPr/>
          <w:p>
            <w:pPr>
              <w:pStyle w:val="Compact"/>
              <w:jc w:val="left"/>
            </w:pPr>
            <w:r>
              <w:t xml:space="preserve">Picks Blocked</w:t>
            </w:r>
          </w:p>
        </w:tc>
      </w:tr>
      <w:tr>
        <w:tc>
          <w:tcPr/>
          <w:p>
            <w:pPr>
              <w:pStyle w:val="Compact"/>
              <w:jc w:val="left"/>
            </w:pPr>
            <w:r>
              <w:t xml:space="preserve">1</w:t>
            </w:r>
          </w:p>
        </w:tc>
        <w:tc>
          <w:tcPr/>
          <w:p>
            <w:pPr>
              <w:pStyle w:val="Compact"/>
              <w:jc w:val="left"/>
            </w:pPr>
            <w:r>
              <w:t xml:space="preserve">Apr 28</w:t>
            </w:r>
          </w:p>
        </w:tc>
        <w:tc>
          <w:tcPr/>
          <w:p>
            <w:pPr>
              <w:pStyle w:val="Compact"/>
              <w:jc w:val="left"/>
            </w:pPr>
            <w:r>
              <w:t xml:space="preserve">v2 resolver deploy</w:t>
            </w:r>
          </w:p>
        </w:tc>
        <w:tc>
          <w:tcPr/>
          <w:p>
            <w:pPr>
              <w:pStyle w:val="Compact"/>
              <w:jc w:val="left"/>
            </w:pPr>
            <w:r>
              <w:t xml:space="preserve">yfinance OHLC fetch flaky (no timeout, weekend gaps)</w:t>
            </w:r>
          </w:p>
        </w:tc>
        <w:tc>
          <w:tcPr/>
          <w:p>
            <w:pPr>
              <w:pStyle w:val="Compact"/>
              <w:jc w:val="left"/>
            </w:pPr>
            <w:r>
              <w:t xml:space="preserve">None yet</w:t>
            </w:r>
          </w:p>
        </w:tc>
        <w:tc>
          <w:tcPr/>
          <w:p>
            <w:pPr>
              <w:pStyle w:val="Compact"/>
              <w:jc w:val="left"/>
            </w:pPr>
            <w:r>
              <w:t xml:space="preserve">~0</w:t>
            </w:r>
          </w:p>
        </w:tc>
      </w:tr>
      <w:tr>
        <w:tc>
          <w:tcPr/>
          <w:p>
            <w:pPr>
              <w:pStyle w:val="Compact"/>
              <w:jc w:val="left"/>
            </w:pPr>
            <w:r>
              <w:t xml:space="preserve">2</w:t>
            </w:r>
          </w:p>
        </w:tc>
        <w:tc>
          <w:tcPr/>
          <w:p>
            <w:pPr>
              <w:pStyle w:val="Compact"/>
              <w:jc w:val="left"/>
            </w:pPr>
            <w:r>
              <w:t xml:space="preserve">Apr 29–30</w:t>
            </w:r>
          </w:p>
        </w:tc>
        <w:tc>
          <w:tcPr/>
          <w:p>
            <w:pPr>
              <w:pStyle w:val="Compact"/>
              <w:jc w:val="left"/>
            </w:pPr>
            <w:r>
              <w:t xml:space="preserve">Failed OHLC fetch</w:t>
            </w:r>
          </w:p>
        </w:tc>
        <w:tc>
          <w:tcPr/>
          <w:p>
            <w:pPr>
              <w:pStyle w:val="Compact"/>
              <w:jc w:val="left"/>
            </w:pPr>
            <w:r>
              <w:t xml:space="preserve">Infinite retry loop; winners never resolve</w:t>
            </w:r>
          </w:p>
        </w:tc>
        <w:tc>
          <w:tcPr/>
          <w:p>
            <w:pPr>
              <w:pStyle w:val="Compact"/>
              <w:jc w:val="left"/>
            </w:pPr>
            <w:r>
              <w:t xml:space="preserve">Begins declining</w:t>
            </w:r>
          </w:p>
        </w:tc>
        <w:tc>
          <w:tcPr/>
          <w:p>
            <w:pPr>
              <w:pStyle w:val="Compact"/>
              <w:jc w:val="left"/>
            </w:pPr>
            <w:r>
              <w:t xml:space="preserve">~12/day</w:t>
            </w:r>
          </w:p>
        </w:tc>
      </w:tr>
      <w:tr>
        <w:tc>
          <w:tcPr/>
          <w:p>
            <w:pPr>
              <w:pStyle w:val="Compact"/>
              <w:jc w:val="left"/>
            </w:pPr>
            <w:r>
              <w:t xml:space="preserve">3</w:t>
            </w:r>
          </w:p>
        </w:tc>
        <w:tc>
          <w:tcPr/>
          <w:p>
            <w:pPr>
              <w:pStyle w:val="Compact"/>
              <w:jc w:val="left"/>
            </w:pPr>
            <w:r>
              <w:t xml:space="preserve">May 1</w:t>
            </w:r>
          </w:p>
        </w:tc>
        <w:tc>
          <w:tcPr/>
          <w:p>
            <w:pPr>
              <w:pStyle w:val="Compact"/>
              <w:jc w:val="left"/>
            </w:pPr>
            <w:r>
              <w:t xml:space="preserve">Dashboard recalculation</w:t>
            </w:r>
          </w:p>
        </w:tc>
        <w:tc>
          <w:tcPr/>
          <w:p>
            <w:pPr>
              <w:pStyle w:val="Compact"/>
              <w:jc w:val="left"/>
            </w:pPr>
            <w:r>
              <w:t xml:space="preserve">Only SL-hit trades resolve; 0% WR reported</w:t>
            </w:r>
          </w:p>
        </w:tc>
        <w:tc>
          <w:tcPr/>
          <w:p>
            <w:pPr>
              <w:pStyle w:val="Compact"/>
              <w:jc w:val="left"/>
            </w:pPr>
            <w:r>
              <w:rPr>
                <w:bCs/>
                <w:b/>
              </w:rPr>
              <w:t xml:space="preserve">0% artifact</w:t>
            </w:r>
          </w:p>
        </w:tc>
        <w:tc>
          <w:tcPr/>
          <w:p>
            <w:pPr>
              <w:pStyle w:val="Compact"/>
              <w:jc w:val="left"/>
            </w:pPr>
            <w:r>
              <w:t xml:space="preserve">~53 winners total</w:t>
            </w:r>
          </w:p>
        </w:tc>
      </w:tr>
      <w:tr>
        <w:tc>
          <w:tcPr/>
          <w:p>
            <w:pPr>
              <w:pStyle w:val="Compact"/>
              <w:jc w:val="left"/>
            </w:pPr>
            <w:r>
              <w:t xml:space="preserve">4</w:t>
            </w:r>
          </w:p>
        </w:tc>
        <w:tc>
          <w:tcPr/>
          <w:p>
            <w:pPr>
              <w:pStyle w:val="Compact"/>
              <w:jc w:val="left"/>
            </w:pPr>
            <w:r>
              <w:t xml:space="preserve">May 1–2</w:t>
            </w:r>
          </w:p>
        </w:tc>
        <w:tc>
          <w:tcPr/>
          <w:p>
            <w:pPr>
              <w:pStyle w:val="Compact"/>
              <w:jc w:val="left"/>
            </w:pPr>
            <w:r>
              <w:t xml:space="preserve">Analyst intervention</w:t>
            </w:r>
          </w:p>
        </w:tc>
        <w:tc>
          <w:tcPr/>
          <w:p>
            <w:pPr>
              <w:pStyle w:val="Compact"/>
              <w:jc w:val="left"/>
            </w:pPr>
            <w:r>
              <w:rPr>
                <w:rStyle w:val="VerbatimChar"/>
              </w:rPr>
              <w:t xml:space="preserve">forwardWRMinPct</w:t>
            </w:r>
            <w:r>
              <w:t xml:space="preserve"> </w:t>
            </w:r>
            <w:r>
              <w:t xml:space="preserve">raised to 70%; 4 major pairs banned</w:t>
            </w:r>
          </w:p>
        </w:tc>
        <w:tc>
          <w:tcPr/>
          <w:p>
            <w:pPr>
              <w:pStyle w:val="Compact"/>
              <w:jc w:val="left"/>
            </w:pPr>
            <w:r>
              <w:t xml:space="preserve">0% locked in</w:t>
            </w:r>
          </w:p>
        </w:tc>
        <w:tc>
          <w:tcPr/>
          <w:p>
            <w:pPr>
              <w:pStyle w:val="Compact"/>
              <w:jc w:val="left"/>
            </w:pPr>
            <w:r>
              <w:t xml:space="preserve">+35% flow blocked</w:t>
            </w:r>
          </w:p>
        </w:tc>
      </w:tr>
      <w:tr>
        <w:tc>
          <w:tcPr/>
          <w:p>
            <w:pPr>
              <w:pStyle w:val="Compact"/>
              <w:jc w:val="left"/>
            </w:pPr>
            <w:r>
              <w:t xml:space="preserve">5</w:t>
            </w:r>
          </w:p>
        </w:tc>
        <w:tc>
          <w:tcPr/>
          <w:p>
            <w:pPr>
              <w:pStyle w:val="Compact"/>
              <w:jc w:val="left"/>
            </w:pPr>
            <w:r>
              <w:t xml:space="preserve">May 2–3</w:t>
            </w:r>
          </w:p>
        </w:tc>
        <w:tc>
          <w:tcPr/>
          <w:p>
            <w:pPr>
              <w:pStyle w:val="Compact"/>
              <w:jc w:val="left"/>
            </w:pPr>
            <w:r>
              <w:t xml:space="preserve">Confidence reject bands</w:t>
            </w:r>
          </w:p>
        </w:tc>
        <w:tc>
          <w:tcPr/>
          <w:p>
            <w:pPr>
              <w:pStyle w:val="Compact"/>
              <w:jc w:val="left"/>
            </w:pPr>
            <w:r>
              <w:t xml:space="preserve">High-confidence signals filtered; low-confidence noise passes</w:t>
            </w:r>
          </w:p>
        </w:tc>
        <w:tc>
          <w:tcPr/>
          <w:p>
            <w:pPr>
              <w:pStyle w:val="Compact"/>
              <w:jc w:val="left"/>
            </w:pPr>
            <w:r>
              <w:t xml:space="preserve">Reinforced artifact</w:t>
            </w:r>
          </w:p>
        </w:tc>
        <w:tc>
          <w:tcPr/>
          <w:p>
            <w:pPr>
              <w:pStyle w:val="Compact"/>
              <w:jc w:val="left"/>
            </w:pPr>
            <w:r>
              <w:t xml:space="preserve">+25% of high-conf flow</w:t>
            </w:r>
          </w:p>
        </w:tc>
      </w:tr>
      <w:tr>
        <w:tc>
          <w:tcPr/>
          <w:p>
            <w:pPr>
              <w:pStyle w:val="Compact"/>
              <w:jc w:val="left"/>
            </w:pPr>
            <w:r>
              <w:t xml:space="preserve">6</w:t>
            </w:r>
          </w:p>
        </w:tc>
        <w:tc>
          <w:tcPr/>
          <w:p>
            <w:pPr>
              <w:pStyle w:val="Compact"/>
              <w:jc w:val="left"/>
            </w:pPr>
            <w:r>
              <w:t xml:space="preserve">May 3</w:t>
            </w:r>
          </w:p>
        </w:tc>
        <w:tc>
          <w:tcPr/>
          <w:p>
            <w:pPr>
              <w:pStyle w:val="Compact"/>
              <w:jc w:val="left"/>
            </w:pPr>
            <w:r>
              <w:t xml:space="preserve">Self-reinforcing cycle</w:t>
            </w:r>
          </w:p>
        </w:tc>
        <w:tc>
          <w:tcPr/>
          <w:p>
            <w:pPr>
              <w:pStyle w:val="Compact"/>
              <w:jc w:val="left"/>
            </w:pPr>
            <w:r>
              <w:t xml:space="preserve">Fewer picks → noisier stats → more bans</w:t>
            </w:r>
          </w:p>
        </w:tc>
        <w:tc>
          <w:tcPr/>
          <w:p>
            <w:pPr>
              <w:pStyle w:val="Compact"/>
              <w:jc w:val="left"/>
            </w:pPr>
            <w:r>
              <w:t xml:space="preserve">0% entrenched</w:t>
            </w:r>
          </w:p>
        </w:tc>
        <w:tc>
          <w:tcPr/>
          <w:p>
            <w:pPr>
              <w:pStyle w:val="Compact"/>
              <w:jc w:val="left"/>
            </w:pPr>
            <w:r>
              <w:t xml:space="preserve">Net: ~95% blocked</w:t>
            </w:r>
          </w:p>
        </w:tc>
      </w:tr>
    </w:tbl>
    <w:p>
      <w:pPr>
        <w:pStyle w:val="BodyText"/>
      </w:pPr>
      <w:r>
        <w:t xml:space="preserve">The quantified damage from this cascade is substantial. Over the four-day period from April 28 to May 3, approximately 53 winning trades were blocked from reaching the dashboard while nearly all losing trades (which hit SL and had pre-existing</w:t>
      </w:r>
      <w:r>
        <w:t xml:space="preserve"> </w:t>
      </w:r>
      <w:r>
        <w:rPr>
          <w:rStyle w:val="VerbatimChar"/>
        </w:rPr>
        <w:t xml:space="preserve">exit_price</w:t>
      </w:r>
      <w:r>
        <w:t xml:space="preserve">) flowed through normally</w:t>
      </w:r>
      <w:r>
        <w:t xml:space="preserve"> </w:t>
      </w:r>
      <w:r>
        <w:rPr>
          <w:rStyle w:val="FootnoteReference"/>
        </w:rPr>
        <w:footnoteReference w:id="167"/>
      </w:r>
      <w:r>
        <w:t xml:space="preserve">. The Stage 1 infinite retry loop alone blocked an estimated 48 picks, of which roughly 24 were winners representing approximately 26.8R in lost profit. Stage 2 symbol bans blocked an additional ~17 winners (~10.5R), and Stage 3 confidence reject bands filtered out ~12 more winners (~7.5R). The cumulative implied PnL loss totals</w:t>
      </w:r>
      <w:r>
        <w:t xml:space="preserve"> </w:t>
      </w:r>
      <w:r>
        <w:rPr>
          <w:bCs/>
          <w:b/>
        </w:rPr>
        <w:t xml:space="preserve">44.8R</w:t>
      </w:r>
      <w:r>
        <w:t xml:space="preserve"> </w:t>
      </w:r>
      <w:r>
        <w:t xml:space="preserve">across the cascade period</w:t>
      </w:r>
      <w:r>
        <w:t xml:space="preserve"> </w:t>
      </w:r>
      <w:r>
        <w:rPr>
          <w:rStyle w:val="FootnoteReference"/>
        </w:rPr>
        <w:footnoteReference w:id="168"/>
      </w:r>
      <w:r>
        <w:t xml:space="preserve">. This is not a strategy failure; it is a data plumbing failure with devastating presentation-layer consequences.</w:t>
      </w:r>
    </w:p>
    <w:bookmarkEnd w:id="169"/>
    <w:bookmarkStart w:id="173" w:name="statistical-confirmation"/>
    <w:p>
      <w:pPr>
        <w:pStyle w:val="Heading4"/>
      </w:pPr>
      <w:r>
        <w:t xml:space="preserve">3.1.2 Statistical Confirmation</w:t>
      </w:r>
    </w:p>
    <w:p>
      <w:pPr>
        <w:pStyle w:val="FirstParagraph"/>
      </w:pPr>
      <w:r>
        <w:t xml:space="preserve">The hypothesis that the 0% WR is a measurement artifact can be tested directly. Under the null hypothesis that the true WR equals the trusted-filter estimate of 48.7%, what is the probability of observing 7 or fewer wins in 163 resolved trades? This is a straightforward binomial cumulative distribution function calculation:</w:t>
      </w:r>
    </w:p>
    <w:p>
      <w:pPr>
        <w:pStyle w:val="BodyText"/>
      </w:pPr>
      <m:oMathPara>
        <m:oMathParaPr>
          <m:jc m:val="center"/>
        </m:oMathParaPr>
        <m:oMath>
          <m:r>
            <m:t>P</m:t>
          </m:r>
          <m:d>
            <m:dPr>
              <m:begChr m:val="("/>
              <m:endChr m:val=")"/>
              <m:sepChr m:val=""/>
              <m:grow/>
            </m:dPr>
            <m:e>
              <m:r>
                <m:t>X</m:t>
              </m:r>
              <m:r>
                <m:rPr>
                  <m:sty m:val="p"/>
                </m:rPr>
                <m:t>≤</m:t>
              </m:r>
              <m:r>
                <m:t>7</m:t>
              </m:r>
              <m:r>
                <m:rPr>
                  <m:sty m:val="p"/>
                </m:rPr>
                <m:t>∣</m:t>
              </m:r>
              <m:r>
                <m:t>n</m:t>
              </m:r>
              <m:r>
                <m:rPr>
                  <m:sty m:val="p"/>
                </m:rPr>
                <m:t>=</m:t>
              </m:r>
              <m:r>
                <m:t>163</m:t>
              </m:r>
              <m:r>
                <m:rPr>
                  <m:sty m:val="p"/>
                </m:rPr>
                <m:t>,</m:t>
              </m:r>
              <m:r>
                <m:t>p</m:t>
              </m:r>
              <m:r>
                <m:rPr>
                  <m:sty m:val="p"/>
                </m:rPr>
                <m:t>=</m:t>
              </m:r>
              <m:r>
                <m:t>0.487</m:t>
              </m:r>
            </m:e>
          </m:d>
          <m:r>
            <m:rPr>
              <m:sty m:val="p"/>
            </m:rPr>
            <m:t>=</m:t>
          </m:r>
          <m:nary>
            <m:naryPr>
              <m:chr m:val="∑"/>
              <m:limLoc m:val="undOvr"/>
              <m:subHide m:val="0"/>
              <m:supHide m:val="0"/>
            </m:naryPr>
            <m:sub>
              <m:r>
                <m:t>k</m:t>
              </m:r>
              <m:r>
                <m:rPr>
                  <m:sty m:val="p"/>
                </m:rPr>
                <m:t>=</m:t>
              </m:r>
              <m:r>
                <m:t>0</m:t>
              </m:r>
            </m:sub>
            <m:sup>
              <m:r>
                <m:t>7</m:t>
              </m:r>
            </m:sup>
            <m:e>
              <m:d>
                <m:dPr>
                  <m:begChr m:val="("/>
                  <m:endChr m:val=")"/>
                  <m:sepChr m:val=""/>
                  <m:grow/>
                </m:dPr>
                <m:e>
                  <m:f>
                    <m:fPr>
                      <m:type m:val="noBar"/>
                    </m:fPr>
                    <m:num>
                      <m:r>
                        <m:t>163</m:t>
                      </m:r>
                    </m:num>
                    <m:den>
                      <m:r>
                        <m:t>k</m:t>
                      </m:r>
                    </m:den>
                  </m:f>
                </m:e>
              </m:d>
            </m:e>
          </m:nary>
          <m:sSup>
            <m:e>
              <m:d>
                <m:dPr>
                  <m:begChr m:val="("/>
                  <m:endChr m:val=")"/>
                  <m:sepChr m:val=""/>
                  <m:grow/>
                </m:dPr>
                <m:e>
                  <m:r>
                    <m:t>0.487</m:t>
                  </m:r>
                </m:e>
              </m:d>
            </m:e>
            <m:sup>
              <m:r>
                <m:t>k</m:t>
              </m:r>
            </m:sup>
          </m:sSup>
          <m:sSup>
            <m:e>
              <m:d>
                <m:dPr>
                  <m:begChr m:val="("/>
                  <m:endChr m:val=")"/>
                  <m:sepChr m:val=""/>
                  <m:grow/>
                </m:dPr>
                <m:e>
                  <m:r>
                    <m:t>0.513</m:t>
                  </m:r>
                </m:e>
              </m:d>
            </m:e>
            <m:sup>
              <m:r>
                <m:t>163</m:t>
              </m:r>
              <m:r>
                <m:rPr>
                  <m:sty m:val="p"/>
                </m:rPr>
                <m:t>−</m:t>
              </m:r>
              <m:r>
                <m:t>k</m:t>
              </m:r>
            </m:sup>
          </m:sSup>
          <m:r>
            <m:rPr>
              <m:sty m:val="p"/>
            </m:rPr>
            <m:t>=</m:t>
          </m:r>
          <m:r>
            <m:t>9.1</m:t>
          </m:r>
          <m:r>
            <m:rPr>
              <m:sty m:val="p"/>
            </m:rPr>
            <m:t>×</m:t>
          </m:r>
          <m:sSup>
            <m:e>
              <m:r>
                <m:t>10</m:t>
              </m:r>
            </m:e>
            <m:sup>
              <m:r>
                <m:rPr>
                  <m:sty m:val="p"/>
                </m:rPr>
                <m:t>−</m:t>
              </m:r>
              <m:r>
                <m:t>37</m:t>
              </m:r>
            </m:sup>
          </m:sSup>
        </m:oMath>
      </m:oMathPara>
    </w:p>
    <w:p>
      <w:pPr>
        <w:pStyle w:val="FirstParagraph"/>
      </w:pPr>
      <w:r>
        <w:t xml:space="preserve">To put this figure in perspective,</w:t>
      </w:r>
      <w:r>
        <w:t xml:space="preserve"> </w:t>
      </w:r>
      <m:oMath>
        <m:sSup>
          <m:e>
            <m:r>
              <m:t>10</m:t>
            </m:r>
          </m:e>
          <m:sup>
            <m:r>
              <m:rPr>
                <m:sty m:val="p"/>
              </m:rPr>
              <m:t>−</m:t>
            </m:r>
            <m:r>
              <m:t>37</m:t>
            </m:r>
          </m:sup>
        </m:sSup>
      </m:oMath>
      <w:r>
        <w:t xml:space="preserve"> </w:t>
      </w:r>
      <w:r>
        <w:t xml:space="preserve">is roughly the probability of flipping a fair coin 163 times and obtaining 7 or fewer heads. It is not merely improbable; it is physically impossible under any model of fair observation. The observation is so far into the tail of the binomial distribution that it constitutes mathematical proof of structural conditioning.</w:t>
      </w:r>
    </w:p>
    <w:tbl>
      <w:tblPr>
        <w:tblStyle w:val="Table"/>
        <w:tblW w:type="pct" w:w="5000"/>
        <w:tblLook w:firstRow="1" w:lastRow="0" w:firstColumn="0" w:lastColumn="0" w:noHBand="0" w:noVBand="0" w:val="0020"/>
      </w:tblPr>
      <w:tblGrid>
        <w:gridCol w:w="640"/>
        <w:gridCol w:w="1040"/>
        <w:gridCol w:w="2160"/>
        <w:gridCol w:w="1040"/>
        <w:gridCol w:w="3040"/>
      </w:tblGrid>
      <w:tr>
        <w:trPr>
          <w:tblHeader w:val="true"/>
        </w:trPr>
        <w:tc>
          <w:tcPr/>
          <w:p>
            <w:pPr>
              <w:pStyle w:val="Compact"/>
              <w:jc w:val="left"/>
            </w:pPr>
            <w:r>
              <w:t xml:space="preserve">Window</w:t>
            </w:r>
          </w:p>
        </w:tc>
        <w:tc>
          <w:tcPr/>
          <w:p>
            <w:pPr>
              <w:pStyle w:val="Compact"/>
              <w:jc w:val="left"/>
            </w:pPr>
            <w:r>
              <w:t xml:space="preserve">Observed WR</w:t>
            </w:r>
          </w:p>
        </w:tc>
        <w:tc>
          <w:tcPr/>
          <w:p>
            <w:pPr>
              <w:pStyle w:val="Compact"/>
              <w:jc w:val="left"/>
            </w:pPr>
            <w:r>
              <w:t xml:space="preserve">Expected Wins (</w:t>
            </w:r>
            <m:oMath>
              <m:r>
                <m:t>p</m:t>
              </m:r>
              <m:r>
                <m:rPr>
                  <m:sty m:val="p"/>
                </m:rPr>
                <m:t>=</m:t>
              </m:r>
              <m:r>
                <m:t>0.487</m:t>
              </m:r>
            </m:oMath>
            <w:r>
              <w:t xml:space="preserve">)</w:t>
            </w:r>
          </w:p>
        </w:tc>
        <w:tc>
          <w:tcPr/>
          <w:p>
            <w:pPr>
              <w:pStyle w:val="Compact"/>
              <w:jc w:val="left"/>
            </w:pPr>
            <w:r>
              <w:t xml:space="preserve">Actual Wins</w:t>
            </w:r>
          </w:p>
        </w:tc>
        <w:tc>
          <w:tcPr/>
          <w:p>
            <w:pPr>
              <w:pStyle w:val="Compact"/>
              <w:jc w:val="left"/>
            </w:pPr>
            <m:oMath>
              <m:r>
                <m:t>P</m:t>
              </m:r>
              <m:d>
                <m:dPr>
                  <m:begChr m:val="("/>
                  <m:endChr m:val=")"/>
                  <m:sepChr m:val=""/>
                  <m:grow/>
                </m:dPr>
                <m:e>
                  <m:r>
                    <m:rPr>
                      <m:sty m:val="p"/>
                    </m:rPr>
                    <m:t>≤</m:t>
                  </m:r>
                  <m:r>
                    <m:rPr>
                      <m:nor/>
                      <m:sty m:val="p"/>
                    </m:rPr>
                    <m:t>actual</m:t>
                  </m:r>
                  <m:r>
                    <m:rPr>
                      <m:sty m:val="p"/>
                    </m:rPr>
                    <m:t>∣</m:t>
                  </m:r>
                  <m:r>
                    <m:t>p</m:t>
                  </m:r>
                  <m:r>
                    <m:rPr>
                      <m:sty m:val="p"/>
                    </m:rPr>
                    <m:t>=</m:t>
                  </m:r>
                  <m:r>
                    <m:t>0.487</m:t>
                  </m:r>
                </m:e>
              </m:d>
            </m:oMath>
          </w:p>
        </w:tc>
      </w:tr>
      <w:tr>
        <w:tc>
          <w:tcPr/>
          <w:p>
            <w:pPr>
              <w:pStyle w:val="Compact"/>
              <w:jc w:val="left"/>
            </w:pPr>
            <w:r>
              <w:t xml:space="preserve">L20</w:t>
            </w:r>
          </w:p>
        </w:tc>
        <w:tc>
          <w:tcPr/>
          <w:p>
            <w:pPr>
              <w:pStyle w:val="Compact"/>
              <w:jc w:val="left"/>
            </w:pPr>
            <w:r>
              <w:t xml:space="preserve">0.0%</w:t>
            </w:r>
          </w:p>
        </w:tc>
        <w:tc>
          <w:tcPr/>
          <w:p>
            <w:pPr>
              <w:pStyle w:val="Compact"/>
              <w:jc w:val="left"/>
            </w:pPr>
            <w:r>
              <w:t xml:space="preserve">9.8</w:t>
            </w:r>
          </w:p>
        </w:tc>
        <w:tc>
          <w:tcPr/>
          <w:p>
            <w:pPr>
              <w:pStyle w:val="Compact"/>
              <w:jc w:val="left"/>
            </w:pPr>
            <w:r>
              <w:t xml:space="preserve">0</w:t>
            </w:r>
          </w:p>
        </w:tc>
        <w:tc>
          <w:tcPr/>
          <w:p>
            <w:pPr>
              <w:pStyle w:val="Compact"/>
              <w:jc w:val="left"/>
            </w:pPr>
            <m:oMath>
              <m:r>
                <m:t>1.0</m:t>
              </m:r>
              <m:r>
                <m:rPr>
                  <m:sty m:val="p"/>
                </m:rPr>
                <m:t>×</m:t>
              </m:r>
              <m:sSup>
                <m:e>
                  <m:r>
                    <m:t>10</m:t>
                  </m:r>
                </m:e>
                <m:sup>
                  <m:r>
                    <m:rPr>
                      <m:sty m:val="p"/>
                    </m:rPr>
                    <m:t>−</m:t>
                  </m:r>
                  <m:r>
                    <m:t>6</m:t>
                  </m:r>
                </m:sup>
              </m:sSup>
            </m:oMath>
          </w:p>
        </w:tc>
      </w:tr>
      <w:tr>
        <w:tc>
          <w:tcPr/>
          <w:p>
            <w:pPr>
              <w:pStyle w:val="Compact"/>
              <w:jc w:val="left"/>
            </w:pPr>
            <w:r>
              <w:t xml:space="preserve">L50</w:t>
            </w:r>
          </w:p>
        </w:tc>
        <w:tc>
          <w:tcPr/>
          <w:p>
            <w:pPr>
              <w:pStyle w:val="Compact"/>
              <w:jc w:val="left"/>
            </w:pPr>
            <w:r>
              <w:t xml:space="preserve">4.2%</w:t>
            </w:r>
          </w:p>
        </w:tc>
        <w:tc>
          <w:tcPr/>
          <w:p>
            <w:pPr>
              <w:pStyle w:val="Compact"/>
              <w:jc w:val="left"/>
            </w:pPr>
            <w:r>
              <w:t xml:space="preserve">24.4</w:t>
            </w:r>
          </w:p>
        </w:tc>
        <w:tc>
          <w:tcPr/>
          <w:p>
            <w:pPr>
              <w:pStyle w:val="Compact"/>
              <w:jc w:val="left"/>
            </w:pPr>
            <w:r>
              <w:t xml:space="preserve">2</w:t>
            </w:r>
          </w:p>
        </w:tc>
        <w:tc>
          <w:tcPr/>
          <w:p>
            <w:pPr>
              <w:pStyle w:val="Compact"/>
              <w:jc w:val="left"/>
            </w:pPr>
            <m:oMath>
              <m:r>
                <m:rPr>
                  <m:sty m:val="p"/>
                </m:rPr>
                <m:t>&lt;</m:t>
              </m:r>
              <m:r>
                <m:t>1.0</m:t>
              </m:r>
              <m:r>
                <m:rPr>
                  <m:sty m:val="p"/>
                </m:rPr>
                <m:t>×</m:t>
              </m:r>
              <m:sSup>
                <m:e>
                  <m:r>
                    <m:t>10</m:t>
                  </m:r>
                </m:e>
                <m:sup>
                  <m:r>
                    <m:rPr>
                      <m:sty m:val="p"/>
                    </m:rPr>
                    <m:t>−</m:t>
                  </m:r>
                  <m:r>
                    <m:t>6</m:t>
                  </m:r>
                </m:sup>
              </m:sSup>
            </m:oMath>
          </w:p>
        </w:tc>
      </w:tr>
      <w:tr>
        <w:tc>
          <w:tcPr/>
          <w:p>
            <w:pPr>
              <w:pStyle w:val="Compact"/>
              <w:jc w:val="left"/>
            </w:pPr>
            <w:r>
              <w:t xml:space="preserve">L100</w:t>
            </w:r>
          </w:p>
        </w:tc>
        <w:tc>
          <w:tcPr/>
          <w:p>
            <w:pPr>
              <w:pStyle w:val="Compact"/>
              <w:jc w:val="left"/>
            </w:pPr>
            <w:r>
              <w:t xml:space="preserve">5.3%</w:t>
            </w:r>
          </w:p>
        </w:tc>
        <w:tc>
          <w:tcPr/>
          <w:p>
            <w:pPr>
              <w:pStyle w:val="Compact"/>
              <w:jc w:val="left"/>
            </w:pPr>
            <w:r>
              <w:t xml:space="preserve">48.7</w:t>
            </w:r>
          </w:p>
        </w:tc>
        <w:tc>
          <w:tcPr/>
          <w:p>
            <w:pPr>
              <w:pStyle w:val="Compact"/>
              <w:jc w:val="left"/>
            </w:pPr>
            <w:r>
              <w:t xml:space="preserve">5</w:t>
            </w:r>
          </w:p>
        </w:tc>
        <w:tc>
          <w:tcPr/>
          <w:p>
            <w:pPr>
              <w:pStyle w:val="Compact"/>
              <w:jc w:val="left"/>
            </w:pPr>
            <m:oMath>
              <m:r>
                <m:rPr>
                  <m:sty m:val="p"/>
                </m:rPr>
                <m:t>&lt;</m:t>
              </m:r>
              <m:r>
                <m:t>1.0</m:t>
              </m:r>
              <m:r>
                <m:rPr>
                  <m:sty m:val="p"/>
                </m:rPr>
                <m:t>×</m:t>
              </m:r>
              <m:sSup>
                <m:e>
                  <m:r>
                    <m:t>10</m:t>
                  </m:r>
                </m:e>
                <m:sup>
                  <m:r>
                    <m:rPr>
                      <m:sty m:val="p"/>
                    </m:rPr>
                    <m:t>−</m:t>
                  </m:r>
                  <m:r>
                    <m:t>6</m:t>
                  </m:r>
                </m:sup>
              </m:sSup>
            </m:oMath>
          </w:p>
        </w:tc>
      </w:tr>
      <w:tr>
        <w:tc>
          <w:tcPr/>
          <w:p>
            <w:pPr>
              <w:pStyle w:val="Compact"/>
              <w:jc w:val="left"/>
            </w:pPr>
            <w:r>
              <w:rPr>
                <w:bCs/>
                <w:b/>
              </w:rPr>
              <w:t xml:space="preserve">Combined</w:t>
            </w:r>
          </w:p>
        </w:tc>
        <w:tc>
          <w:tcPr/>
          <w:p>
            <w:pPr>
              <w:pStyle w:val="Compact"/>
              <w:jc w:val="left"/>
            </w:pPr>
            <w:r>
              <w:rPr>
                <w:bCs/>
                <w:b/>
              </w:rPr>
              <w:t xml:space="preserve">4.3%</w:t>
            </w:r>
          </w:p>
        </w:tc>
        <w:tc>
          <w:tcPr/>
          <w:p>
            <w:pPr>
              <w:pStyle w:val="Compact"/>
              <w:jc w:val="left"/>
            </w:pPr>
            <w:r>
              <w:rPr>
                <w:bCs/>
                <w:b/>
              </w:rPr>
              <w:t xml:space="preserve">79.9</w:t>
            </w:r>
          </w:p>
        </w:tc>
        <w:tc>
          <w:tcPr/>
          <w:p>
            <w:pPr>
              <w:pStyle w:val="Compact"/>
              <w:jc w:val="left"/>
            </w:pPr>
            <w:r>
              <w:rPr>
                <w:bCs/>
                <w:b/>
              </w:rPr>
              <w:t xml:space="preserve">7</w:t>
            </w:r>
          </w:p>
        </w:tc>
        <w:tc>
          <w:tcPr/>
          <w:p>
            <w:pPr>
              <w:pStyle w:val="Compact"/>
              <w:jc w:val="left"/>
            </w:pPr>
            <m:oMath>
              <m:r>
                <m:t>9.1</m:t>
              </m:r>
              <m:r>
                <m:rPr>
                  <m:sty m:val="p"/>
                </m:rPr>
                <m:t>×</m:t>
              </m:r>
              <m:sSup>
                <m:e>
                  <m:r>
                    <m:t>10</m:t>
                  </m:r>
                </m:e>
                <m:sup>
                  <m:r>
                    <m:rPr>
                      <m:sty m:val="p"/>
                    </m:rPr>
                    <m:t>−</m:t>
                  </m:r>
                  <m:r>
                    <m:t>37</m:t>
                  </m:r>
                </m:sup>
              </m:sSup>
            </m:oMath>
          </w:p>
        </w:tc>
      </w:tr>
    </w:tbl>
    <w:p>
      <w:pPr>
        <w:pStyle w:val="BodyText"/>
      </w:pPr>
      <w:r>
        <w:t xml:space="preserve">Each individual window rejects the null at any conventional significance level. The combined probability of</w:t>
      </w:r>
      <w:r>
        <w:t xml:space="preserve"> </w:t>
      </w:r>
      <m:oMath>
        <m:r>
          <m:t>9.1</m:t>
        </m:r>
        <m:r>
          <m:rPr>
            <m:sty m:val="p"/>
          </m:rPr>
          <m:t>×</m:t>
        </m:r>
        <m:sSup>
          <m:e>
            <m:r>
              <m:t>10</m:t>
            </m:r>
          </m:e>
          <m:sup>
            <m:r>
              <m:rPr>
                <m:sty m:val="p"/>
              </m:rPr>
              <m:t>−</m:t>
            </m:r>
            <m:r>
              <m:t>37</m:t>
            </m:r>
          </m:sup>
        </m:sSup>
      </m:oMath>
      <w:r>
        <w:t xml:space="preserve"> </w:t>
      </w:r>
      <w:r>
        <w:t xml:space="preserve">exceeds the threshold for what physicists call</w:t>
      </w:r>
      <w:r>
        <w:t xml:space="preserve"> </w:t>
      </w:r>
      <w:r>
        <w:t xml:space="preserve">“</w:t>
      </w:r>
      <w:r>
        <w:t xml:space="preserve">five-sigma</w:t>
      </w:r>
      <w:r>
        <w:t xml:space="preserve">”</w:t>
      </w:r>
      <w:r>
        <w:t xml:space="preserve"> </w:t>
      </w:r>
      <w:r>
        <w:t xml:space="preserve">detection (</w:t>
      </w:r>
      <m:oMath>
        <m:r>
          <m:rPr>
            <m:sty m:val="p"/>
          </m:rPr>
          <m:t>∼</m:t>
        </m:r>
        <m:r>
          <m:t>3</m:t>
        </m:r>
        <m:r>
          <m:rPr>
            <m:sty m:val="p"/>
          </m:rPr>
          <m:t>×</m:t>
        </m:r>
        <m:sSup>
          <m:e>
            <m:r>
              <m:t>10</m:t>
            </m:r>
          </m:e>
          <m:sup>
            <m:r>
              <m:rPr>
                <m:sty m:val="p"/>
              </m:rPr>
              <m:t>−</m:t>
            </m:r>
            <m:r>
              <m:t>7</m:t>
            </m:r>
          </m:sup>
        </m:sSup>
      </m:oMath>
      <w:r>
        <w:t xml:space="preserve">) by a factor of approximately</w:t>
      </w:r>
      <w:r>
        <w:t xml:space="preserve"> </w:t>
      </w:r>
      <m:oMath>
        <m:r>
          <m:t>3</m:t>
        </m:r>
        <m:r>
          <m:rPr>
            <m:sty m:val="p"/>
          </m:rPr>
          <m:t>×</m:t>
        </m:r>
        <m:sSup>
          <m:e>
            <m:r>
              <m:t>10</m:t>
            </m:r>
          </m:e>
          <m:sup>
            <m:r>
              <m:t>29</m:t>
            </m:r>
          </m:sup>
        </m:sSup>
      </m:oMath>
      <w:r>
        <w:t xml:space="preserve">. The conclusion is unambiguous:</w:t>
      </w:r>
      <w:r>
        <w:t xml:space="preserve"> </w:t>
      </w:r>
      <w:r>
        <w:rPr>
          <w:bCs/>
          <w:b/>
        </w:rPr>
        <w:t xml:space="preserve">the resolved sample is structurally conditioned on SL-hit trades only</w:t>
      </w:r>
      <w:r>
        <w:t xml:space="preserve">. Winners, which hit TP and lacked pre-existing exit prices, were blocked by the infinite retry loop and never entered the denominator.</w:t>
      </w:r>
    </w:p>
    <w:p>
      <w:pPr>
        <w:pStyle w:val="CaptionedFigure"/>
      </w:pPr>
      <w:r>
        <w:drawing>
          <wp:inline>
            <wp:extent cx="5334000" cy="2899854"/>
            <wp:effectExtent b="0" l="0" r="0" t="0"/>
            <wp:docPr descr="Statistical Proof: The 0% WR Was a Measurement Artifact" title="" id="171" name="Picture"/>
            <a:graphic>
              <a:graphicData uri="http://schemas.openxmlformats.org/drawingml/2006/picture">
                <pic:pic>
                  <pic:nvPicPr>
                    <pic:cNvPr descr="statistical_proof_wr.png" id="172" name="Picture"/>
                    <pic:cNvPicPr>
                      <a:picLocks noChangeArrowheads="1" noChangeAspect="1"/>
                    </pic:cNvPicPr>
                  </pic:nvPicPr>
                  <pic:blipFill>
                    <a:blip r:embed="rId170"/>
                    <a:stretch>
                      <a:fillRect/>
                    </a:stretch>
                  </pic:blipFill>
                  <pic:spPr bwMode="auto">
                    <a:xfrm>
                      <a:off x="0" y="0"/>
                      <a:ext cx="5334000" cy="2899854"/>
                    </a:xfrm>
                    <a:prstGeom prst="rect">
                      <a:avLst/>
                    </a:prstGeom>
                    <a:noFill/>
                    <a:ln w="9525">
                      <a:noFill/>
                      <a:headEnd/>
                      <a:tailEnd/>
                    </a:ln>
                  </pic:spPr>
                </pic:pic>
              </a:graphicData>
            </a:graphic>
          </wp:inline>
        </w:drawing>
      </w:r>
    </w:p>
    <w:p>
      <w:pPr>
        <w:pStyle w:val="ImageCaption"/>
      </w:pPr>
      <w:r>
        <w:t xml:space="preserve">Statistical Proof: The 0% WR Was a Measurement Artifact</w:t>
      </w:r>
    </w:p>
    <w:p>
      <w:pPr>
        <w:pStyle w:val="BodyText"/>
      </w:pPr>
      <w:r>
        <w:t xml:space="preserve">The chart above visualizes the scale of the discrepancy. The expected distribution under a true 49% WR clusters around 80 wins (mean = 79.9). The observed outcome of 7 wins lies so far into the left tail that it does not even register on the same probability axis as the expected mass. This is the statistical signature of survivorship bias operating at the resolution layer rather than at the strategy layer.</w:t>
      </w:r>
    </w:p>
    <w:bookmarkEnd w:id="173"/>
    <w:bookmarkStart w:id="174" w:name="trusted-filter-true-parameter-estimate"/>
    <w:p>
      <w:pPr>
        <w:pStyle w:val="Heading4"/>
      </w:pPr>
      <w:r>
        <w:t xml:space="preserve">3.1.3 Trusted Filter True Parameter Estimate</w:t>
      </w:r>
    </w:p>
    <w:p>
      <w:pPr>
        <w:pStyle w:val="FirstParagraph"/>
      </w:pPr>
      <w:r>
        <w:t xml:space="preserve">While the raw dashboard data was contaminated, an independent trusted filter—a holdout validation set isolated from the resolver pipeline—preserved clean trade outcomes throughout the cascade period. This subset, comprising</w:t>
      </w:r>
      <w:r>
        <w:t xml:space="preserve"> </w:t>
      </w:r>
      <m:oMath>
        <m:r>
          <m:t>n</m:t>
        </m:r>
        <m:r>
          <m:rPr>
            <m:sty m:val="p"/>
          </m:rPr>
          <m:t>=</m:t>
        </m:r>
        <m:r>
          <m:t>273</m:t>
        </m:r>
      </m:oMath>
      <w:r>
        <w:t xml:space="preserve"> </w:t>
      </w:r>
      <w:r>
        <w:t xml:space="preserve">trades recorded through a separate execution path unaffected by the retry-loop bug, provides an unbiased estimate of the true forex strategy performance.</w:t>
      </w:r>
    </w:p>
    <w:tbl>
      <w:tblPr>
        <w:tblStyle w:val="Table"/>
        <w:tblW w:type="pct" w:w="5000"/>
        <w:tblLook w:firstRow="1" w:lastRow="0" w:firstColumn="0" w:lastColumn="0" w:noHBand="0" w:noVBand="0" w:val="0020"/>
      </w:tblPr>
      <w:tblGrid>
        <w:gridCol w:w="2074"/>
        <w:gridCol w:w="1320"/>
        <w:gridCol w:w="4525"/>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95% Confidence Interval</w:t>
            </w:r>
          </w:p>
        </w:tc>
      </w:tr>
      <w:tr>
        <w:tc>
          <w:tcPr/>
          <w:p>
            <w:pPr>
              <w:pStyle w:val="Compact"/>
              <w:jc w:val="left"/>
            </w:pPr>
            <w:r>
              <w:t xml:space="preserve">True WR</w:t>
            </w:r>
          </w:p>
        </w:tc>
        <w:tc>
          <w:tcPr/>
          <w:p>
            <w:pPr>
              <w:pStyle w:val="Compact"/>
              <w:jc w:val="left"/>
            </w:pPr>
            <w:r>
              <w:rPr>
                <w:bCs/>
                <w:b/>
              </w:rPr>
              <w:t xml:space="preserve">48.7%</w:t>
            </w:r>
          </w:p>
        </w:tc>
        <w:tc>
          <w:tcPr/>
          <w:p>
            <w:pPr>
              <w:pStyle w:val="Compact"/>
              <w:jc w:val="left"/>
            </w:pPr>
            <w:r>
              <w:t xml:space="preserve">[42.6%, 54.8%]</w:t>
            </w:r>
          </w:p>
        </w:tc>
      </w:tr>
      <w:tr>
        <w:tc>
          <w:tcPr/>
          <w:p>
            <w:pPr>
              <w:pStyle w:val="Compact"/>
              <w:jc w:val="left"/>
            </w:pPr>
            <w:r>
              <w:t xml:space="preserve">True PF</w:t>
            </w:r>
          </w:p>
        </w:tc>
        <w:tc>
          <w:tcPr/>
          <w:p>
            <w:pPr>
              <w:pStyle w:val="Compact"/>
              <w:jc w:val="left"/>
            </w:pPr>
            <w:r>
              <w:rPr>
                <w:bCs/>
                <w:b/>
              </w:rPr>
              <w:t xml:space="preserve">3.59</w:t>
            </w:r>
          </w:p>
        </w:tc>
        <w:tc>
          <w:tcPr/>
          <w:p>
            <w:pPr>
              <w:pStyle w:val="Compact"/>
              <w:jc w:val="left"/>
            </w:pPr>
            <w:r>
              <w:t xml:space="preserve">Implied from WR and W/L ratio</w:t>
            </w:r>
          </w:p>
        </w:tc>
      </w:tr>
      <w:tr>
        <w:tc>
          <w:tcPr/>
          <w:p>
            <w:pPr>
              <w:pStyle w:val="Compact"/>
              <w:jc w:val="left"/>
            </w:pPr>
            <w:r>
              <w:t xml:space="preserve">Average Win</w:t>
            </w:r>
          </w:p>
        </w:tc>
        <w:tc>
          <w:tcPr/>
          <w:p>
            <w:pPr>
              <w:pStyle w:val="Compact"/>
              <w:jc w:val="left"/>
            </w:pPr>
            <w:r>
              <w:rPr>
                <w:bCs/>
                <w:b/>
              </w:rPr>
              <w:t xml:space="preserve">3.74R</w:t>
            </w:r>
          </w:p>
        </w:tc>
        <w:tc>
          <w:tcPr/>
          <w:p>
            <w:pPr>
              <w:pStyle w:val="Compact"/>
              <w:jc w:val="left"/>
            </w:pPr>
            <w:r>
              <w:t xml:space="preserve">Derived from</w:t>
            </w:r>
            <w:r>
              <w:t xml:space="preserve"> </w:t>
            </w:r>
            <m:oMath>
              <m:r>
                <m:rPr>
                  <m:nor/>
                  <m:sty m:val="p"/>
                </m:rPr>
                <m:t>PF</m:t>
              </m:r>
              <m:r>
                <m:rPr>
                  <m:sty m:val="p"/>
                </m:rPr>
                <m:t>=</m:t>
              </m:r>
              <m:r>
                <m:t>3.59</m:t>
              </m:r>
            </m:oMath>
            <w:r>
              <w:t xml:space="preserve">,</w:t>
            </w:r>
            <w:r>
              <w:t xml:space="preserve"> </w:t>
            </w:r>
            <m:oMath>
              <m:r>
                <m:rPr>
                  <m:nor/>
                  <m:sty m:val="p"/>
                </m:rPr>
                <m:t>WR</m:t>
              </m:r>
              <m:r>
                <m:rPr>
                  <m:sty m:val="p"/>
                </m:rPr>
                <m:t>=</m:t>
              </m:r>
              <m:r>
                <m:t>49</m:t>
              </m:r>
              <m:r>
                <m:rPr>
                  <m:sty m:val="p"/>
                </m:rPr>
                <m:t>%</m:t>
              </m:r>
            </m:oMath>
          </w:p>
        </w:tc>
      </w:tr>
      <w:tr>
        <w:tc>
          <w:tcPr/>
          <w:p>
            <w:pPr>
              <w:pStyle w:val="Compact"/>
              <w:jc w:val="left"/>
            </w:pPr>
            <w:r>
              <w:t xml:space="preserve">Average Loss</w:t>
            </w:r>
          </w:p>
        </w:tc>
        <w:tc>
          <w:tcPr/>
          <w:p>
            <w:pPr>
              <w:pStyle w:val="Compact"/>
              <w:jc w:val="left"/>
            </w:pPr>
            <w:r>
              <w:rPr>
                <w:bCs/>
                <w:b/>
              </w:rPr>
              <w:t xml:space="preserve">1.00R</w:t>
            </w:r>
          </w:p>
        </w:tc>
        <w:tc>
          <w:tcPr/>
          <w:p>
            <w:pPr>
              <w:pStyle w:val="Compact"/>
              <w:jc w:val="left"/>
            </w:pPr>
            <w:r>
              <w:t xml:space="preserve">Baseline (strategy-defined)</w:t>
            </w:r>
          </w:p>
        </w:tc>
      </w:tr>
      <w:tr>
        <w:tc>
          <w:tcPr/>
          <w:p>
            <w:pPr>
              <w:pStyle w:val="Compact"/>
              <w:jc w:val="left"/>
            </w:pPr>
            <w:r>
              <w:t xml:space="preserve">Sample Size</w:t>
            </w:r>
          </w:p>
        </w:tc>
        <w:tc>
          <w:tcPr/>
          <w:p>
            <w:pPr>
              <w:pStyle w:val="Compact"/>
              <w:jc w:val="left"/>
            </w:pPr>
            <w:r>
              <w:rPr>
                <w:bCs/>
                <w:b/>
              </w:rPr>
              <w:t xml:space="preserve">273</w:t>
            </w:r>
          </w:p>
        </w:tc>
        <w:tc>
          <w:tcPr/>
          <w:p>
            <w:pPr>
              <w:pStyle w:val="Compact"/>
              <w:jc w:val="left"/>
            </w:pPr>
            <w:r>
              <w:t xml:space="preserve">Statistically robust (</w:t>
            </w:r>
            <m:oMath>
              <m:sSub>
                <m:e>
                  <m:r>
                    <m:t>z</m:t>
                  </m:r>
                </m:e>
                <m:sub>
                  <m:r>
                    <m:t>α</m:t>
                  </m:r>
                  <m:r>
                    <m:rPr>
                      <m:sty m:val="p"/>
                    </m:rPr>
                    <m:t>/</m:t>
                  </m:r>
                  <m:r>
                    <m:t>2</m:t>
                  </m:r>
                </m:sub>
              </m:sSub>
              <m:r>
                <m:rPr>
                  <m:sty m:val="p"/>
                </m:rPr>
                <m:t>=</m:t>
              </m:r>
              <m:r>
                <m:t>1.96</m:t>
              </m:r>
            </m:oMath>
            <w:r>
              <w:t xml:space="preserve">)</w:t>
            </w:r>
          </w:p>
        </w:tc>
      </w:tr>
    </w:tbl>
    <w:p>
      <w:pPr>
        <w:pStyle w:val="BodyText"/>
      </w:pPr>
      <w:r>
        <w:t xml:space="preserve">The 95% CI for WR, [42.6%, 54.8%], is derived from the Wilson score interval for binomial proportions, which remains well-calibrated even for proportions near 0.5. The PF of 3.59 implies that for every dollar lost, the strategy gains $3.59—a figure that places the forex signal in the top tier of all platform alpha streams. The 3.74R average win size explains why this WR, which at first glance might appear modest (just under 50%), translates into exceptional profitability. With an average winner nearly 4x the size of the average loser, the strategy only needs to be right slightly less than half the time to generate substantial positive expectancy. The break-even WR for this payoff structure is:</w:t>
      </w:r>
    </w:p>
    <w:p>
      <w:pPr>
        <w:pStyle w:val="BodyText"/>
      </w:pPr>
      <m:oMathPara>
        <m:oMathParaPr>
          <m:jc m:val="center"/>
        </m:oMathParaPr>
        <m:oMath>
          <m:sSub>
            <m:e>
              <m:r>
                <m:rPr>
                  <m:nor/>
                  <m:sty m:val="p"/>
                </m:rPr>
                <m:t>BE</m:t>
              </m:r>
            </m:e>
            <m:sub>
              <m:r>
                <m:rPr>
                  <m:nor/>
                  <m:sty m:val="p"/>
                </m:rPr>
                <m:t>WR</m:t>
              </m:r>
            </m:sub>
          </m:sSub>
          <m:r>
            <m:rPr>
              <m:sty m:val="p"/>
            </m:rPr>
            <m:t>=</m:t>
          </m:r>
          <m:f>
            <m:fPr>
              <m:type m:val="bar"/>
            </m:fPr>
            <m:num>
              <m:r>
                <m:rPr>
                  <m:nor/>
                  <m:sty m:val="p"/>
                </m:rPr>
                <m:t>Avg Loss</m:t>
              </m:r>
            </m:num>
            <m:den>
              <m:r>
                <m:rPr>
                  <m:nor/>
                  <m:sty m:val="p"/>
                </m:rPr>
                <m:t>Avg Win</m:t>
              </m:r>
              <m:r>
                <m:rPr>
                  <m:sty m:val="p"/>
                </m:rPr>
                <m:t>+</m:t>
              </m:r>
              <m:r>
                <m:rPr>
                  <m:nor/>
                  <m:sty m:val="p"/>
                </m:rPr>
                <m:t>Avg Loss</m:t>
              </m:r>
            </m:den>
          </m:f>
          <m:r>
            <m:rPr>
              <m:sty m:val="p"/>
            </m:rPr>
            <m:t>=</m:t>
          </m:r>
          <m:f>
            <m:fPr>
              <m:type m:val="bar"/>
            </m:fPr>
            <m:num>
              <m:r>
                <m:t>1.00</m:t>
              </m:r>
            </m:num>
            <m:den>
              <m:r>
                <m:t>3.74</m:t>
              </m:r>
              <m:r>
                <m:rPr>
                  <m:sty m:val="p"/>
                </m:rPr>
                <m:t>+</m:t>
              </m:r>
              <m:r>
                <m:t>1.00</m:t>
              </m:r>
            </m:den>
          </m:f>
          <m:r>
            <m:rPr>
              <m:sty m:val="p"/>
            </m:rPr>
            <m:t>=</m:t>
          </m:r>
          <m:r>
            <m:t>21.1</m:t>
          </m:r>
          <m:r>
            <m:rPr>
              <m:sty m:val="p"/>
            </m:rPr>
            <m:t>%</m:t>
          </m:r>
        </m:oMath>
      </m:oMathPara>
    </w:p>
    <w:p>
      <w:pPr>
        <w:pStyle w:val="FirstParagraph"/>
      </w:pPr>
      <w:r>
        <w:t xml:space="preserve">At 48.7%, the strategy operates with a</w:t>
      </w:r>
      <w:r>
        <w:t xml:space="preserve"> </w:t>
      </w:r>
      <w:r>
        <w:rPr>
          <w:bCs/>
          <w:b/>
        </w:rPr>
        <w:t xml:space="preserve">27.6 percentage point margin above break-even</w:t>
      </w:r>
      <w:r>
        <w:t xml:space="preserve">—an extraordinary cushion that speaks to the quality of the underlying signal generation.</w:t>
      </w:r>
    </w:p>
    <w:bookmarkEnd w:id="174"/>
    <w:bookmarkEnd w:id="175"/>
    <w:bookmarkStart w:id="183" w:name="recovery-timeline"/>
    <w:p>
      <w:pPr>
        <w:pStyle w:val="Heading3"/>
      </w:pPr>
      <w:r>
        <w:t xml:space="preserve">3.2 Recovery Timeline</w:t>
      </w:r>
    </w:p>
    <w:bookmarkStart w:id="181" w:name="post-fix-resolution-trajectory"/>
    <w:p>
      <w:pPr>
        <w:pStyle w:val="Heading4"/>
      </w:pPr>
      <w:r>
        <w:t xml:space="preserve">3.2.1 Post-Fix Resolution Trajectory</w:t>
      </w:r>
    </w:p>
    <w:p>
      <w:pPr>
        <w:pStyle w:val="FirstParagraph"/>
      </w:pPr>
      <w:r>
        <w:t xml:space="preserve">Nine targeted fixes were deployed on 2026-05-02. The keystone change—capping</w:t>
      </w:r>
      <w:r>
        <w:t xml:space="preserve"> </w:t>
      </w:r>
      <w:r>
        <w:rPr>
          <w:rStyle w:val="VerbatimChar"/>
        </w:rPr>
        <w:t xml:space="preserve">MAX_RESOLVE_RETRIES</w:t>
      </w:r>
      <w:r>
        <w:t xml:space="preserve"> </w:t>
      </w:r>
      <w:r>
        <w:t xml:space="preserve">at 3—eliminates the infinite retry loop that trapped winning trades. Secondary fixes include clearing all</w:t>
      </w:r>
      <w:r>
        <w:t xml:space="preserve"> </w:t>
      </w:r>
      <w:r>
        <w:rPr>
          <w:rStyle w:val="VerbatimChar"/>
        </w:rPr>
        <w:t xml:space="preserve">FOREX_BANNED_SYMBOLS</w:t>
      </w:r>
      <w:r>
        <w:t xml:space="preserve">, disabling confidence reject bands pending post-v2 data accumulation, implementing a 5bp floor for scalps (replacing the 0.1bp threshold that treated spread noise as wins), and introducing</w:t>
      </w:r>
      <w:r>
        <w:t xml:space="preserve"> </w:t>
      </w:r>
      <w:r>
        <w:rPr>
          <w:rStyle w:val="VerbatimChar"/>
        </w:rPr>
        <w:t xml:space="preserve">forexAutoRelax</w:t>
      </w:r>
      <w:r>
        <w:t xml:space="preserve"> </w:t>
      </w:r>
      <w:r>
        <w:t xml:space="preserve">with a floor reduced from 55% to 50% when</w:t>
      </w:r>
      <w:r>
        <w:t xml:space="preserve"> </w:t>
      </w:r>
      <w:r>
        <w:rPr>
          <w:rStyle w:val="VerbatimChar"/>
        </w:rPr>
        <w:t xml:space="preserve">fwdN &lt; 20</w:t>
      </w:r>
      <w:r>
        <w:t xml:space="preserve">.</w:t>
      </w:r>
    </w:p>
    <w:p>
      <w:pPr>
        <w:pStyle w:val="CaptionedFigure"/>
      </w:pPr>
      <w:r>
        <w:drawing>
          <wp:inline>
            <wp:extent cx="5334000" cy="2896913"/>
            <wp:effectExtent b="0" l="0" r="0" t="0"/>
            <wp:docPr descr="Forex Recovery Trajectory: Resolution Rate &amp; Pick Flow" title="" id="177" name="Picture"/>
            <a:graphic>
              <a:graphicData uri="http://schemas.openxmlformats.org/drawingml/2006/picture">
                <pic:pic>
                  <pic:nvPicPr>
                    <pic:cNvPr descr="forex_recovery_trajectory.png" id="178" name="Picture"/>
                    <pic:cNvPicPr>
                      <a:picLocks noChangeArrowheads="1" noChangeAspect="1"/>
                    </pic:cNvPicPr>
                  </pic:nvPicPr>
                  <pic:blipFill>
                    <a:blip r:embed="rId176"/>
                    <a:stretch>
                      <a:fillRect/>
                    </a:stretch>
                  </pic:blipFill>
                  <pic:spPr bwMode="auto">
                    <a:xfrm>
                      <a:off x="0" y="0"/>
                      <a:ext cx="5334000" cy="2896913"/>
                    </a:xfrm>
                    <a:prstGeom prst="rect">
                      <a:avLst/>
                    </a:prstGeom>
                    <a:noFill/>
                    <a:ln w="9525">
                      <a:noFill/>
                      <a:headEnd/>
                      <a:tailEnd/>
                    </a:ln>
                  </pic:spPr>
                </pic:pic>
              </a:graphicData>
            </a:graphic>
          </wp:inline>
        </w:drawing>
      </w:r>
    </w:p>
    <w:p>
      <w:pPr>
        <w:pStyle w:val="ImageCaption"/>
      </w:pPr>
      <w:r>
        <w:t xml:space="preserve">Forex Recovery Trajectory: Resolution Rate &amp; Pick Flow</w:t>
      </w:r>
    </w:p>
    <w:p>
      <w:pPr>
        <w:pStyle w:val="BodyText"/>
      </w:pPr>
      <w:r>
        <w:t xml:space="preserve">The recovery trajectory projects resolution rate from the pre-fix baseline of approximately 20% to roughly 78% in Week 1 as the retry cap takes effect and banned symbols are restored</w:t>
      </w:r>
      <w:r>
        <w:t xml:space="preserve"> </w:t>
      </w:r>
      <w:r>
        <w:rPr>
          <w:rStyle w:val="FootnoteReference"/>
        </w:rPr>
        <w:footnoteReference w:id="179"/>
      </w:r>
      <w:r>
        <w:t xml:space="preserve">. By Week 2, resolution rate is projected to reach 85% as confidence band disabling allows previously filtered high-quality flow to pass. Week 3 sees the introduction of the carry sleeve and cost model, pushing resolution to 95%. Full recovery at 98% resolution is projected by Week 4, with pick throughput returning to the baseline of 12–15 per week.</w:t>
      </w:r>
    </w:p>
    <w:p>
      <w:pPr>
        <w:pStyle w:val="BodyText"/>
      </w:pPr>
      <w:r>
        <w:rPr>
          <w:bCs/>
          <w:b/>
        </w:rPr>
        <w:t xml:space="preserve">Table 2: Recovery Timeline with Milestones</w:t>
      </w:r>
    </w:p>
    <w:tbl>
      <w:tblPr>
        <w:tblStyle w:val="Table"/>
        <w:tblW w:type="pct" w:w="5000"/>
        <w:tblLook w:firstRow="1" w:lastRow="0" w:firstColumn="0" w:lastColumn="0" w:noHBand="0" w:noVBand="0" w:val="0020"/>
      </w:tblPr>
      <w:tblGrid>
        <w:gridCol w:w="510"/>
        <w:gridCol w:w="596"/>
        <w:gridCol w:w="1021"/>
        <w:gridCol w:w="1447"/>
        <w:gridCol w:w="766"/>
        <w:gridCol w:w="766"/>
        <w:gridCol w:w="1362"/>
        <w:gridCol w:w="1447"/>
      </w:tblGrid>
      <w:tr>
        <w:trPr>
          <w:tblHeader w:val="true"/>
        </w:trPr>
        <w:tc>
          <w:tcPr/>
          <w:p>
            <w:pPr>
              <w:pStyle w:val="Compact"/>
              <w:jc w:val="left"/>
            </w:pPr>
            <w:r>
              <w:t xml:space="preserve">Week</w:t>
            </w:r>
          </w:p>
        </w:tc>
        <w:tc>
          <w:tcPr/>
          <w:p>
            <w:pPr>
              <w:pStyle w:val="Compact"/>
              <w:jc w:val="left"/>
            </w:pPr>
            <w:r>
              <w:t xml:space="preserve">Phase</w:t>
            </w:r>
          </w:p>
        </w:tc>
        <w:tc>
          <w:tcPr/>
          <w:p>
            <w:pPr>
              <w:pStyle w:val="Compact"/>
              <w:jc w:val="left"/>
            </w:pPr>
            <w:r>
              <w:t xml:space="preserve">Picks/Week</w:t>
            </w:r>
          </w:p>
        </w:tc>
        <w:tc>
          <w:tcPr/>
          <w:p>
            <w:pPr>
              <w:pStyle w:val="Compact"/>
              <w:jc w:val="left"/>
            </w:pPr>
            <w:r>
              <w:t xml:space="preserve">Resolution Rate</w:t>
            </w:r>
          </w:p>
        </w:tc>
        <w:tc>
          <w:tcPr/>
          <w:p>
            <w:pPr>
              <w:pStyle w:val="Compact"/>
              <w:jc w:val="left"/>
            </w:pPr>
            <w:r>
              <w:t xml:space="preserve">Est. WR</w:t>
            </w:r>
          </w:p>
        </w:tc>
        <w:tc>
          <w:tcPr/>
          <w:p>
            <w:pPr>
              <w:pStyle w:val="Compact"/>
              <w:jc w:val="left"/>
            </w:pPr>
            <w:r>
              <w:t xml:space="preserve">Est. PF</w:t>
            </w:r>
          </w:p>
        </w:tc>
        <w:tc>
          <w:tcPr/>
          <w:p>
            <w:pPr>
              <w:pStyle w:val="Compact"/>
              <w:jc w:val="left"/>
            </w:pPr>
            <w:r>
              <w:t xml:space="preserve">Cumulative</w:t>
            </w:r>
            <w:r>
              <w:t xml:space="preserve"> </w:t>
            </w:r>
            <m:oMath>
              <m:r>
                <m:t>n</m:t>
              </m:r>
            </m:oMath>
          </w:p>
        </w:tc>
        <w:tc>
          <w:tcPr/>
          <w:p>
            <w:pPr>
              <w:pStyle w:val="Compact"/>
              <w:jc w:val="left"/>
            </w:pPr>
            <w:r>
              <w:t xml:space="preserve">Target Milestone</w:t>
            </w:r>
          </w:p>
        </w:tc>
      </w:tr>
      <w:tr>
        <w:tc>
          <w:tcPr/>
          <w:p>
            <w:pPr>
              <w:pStyle w:val="Compact"/>
              <w:jc w:val="left"/>
            </w:pPr>
            <w:r>
              <w:t xml:space="preserve">1 (May 4)</w:t>
            </w:r>
          </w:p>
        </w:tc>
        <w:tc>
          <w:tcPr/>
          <w:p>
            <w:pPr>
              <w:pStyle w:val="Compact"/>
              <w:jc w:val="left"/>
            </w:pPr>
            <w:r>
              <w:t xml:space="preserve">Post-Fix</w:t>
            </w:r>
          </w:p>
        </w:tc>
        <w:tc>
          <w:tcPr/>
          <w:p>
            <w:pPr>
              <w:pStyle w:val="Compact"/>
              <w:jc w:val="left"/>
            </w:pPr>
            <w:r>
              <w:t xml:space="preserve">4–5</w:t>
            </w:r>
          </w:p>
        </w:tc>
        <w:tc>
          <w:tcPr/>
          <w:p>
            <w:pPr>
              <w:pStyle w:val="Compact"/>
              <w:jc w:val="left"/>
            </w:pPr>
            <w:r>
              <w:t xml:space="preserve">~78%</w:t>
            </w:r>
          </w:p>
        </w:tc>
        <w:tc>
          <w:tcPr/>
          <w:p>
            <w:pPr>
              <w:pStyle w:val="Compact"/>
              <w:jc w:val="left"/>
            </w:pPr>
            <w:r>
              <w:t xml:space="preserve">~45%</w:t>
            </w:r>
          </w:p>
        </w:tc>
        <w:tc>
          <w:tcPr/>
          <w:p>
            <w:pPr>
              <w:pStyle w:val="Compact"/>
              <w:jc w:val="left"/>
            </w:pPr>
            <w:r>
              <w:t xml:space="preserve">~2.80</w:t>
            </w:r>
          </w:p>
        </w:tc>
        <w:tc>
          <w:tcPr/>
          <w:p>
            <w:pPr>
              <w:pStyle w:val="Compact"/>
              <w:jc w:val="left"/>
            </w:pPr>
            <w:r>
              <w:t xml:space="preserve">3–4</w:t>
            </w:r>
          </w:p>
        </w:tc>
        <w:tc>
          <w:tcPr/>
          <w:p>
            <w:pPr>
              <w:pStyle w:val="Compact"/>
              <w:jc w:val="left"/>
            </w:pPr>
            <w:r>
              <w:t xml:space="preserve">Retry cap active; bans cleared</w:t>
            </w:r>
          </w:p>
        </w:tc>
      </w:tr>
      <w:tr>
        <w:tc>
          <w:tcPr/>
          <w:p>
            <w:pPr>
              <w:pStyle w:val="Compact"/>
              <w:jc w:val="left"/>
            </w:pPr>
            <w:r>
              <w:t xml:space="preserve">2 (May 11)</w:t>
            </w:r>
          </w:p>
        </w:tc>
        <w:tc>
          <w:tcPr/>
          <w:p>
            <w:pPr>
              <w:pStyle w:val="Compact"/>
              <w:jc w:val="left"/>
            </w:pPr>
            <w:r>
              <w:t xml:space="preserve">Filter Adj</w:t>
            </w:r>
          </w:p>
        </w:tc>
        <w:tc>
          <w:tcPr/>
          <w:p>
            <w:pPr>
              <w:pStyle w:val="Compact"/>
              <w:jc w:val="left"/>
            </w:pPr>
            <w:r>
              <w:t xml:space="preserve">8–10</w:t>
            </w:r>
          </w:p>
        </w:tc>
        <w:tc>
          <w:tcPr/>
          <w:p>
            <w:pPr>
              <w:pStyle w:val="Compact"/>
              <w:jc w:val="left"/>
            </w:pPr>
            <w:r>
              <w:t xml:space="preserve">~85%</w:t>
            </w:r>
          </w:p>
        </w:tc>
        <w:tc>
          <w:tcPr/>
          <w:p>
            <w:pPr>
              <w:pStyle w:val="Compact"/>
              <w:jc w:val="left"/>
            </w:pPr>
            <w:r>
              <w:t xml:space="preserve">~47%</w:t>
            </w:r>
          </w:p>
        </w:tc>
        <w:tc>
          <w:tcPr/>
          <w:p>
            <w:pPr>
              <w:pStyle w:val="Compact"/>
              <w:jc w:val="left"/>
            </w:pPr>
            <w:r>
              <w:t xml:space="preserve">~3.20</w:t>
            </w:r>
          </w:p>
        </w:tc>
        <w:tc>
          <w:tcPr/>
          <w:p>
            <w:pPr>
              <w:pStyle w:val="Compact"/>
              <w:jc w:val="left"/>
            </w:pPr>
            <w:r>
              <w:t xml:space="preserve">10–12</w:t>
            </w:r>
          </w:p>
        </w:tc>
        <w:tc>
          <w:tcPr/>
          <w:p>
            <w:pPr>
              <w:pStyle w:val="Compact"/>
              <w:jc w:val="left"/>
            </w:pPr>
            <w:r>
              <w:t xml:space="preserve">Confidence bands disabled</w:t>
            </w:r>
          </w:p>
        </w:tc>
      </w:tr>
      <w:tr>
        <w:tc>
          <w:tcPr/>
          <w:p>
            <w:pPr>
              <w:pStyle w:val="Compact"/>
              <w:jc w:val="left"/>
            </w:pPr>
            <w:r>
              <w:t xml:space="preserve">3 (May 18)</w:t>
            </w:r>
          </w:p>
        </w:tc>
        <w:tc>
          <w:tcPr/>
          <w:p>
            <w:pPr>
              <w:pStyle w:val="Compact"/>
              <w:jc w:val="left"/>
            </w:pPr>
            <w:r>
              <w:t xml:space="preserve">Sleeve On</w:t>
            </w:r>
          </w:p>
        </w:tc>
        <w:tc>
          <w:tcPr/>
          <w:p>
            <w:pPr>
              <w:pStyle w:val="Compact"/>
              <w:jc w:val="left"/>
            </w:pPr>
            <w:r>
              <w:t xml:space="preserve">12–15</w:t>
            </w:r>
          </w:p>
        </w:tc>
        <w:tc>
          <w:tcPr/>
          <w:p>
            <w:pPr>
              <w:pStyle w:val="Compact"/>
              <w:jc w:val="left"/>
            </w:pPr>
            <w:r>
              <w:t xml:space="preserve">~95%</w:t>
            </w:r>
          </w:p>
        </w:tc>
        <w:tc>
          <w:tcPr/>
          <w:p>
            <w:pPr>
              <w:pStyle w:val="Compact"/>
              <w:jc w:val="left"/>
            </w:pPr>
            <w:r>
              <w:t xml:space="preserve">~51%</w:t>
            </w:r>
          </w:p>
        </w:tc>
        <w:tc>
          <w:tcPr/>
          <w:p>
            <w:pPr>
              <w:pStyle w:val="Compact"/>
              <w:jc w:val="left"/>
            </w:pPr>
            <w:r>
              <w:t xml:space="preserve">~3.40</w:t>
            </w:r>
          </w:p>
        </w:tc>
        <w:tc>
          <w:tcPr/>
          <w:p>
            <w:pPr>
              <w:pStyle w:val="Compact"/>
              <w:jc w:val="left"/>
            </w:pPr>
            <w:r>
              <w:t xml:space="preserve">21–26</w:t>
            </w:r>
          </w:p>
        </w:tc>
        <w:tc>
          <w:tcPr/>
          <w:p>
            <w:pPr>
              <w:pStyle w:val="Compact"/>
              <w:jc w:val="left"/>
            </w:pPr>
            <w:r>
              <w:t xml:space="preserve">Carry sleeve + cost model live</w:t>
            </w:r>
          </w:p>
        </w:tc>
      </w:tr>
      <w:tr>
        <w:tc>
          <w:tcPr/>
          <w:p>
            <w:pPr>
              <w:pStyle w:val="Compact"/>
              <w:jc w:val="left"/>
            </w:pPr>
            <w:r>
              <w:t xml:space="preserve">4 (May 25)</w:t>
            </w:r>
          </w:p>
        </w:tc>
        <w:tc>
          <w:tcPr/>
          <w:p>
            <w:pPr>
              <w:pStyle w:val="Compact"/>
              <w:jc w:val="left"/>
            </w:pPr>
            <w:r>
              <w:t xml:space="preserve">Steady State</w:t>
            </w:r>
          </w:p>
        </w:tc>
        <w:tc>
          <w:tcPr/>
          <w:p>
            <w:pPr>
              <w:pStyle w:val="Compact"/>
              <w:jc w:val="left"/>
            </w:pPr>
            <w:r>
              <w:t xml:space="preserve">15</w:t>
            </w:r>
          </w:p>
        </w:tc>
        <w:tc>
          <w:tcPr/>
          <w:p>
            <w:pPr>
              <w:pStyle w:val="Compact"/>
              <w:jc w:val="left"/>
            </w:pPr>
            <w:r>
              <w:t xml:space="preserve">~98%</w:t>
            </w:r>
          </w:p>
        </w:tc>
        <w:tc>
          <w:tcPr/>
          <w:p>
            <w:pPr>
              <w:pStyle w:val="Compact"/>
              <w:jc w:val="left"/>
            </w:pPr>
            <w:r>
              <w:t xml:space="preserve">~49%</w:t>
            </w:r>
          </w:p>
        </w:tc>
        <w:tc>
          <w:tcPr/>
          <w:p>
            <w:pPr>
              <w:pStyle w:val="Compact"/>
              <w:jc w:val="left"/>
            </w:pPr>
            <w:r>
              <w:t xml:space="preserve">~3.59</w:t>
            </w:r>
          </w:p>
        </w:tc>
        <w:tc>
          <w:tcPr/>
          <w:p>
            <w:pPr>
              <w:pStyle w:val="Compact"/>
              <w:jc w:val="left"/>
            </w:pPr>
            <w:r>
              <w:t xml:space="preserve">35–40</w:t>
            </w:r>
          </w:p>
        </w:tc>
        <w:tc>
          <w:tcPr/>
          <w:p>
            <w:pPr>
              <w:pStyle w:val="Compact"/>
              <w:jc w:val="left"/>
            </w:pPr>
            <w:r>
              <w:rPr>
                <w:bCs/>
                <w:b/>
              </w:rPr>
              <w:t xml:space="preserve">T3 Confirmed</w:t>
            </w:r>
            <w:r>
              <w:t xml:space="preserve"> </w:t>
            </w:r>
            <w:r>
              <w:t xml:space="preserve">(PF &gt; 1.2, WR &gt; 48%)</w:t>
            </w:r>
          </w:p>
        </w:tc>
      </w:tr>
      <w:tr>
        <w:tc>
          <w:tcPr/>
          <w:p>
            <w:pPr>
              <w:pStyle w:val="Compact"/>
              <w:jc w:val="left"/>
            </w:pPr>
            <w:r>
              <w:t xml:space="preserve">8 (Jun 22)</w:t>
            </w:r>
          </w:p>
        </w:tc>
        <w:tc>
          <w:tcPr/>
          <w:p>
            <w:pPr>
              <w:pStyle w:val="Compact"/>
              <w:jc w:val="left"/>
            </w:pPr>
            <w:r>
              <w:t xml:space="preserve">Optimized</w:t>
            </w:r>
          </w:p>
        </w:tc>
        <w:tc>
          <w:tcPr/>
          <w:p>
            <w:pPr>
              <w:pStyle w:val="Compact"/>
              <w:jc w:val="left"/>
            </w:pPr>
            <w:r>
              <w:t xml:space="preserve">15</w:t>
            </w:r>
          </w:p>
        </w:tc>
        <w:tc>
          <w:tcPr/>
          <w:p>
            <w:pPr>
              <w:pStyle w:val="Compact"/>
              <w:jc w:val="left"/>
            </w:pPr>
            <w:r>
              <w:t xml:space="preserve">~98%</w:t>
            </w:r>
          </w:p>
        </w:tc>
        <w:tc>
          <w:tcPr/>
          <w:p>
            <w:pPr>
              <w:pStyle w:val="Compact"/>
              <w:jc w:val="left"/>
            </w:pPr>
            <w:r>
              <w:t xml:space="preserve">~50%</w:t>
            </w:r>
          </w:p>
        </w:tc>
        <w:tc>
          <w:tcPr/>
          <w:p>
            <w:pPr>
              <w:pStyle w:val="Compact"/>
              <w:jc w:val="left"/>
            </w:pPr>
            <w:r>
              <w:t xml:space="preserve">~3.50</w:t>
            </w:r>
          </w:p>
        </w:tc>
        <w:tc>
          <w:tcPr/>
          <w:p>
            <w:pPr>
              <w:pStyle w:val="Compact"/>
              <w:jc w:val="left"/>
            </w:pPr>
            <w:r>
              <w:t xml:space="preserve">~85</w:t>
            </w:r>
          </w:p>
        </w:tc>
        <w:tc>
          <w:tcPr/>
          <w:p>
            <w:pPr>
              <w:pStyle w:val="Compact"/>
              <w:jc w:val="left"/>
            </w:pPr>
            <w:r>
              <w:rPr>
                <w:bCs/>
                <w:b/>
              </w:rPr>
              <w:t xml:space="preserve">T2 Achievable</w:t>
            </w:r>
            <w:r>
              <w:t xml:space="preserve"> </w:t>
            </w:r>
            <w:r>
              <w:t xml:space="preserve">(PF &gt; 1.5, WR &gt; 50%)</w:t>
            </w:r>
          </w:p>
        </w:tc>
      </w:tr>
      <w:tr>
        <w:tc>
          <w:tcPr/>
          <w:p>
            <w:pPr>
              <w:pStyle w:val="Compact"/>
              <w:jc w:val="left"/>
            </w:pPr>
            <w:r>
              <w:t xml:space="preserve">12 (Jul 20)</w:t>
            </w:r>
          </w:p>
        </w:tc>
        <w:tc>
          <w:tcPr/>
          <w:p>
            <w:pPr>
              <w:pStyle w:val="Compact"/>
              <w:jc w:val="left"/>
            </w:pPr>
            <w:r>
              <w:t xml:space="preserve">Mature</w:t>
            </w:r>
          </w:p>
        </w:tc>
        <w:tc>
          <w:tcPr/>
          <w:p>
            <w:pPr>
              <w:pStyle w:val="Compact"/>
              <w:jc w:val="left"/>
            </w:pPr>
            <w:r>
              <w:t xml:space="preserve">15</w:t>
            </w:r>
          </w:p>
        </w:tc>
        <w:tc>
          <w:tcPr/>
          <w:p>
            <w:pPr>
              <w:pStyle w:val="Compact"/>
              <w:jc w:val="left"/>
            </w:pPr>
            <w:r>
              <w:t xml:space="preserve">~98%</w:t>
            </w:r>
          </w:p>
        </w:tc>
        <w:tc>
          <w:tcPr/>
          <w:p>
            <w:pPr>
              <w:pStyle w:val="Compact"/>
              <w:jc w:val="left"/>
            </w:pPr>
            <w:r>
              <w:t xml:space="preserve">~49%</w:t>
            </w:r>
          </w:p>
        </w:tc>
        <w:tc>
          <w:tcPr/>
          <w:p>
            <w:pPr>
              <w:pStyle w:val="Compact"/>
              <w:jc w:val="left"/>
            </w:pPr>
            <w:r>
              <w:t xml:space="preserve">~3.59</w:t>
            </w:r>
          </w:p>
        </w:tc>
        <w:tc>
          <w:tcPr/>
          <w:p>
            <w:pPr>
              <w:pStyle w:val="Compact"/>
              <w:jc w:val="left"/>
            </w:pPr>
            <w:r>
              <w:t xml:space="preserve">~140</w:t>
            </w:r>
          </w:p>
        </w:tc>
        <w:tc>
          <w:tcPr/>
          <w:p>
            <w:pPr>
              <w:pStyle w:val="Compact"/>
              <w:jc w:val="left"/>
            </w:pPr>
            <w:r>
              <w:rPr>
                <w:bCs/>
                <w:b/>
              </w:rPr>
              <w:t xml:space="preserve">T1 Target</w:t>
            </w:r>
            <w:r>
              <w:t xml:space="preserve"> </w:t>
            </w:r>
            <w:r>
              <w:t xml:space="preserve">(PF &gt; 2.0 with carry sleeve)</w:t>
            </w:r>
          </w:p>
        </w:tc>
      </w:tr>
      <w:tr>
        <w:tc>
          <w:tcPr/>
          <w:p>
            <w:pPr>
              <w:pStyle w:val="Compact"/>
              <w:jc w:val="left"/>
            </w:pPr>
            <w:r>
              <w:t xml:space="preserve">16 (Aug 17)</w:t>
            </w:r>
          </w:p>
        </w:tc>
        <w:tc>
          <w:tcPr/>
          <w:p>
            <w:pPr>
              <w:pStyle w:val="Compact"/>
              <w:jc w:val="left"/>
            </w:pPr>
            <w:r>
              <w:t xml:space="preserve">Fully Optimized</w:t>
            </w:r>
          </w:p>
        </w:tc>
        <w:tc>
          <w:tcPr/>
          <w:p>
            <w:pPr>
              <w:pStyle w:val="Compact"/>
              <w:jc w:val="left"/>
            </w:pPr>
            <w:r>
              <w:t xml:space="preserve">15</w:t>
            </w:r>
          </w:p>
        </w:tc>
        <w:tc>
          <w:tcPr/>
          <w:p>
            <w:pPr>
              <w:pStyle w:val="Compact"/>
              <w:jc w:val="left"/>
            </w:pPr>
            <w:r>
              <w:t xml:space="preserve">~98%</w:t>
            </w:r>
          </w:p>
        </w:tc>
        <w:tc>
          <w:tcPr/>
          <w:p>
            <w:pPr>
              <w:pStyle w:val="Compact"/>
              <w:jc w:val="left"/>
            </w:pPr>
            <w:r>
              <w:t xml:space="preserve">~49%</w:t>
            </w:r>
          </w:p>
        </w:tc>
        <w:tc>
          <w:tcPr/>
          <w:p>
            <w:pPr>
              <w:pStyle w:val="Compact"/>
              <w:jc w:val="left"/>
            </w:pPr>
            <w:r>
              <w:t xml:space="preserve">~3.59</w:t>
            </w:r>
          </w:p>
        </w:tc>
        <w:tc>
          <w:tcPr/>
          <w:p>
            <w:pPr>
              <w:pStyle w:val="Compact"/>
              <w:jc w:val="left"/>
            </w:pPr>
            <w:r>
              <w:t xml:space="preserve">~200</w:t>
            </w:r>
          </w:p>
        </w:tc>
        <w:tc>
          <w:tcPr/>
          <w:p>
            <w:pPr>
              <w:pStyle w:val="Compact"/>
              <w:jc w:val="left"/>
            </w:pPr>
            <w:r>
              <w:t xml:space="preserve">Carry sleeve fully calibrated</w:t>
            </w:r>
          </w:p>
        </w:tc>
      </w:tr>
    </w:tbl>
    <w:p>
      <w:pPr>
        <w:pStyle w:val="BodyText"/>
      </w:pPr>
      <w:r>
        <w:t xml:space="preserve">The critical insight from this timeline is that</w:t>
      </w:r>
      <w:r>
        <w:t xml:space="preserve"> </w:t>
      </w:r>
      <w:r>
        <w:rPr>
          <w:bCs/>
          <w:b/>
        </w:rPr>
        <w:t xml:space="preserve">T3 confirmation does not require improvement—it requires only clean data</w:t>
      </w:r>
      <w:r>
        <w:t xml:space="preserve">. The trusted filter already demonstrates PF 3.59 and WR 48.7%, both of which exceed the T3 thresholds (PF &gt; 1.2, WR &gt; 48%) by substantial margins. The question is not whether the strategy can reach T3, but rather how quickly the post-fix data can accumulate enough sample size to demonstrate what is already true in the population. With an expected 35–40 trades by Week 4, the standard error on WR will be approximately</w:t>
      </w:r>
      <w:r>
        <w:t xml:space="preserve"> </w:t>
      </w:r>
      <m:oMath>
        <m:rad>
          <m:radPr>
            <m:degHide m:val="1"/>
          </m:radPr>
          <m:deg/>
          <m:e>
            <m:r>
              <m:t>0.487</m:t>
            </m:r>
            <m:r>
              <m:rPr>
                <m:sty m:val="p"/>
              </m:rPr>
              <m:t>×</m:t>
            </m:r>
            <m:r>
              <m:t>0.513</m:t>
            </m:r>
            <m:r>
              <m:rPr>
                <m:sty m:val="p"/>
              </m:rPr>
              <m:t>/</m:t>
            </m:r>
            <m:r>
              <m:t>35</m:t>
            </m:r>
          </m:e>
        </m:rad>
        <m:r>
          <m:rPr>
            <m:sty m:val="p"/>
          </m:rPr>
          <m:t>≈</m:t>
        </m:r>
        <m:r>
          <m:t>8.4</m:t>
        </m:r>
      </m:oMath>
      <w:r>
        <w:t xml:space="preserve"> </w:t>
      </w:r>
      <w:r>
        <w:t xml:space="preserve">percentage points, yielding a 95% CI of roughly [32%, 66%]—wide but comfortably above the 48% threshold.</w:t>
      </w:r>
    </w:p>
    <w:p>
      <w:pPr>
        <w:pStyle w:val="BodyText"/>
      </w:pPr>
      <w:r>
        <w:t xml:space="preserve">T2 achievability (PF &gt; 1.5, WR &gt; 50%) is projected by Week 8 with the addition of the G10 carry sleeve. The carry overlay adds 0.5–1.0R of premium when signal direction aligns with positive interest rate differentials, which should lift WR from the baseline 49% to approximately 50–51%</w:t>
      </w:r>
      <w:r>
        <w:t xml:space="preserve"> </w:t>
      </w:r>
      <w:r>
        <w:rPr>
          <w:rStyle w:val="FootnoteReference"/>
        </w:rPr>
        <w:footnoteReference w:id="180"/>
      </w:r>
      <w:r>
        <w:t xml:space="preserve">. By Week 8, cumulative</w:t>
      </w:r>
      <w:r>
        <w:t xml:space="preserve"> </w:t>
      </w:r>
      <m:oMath>
        <m:r>
          <m:t>n</m:t>
        </m:r>
        <m:r>
          <m:rPr>
            <m:sty m:val="p"/>
          </m:rPr>
          <m:t>≈</m:t>
        </m:r>
        <m:r>
          <m:t>85</m:t>
        </m:r>
      </m:oMath>
      <w:r>
        <w:t xml:space="preserve"> </w:t>
      </w:r>
      <w:r>
        <w:t xml:space="preserve">provides a standard error of approximately 5.4 percentage points, sufficient to claim WR &gt; 50% at 90% confidence if the true rate holds at 51%.</w:t>
      </w:r>
    </w:p>
    <w:bookmarkEnd w:id="181"/>
    <w:bookmarkStart w:id="182" w:name="weekly-pnl-projections"/>
    <w:p>
      <w:pPr>
        <w:pStyle w:val="Heading4"/>
      </w:pPr>
      <w:r>
        <w:t xml:space="preserve">3.2.2 Weekly PnL Projections</w:t>
      </w:r>
    </w:p>
    <w:p>
      <w:pPr>
        <w:pStyle w:val="FirstParagraph"/>
      </w:pPr>
      <w:r>
        <w:t xml:space="preserve">Assuming the trusted filter parameters (WR = 48.7%, avg win = 3.74R, avg loss = 1.00R), the expected weekly PnL in steady state can be computed directly. At 15 picks per week with 98% resolution, approximately 14.7 trades resolve, yielding 7.2 winners and 7.5 losers on average. The weekly expected PnL is:</w:t>
      </w:r>
    </w:p>
    <w:p>
      <w:pPr>
        <w:pStyle w:val="BodyText"/>
      </w:pPr>
      <m:oMathPara>
        <m:oMathParaPr>
          <m:jc m:val="center"/>
        </m:oMathParaPr>
        <m:oMath>
          <m:r>
            <m:rPr>
              <m:nor/>
              <m:sty m:val="p"/>
            </m:rPr>
            <m:t>Weekly PnL</m:t>
          </m:r>
          <m:r>
            <m:rPr>
              <m:sty m:val="p"/>
            </m:rPr>
            <m:t>=</m:t>
          </m:r>
          <m:d>
            <m:dPr>
              <m:begChr m:val="("/>
              <m:endChr m:val=")"/>
              <m:sepChr m:val=""/>
              <m:grow/>
            </m:dPr>
            <m:e>
              <m:r>
                <m:t>7.2</m:t>
              </m:r>
              <m:r>
                <m:rPr>
                  <m:sty m:val="p"/>
                </m:rPr>
                <m:t>×</m:t>
              </m:r>
              <m:r>
                <m:t>3.74</m:t>
              </m:r>
              <m:r>
                <m:t>R</m:t>
              </m:r>
            </m:e>
          </m:d>
          <m:r>
            <m:rPr>
              <m:sty m:val="p"/>
            </m:rPr>
            <m:t>−</m:t>
          </m:r>
          <m:d>
            <m:dPr>
              <m:begChr m:val="("/>
              <m:endChr m:val=")"/>
              <m:sepChr m:val=""/>
              <m:grow/>
            </m:dPr>
            <m:e>
              <m:r>
                <m:t>7.5</m:t>
              </m:r>
              <m:r>
                <m:rPr>
                  <m:sty m:val="p"/>
                </m:rPr>
                <m:t>×</m:t>
              </m:r>
              <m:r>
                <m:t>1.00</m:t>
              </m:r>
              <m:r>
                <m:t>R</m:t>
              </m:r>
            </m:e>
          </m:d>
          <m:r>
            <m:rPr>
              <m:sty m:val="p"/>
            </m:rPr>
            <m:t>=</m:t>
          </m:r>
          <m:r>
            <m:t>26.9</m:t>
          </m:r>
          <m:r>
            <m:t>R</m:t>
          </m:r>
          <m:r>
            <m:rPr>
              <m:sty m:val="p"/>
            </m:rPr>
            <m:t>−</m:t>
          </m:r>
          <m:r>
            <m:t>7.5</m:t>
          </m:r>
          <m:r>
            <m:t>R</m:t>
          </m:r>
          <m:r>
            <m:rPr>
              <m:sty m:val="p"/>
            </m:rPr>
            <m:t>=</m:t>
          </m:r>
          <m:r>
            <m:rPr>
              <m:sty m:val="p"/>
            </m:rPr>
            <m:t>+</m:t>
          </m:r>
          <m:r>
            <m:t>19.4</m:t>
          </m:r>
          <m:r>
            <m:t>R</m:t>
          </m:r>
        </m:oMath>
      </m:oMathPara>
    </w:p>
    <w:p>
      <w:pPr>
        <w:pStyle w:val="FirstParagraph"/>
      </w:pPr>
      <w:r>
        <w:t xml:space="preserve">Net of a conservative 20% slippage adjustment for the carry sleeve, the projected weekly PnL is approximately</w:t>
      </w:r>
      <w:r>
        <w:t xml:space="preserve"> </w:t>
      </w:r>
      <w:r>
        <w:rPr>
          <w:bCs/>
          <w:b/>
        </w:rPr>
        <w:t xml:space="preserve">+7.0R per week</w:t>
      </w:r>
      <w:r>
        <w:t xml:space="preserve"> </w:t>
      </w:r>
      <w:r>
        <w:t xml:space="preserve">at steady state. This figure is conservative because it embeds the assumption that only 60% of signals align with favorable carry differentials; in practice, with the USD regime model described below, alignment may exceed 70%.</w:t>
      </w:r>
    </w:p>
    <w:bookmarkEnd w:id="182"/>
    <w:bookmarkEnd w:id="183"/>
    <w:bookmarkStart w:id="194" w:name="forex-strategy-enhancement"/>
    <w:p>
      <w:pPr>
        <w:pStyle w:val="Heading3"/>
      </w:pPr>
      <w:r>
        <w:t xml:space="preserve">3.3 Forex Strategy Enhancement</w:t>
      </w:r>
    </w:p>
    <w:bookmarkStart w:id="189" w:name="g10-carry-factor-sleeve"/>
    <w:p>
      <w:pPr>
        <w:pStyle w:val="Heading4"/>
      </w:pPr>
      <w:r>
        <w:t xml:space="preserve">3.3.1 G10 Carry Factor Sleeve</w:t>
      </w:r>
    </w:p>
    <w:p>
      <w:pPr>
        <w:pStyle w:val="FirstParagraph"/>
      </w:pPr>
      <w:r>
        <w:t xml:space="preserve">The G10 carry trade represents one of the most extensively documented anomalies in international finance. Burnside, Eichenbaum, and Rebelo (2011) demonstrate that a diversified carry trade portfolio generates an annualized payoff of 4.5% with a standard deviation of 5.2%, yielding a Sharpe ratio of</w:t>
      </w:r>
      <w:r>
        <w:t xml:space="preserve"> </w:t>
      </w:r>
      <w:r>
        <w:rPr>
          <w:bCs/>
          <w:b/>
        </w:rPr>
        <w:t xml:space="preserve">0.86</w:t>
      </w:r>
      <w:r>
        <w:t xml:space="preserve"> </w:t>
      </w:r>
      <w:r>
        <w:t xml:space="preserve">on a portfolio of 20 currencies</w:t>
      </w:r>
      <w:r>
        <w:t xml:space="preserve"> </w:t>
      </w:r>
      <w:r>
        <w:rPr>
          <w:rStyle w:val="FootnoteReference"/>
        </w:rPr>
        <w:footnoteReference w:id="184"/>
      </w:r>
      <w:r>
        <w:t xml:space="preserve">. Diversification across currency pairs reduces volatility by more than 50% relative to single-pair carry trades. In the current rate environment (May 2026), the dispersion between the highest and lowest G10 policy rates creates exceptional carry opportunities.</w:t>
      </w:r>
    </w:p>
    <w:p>
      <w:pPr>
        <w:pStyle w:val="BodyText"/>
      </w:pPr>
      <w:r>
        <w:rPr>
          <w:bCs/>
          <w:b/>
        </w:rPr>
        <w:t xml:space="preserve">Table 3: G10 Carry Spread Opportunity Matrix</w:t>
      </w:r>
    </w:p>
    <w:tbl>
      <w:tblPr>
        <w:tblStyle w:val="Table"/>
        <w:tblW w:type="pct" w:w="5000"/>
        <w:tblLook w:firstRow="1" w:lastRow="0" w:firstColumn="0" w:lastColumn="0" w:noHBand="0" w:noVBand="0" w:val="0020"/>
      </w:tblPr>
      <w:tblGrid>
        <w:gridCol w:w="522"/>
        <w:gridCol w:w="1653"/>
        <w:gridCol w:w="1479"/>
        <w:gridCol w:w="696"/>
        <w:gridCol w:w="1653"/>
        <w:gridCol w:w="609"/>
        <w:gridCol w:w="1305"/>
      </w:tblGrid>
      <w:tr>
        <w:trPr>
          <w:tblHeader w:val="true"/>
        </w:trPr>
        <w:tc>
          <w:tcPr/>
          <w:p>
            <w:pPr>
              <w:pStyle w:val="Compact"/>
              <w:jc w:val="left"/>
            </w:pPr>
            <w:r>
              <w:t xml:space="preserve">Pair</w:t>
            </w:r>
          </w:p>
        </w:tc>
        <w:tc>
          <w:tcPr/>
          <w:p>
            <w:pPr>
              <w:pStyle w:val="Compact"/>
              <w:jc w:val="left"/>
            </w:pPr>
            <w:r>
              <w:t xml:space="preserve">Investment Currency</w:t>
            </w:r>
          </w:p>
        </w:tc>
        <w:tc>
          <w:tcPr/>
          <w:p>
            <w:pPr>
              <w:pStyle w:val="Compact"/>
              <w:jc w:val="left"/>
            </w:pPr>
            <w:r>
              <w:t xml:space="preserve">Funding Currency</w:t>
            </w:r>
          </w:p>
        </w:tc>
        <w:tc>
          <w:tcPr/>
          <w:p>
            <w:pPr>
              <w:pStyle w:val="Compact"/>
              <w:jc w:val="left"/>
            </w:pPr>
            <w:r>
              <w:t xml:space="preserve">Spread</w:t>
            </w:r>
          </w:p>
        </w:tc>
        <w:tc>
          <w:tcPr/>
          <w:p>
            <w:pPr>
              <w:pStyle w:val="Compact"/>
              <w:jc w:val="left"/>
            </w:pPr>
            <w:r>
              <w:t xml:space="preserve">Net Carry/yr ($10K)</w:t>
            </w:r>
          </w:p>
        </w:tc>
        <w:tc>
          <w:tcPr/>
          <w:p>
            <w:pPr>
              <w:pStyle w:val="Compact"/>
              <w:jc w:val="left"/>
            </w:pPr>
            <w:r>
              <w:t xml:space="preserve">Grade</w:t>
            </w:r>
          </w:p>
        </w:tc>
        <w:tc>
          <w:tcPr/>
          <w:p>
            <w:pPr>
              <w:pStyle w:val="Compact"/>
              <w:jc w:val="left"/>
            </w:pPr>
            <w:r>
              <w:t xml:space="preserve">Break-Even WR*</w:t>
            </w:r>
          </w:p>
        </w:tc>
      </w:tr>
      <w:tr>
        <w:tc>
          <w:tcPr/>
          <w:p>
            <w:pPr>
              <w:pStyle w:val="Compact"/>
              <w:jc w:val="left"/>
            </w:pPr>
            <w:r>
              <w:t xml:space="preserve">USDCHF</w:t>
            </w:r>
          </w:p>
        </w:tc>
        <w:tc>
          <w:tcPr/>
          <w:p>
            <w:pPr>
              <w:pStyle w:val="Compact"/>
              <w:jc w:val="left"/>
            </w:pPr>
            <w:r>
              <w:t xml:space="preserve">USD (4.75%)</w:t>
            </w:r>
          </w:p>
        </w:tc>
        <w:tc>
          <w:tcPr/>
          <w:p>
            <w:pPr>
              <w:pStyle w:val="Compact"/>
              <w:jc w:val="left"/>
            </w:pPr>
            <w:r>
              <w:t xml:space="preserve">CHF (0.00%)</w:t>
            </w:r>
          </w:p>
        </w:tc>
        <w:tc>
          <w:tcPr/>
          <w:p>
            <w:pPr>
              <w:pStyle w:val="Compact"/>
              <w:jc w:val="left"/>
            </w:pPr>
            <w:r>
              <w:t xml:space="preserve">4.75%</w:t>
            </w:r>
          </w:p>
        </w:tc>
        <w:tc>
          <w:tcPr/>
          <w:p>
            <w:pPr>
              <w:pStyle w:val="Compact"/>
              <w:jc w:val="left"/>
            </w:pPr>
            <w:r>
              <w:t xml:space="preserve">$455 (4.55%)</w:t>
            </w:r>
          </w:p>
        </w:tc>
        <w:tc>
          <w:tcPr/>
          <w:p>
            <w:pPr>
              <w:pStyle w:val="Compact"/>
              <w:jc w:val="left"/>
            </w:pPr>
            <w:r>
              <w:t xml:space="preserve">A+</w:t>
            </w:r>
          </w:p>
        </w:tc>
        <w:tc>
          <w:tcPr/>
          <w:p>
            <w:pPr>
              <w:pStyle w:val="Compact"/>
              <w:jc w:val="left"/>
            </w:pPr>
            <w:r>
              <w:t xml:space="preserve">21.1%</w:t>
            </w:r>
          </w:p>
        </w:tc>
      </w:tr>
      <w:tr>
        <w:tc>
          <w:tcPr/>
          <w:p>
            <w:pPr>
              <w:pStyle w:val="Compact"/>
              <w:jc w:val="left"/>
            </w:pPr>
            <w:r>
              <w:t xml:space="preserve">AUDCHF</w:t>
            </w:r>
          </w:p>
        </w:tc>
        <w:tc>
          <w:tcPr/>
          <w:p>
            <w:pPr>
              <w:pStyle w:val="Compact"/>
              <w:jc w:val="left"/>
            </w:pPr>
            <w:r>
              <w:t xml:space="preserve">AUD (4.35%)</w:t>
            </w:r>
          </w:p>
        </w:tc>
        <w:tc>
          <w:tcPr/>
          <w:p>
            <w:pPr>
              <w:pStyle w:val="Compact"/>
              <w:jc w:val="left"/>
            </w:pPr>
            <w:r>
              <w:t xml:space="preserve">CHF (0.00%)</w:t>
            </w:r>
          </w:p>
        </w:tc>
        <w:tc>
          <w:tcPr/>
          <w:p>
            <w:pPr>
              <w:pStyle w:val="Compact"/>
              <w:jc w:val="left"/>
            </w:pPr>
            <w:r>
              <w:t xml:space="preserve">4.35%</w:t>
            </w:r>
          </w:p>
        </w:tc>
        <w:tc>
          <w:tcPr/>
          <w:p>
            <w:pPr>
              <w:pStyle w:val="Compact"/>
              <w:jc w:val="left"/>
            </w:pPr>
            <w:r>
              <w:t xml:space="preserve">$415 (4.15%)</w:t>
            </w:r>
          </w:p>
        </w:tc>
        <w:tc>
          <w:tcPr/>
          <w:p>
            <w:pPr>
              <w:pStyle w:val="Compact"/>
              <w:jc w:val="left"/>
            </w:pPr>
            <w:r>
              <w:t xml:space="preserve">A+</w:t>
            </w:r>
          </w:p>
        </w:tc>
        <w:tc>
          <w:tcPr/>
          <w:p>
            <w:pPr>
              <w:pStyle w:val="Compact"/>
              <w:jc w:val="left"/>
            </w:pPr>
            <w:r>
              <w:t xml:space="preserve">21.1%</w:t>
            </w:r>
          </w:p>
        </w:tc>
      </w:tr>
      <w:tr>
        <w:tc>
          <w:tcPr/>
          <w:p>
            <w:pPr>
              <w:pStyle w:val="Compact"/>
              <w:jc w:val="left"/>
            </w:pPr>
            <w:r>
              <w:t xml:space="preserve">NOKCHF</w:t>
            </w:r>
          </w:p>
        </w:tc>
        <w:tc>
          <w:tcPr/>
          <w:p>
            <w:pPr>
              <w:pStyle w:val="Compact"/>
              <w:jc w:val="left"/>
            </w:pPr>
            <w:r>
              <w:t xml:space="preserve">NOK (4.00%)</w:t>
            </w:r>
          </w:p>
        </w:tc>
        <w:tc>
          <w:tcPr/>
          <w:p>
            <w:pPr>
              <w:pStyle w:val="Compact"/>
              <w:jc w:val="left"/>
            </w:pPr>
            <w:r>
              <w:t xml:space="preserve">CHF (0.00%)</w:t>
            </w:r>
          </w:p>
        </w:tc>
        <w:tc>
          <w:tcPr/>
          <w:p>
            <w:pPr>
              <w:pStyle w:val="Compact"/>
              <w:jc w:val="left"/>
            </w:pPr>
            <w:r>
              <w:t xml:space="preserve">4.00%</w:t>
            </w:r>
          </w:p>
        </w:tc>
        <w:tc>
          <w:tcPr/>
          <w:p>
            <w:pPr>
              <w:pStyle w:val="Compact"/>
              <w:jc w:val="left"/>
            </w:pPr>
            <w:r>
              <w:t xml:space="preserve">$380 (3.80%)</w:t>
            </w:r>
          </w:p>
        </w:tc>
        <w:tc>
          <w:tcPr/>
          <w:p>
            <w:pPr>
              <w:pStyle w:val="Compact"/>
              <w:jc w:val="left"/>
            </w:pPr>
            <w:r>
              <w:t xml:space="preserve">A</w:t>
            </w:r>
          </w:p>
        </w:tc>
        <w:tc>
          <w:tcPr/>
          <w:p>
            <w:pPr>
              <w:pStyle w:val="Compact"/>
              <w:jc w:val="left"/>
            </w:pPr>
            <w:r>
              <w:t xml:space="preserve">21.1%</w:t>
            </w:r>
          </w:p>
        </w:tc>
      </w:tr>
      <w:tr>
        <w:tc>
          <w:tcPr/>
          <w:p>
            <w:pPr>
              <w:pStyle w:val="Compact"/>
              <w:jc w:val="left"/>
            </w:pPr>
            <w:r>
              <w:t xml:space="preserve">USDJPY</w:t>
            </w:r>
          </w:p>
        </w:tc>
        <w:tc>
          <w:tcPr/>
          <w:p>
            <w:pPr>
              <w:pStyle w:val="Compact"/>
              <w:jc w:val="left"/>
            </w:pPr>
            <w:r>
              <w:t xml:space="preserve">USD (4.75%)</w:t>
            </w:r>
          </w:p>
        </w:tc>
        <w:tc>
          <w:tcPr/>
          <w:p>
            <w:pPr>
              <w:pStyle w:val="Compact"/>
              <w:jc w:val="left"/>
            </w:pPr>
            <w:r>
              <w:t xml:space="preserve">JPY (0.75%)</w:t>
            </w:r>
          </w:p>
        </w:tc>
        <w:tc>
          <w:tcPr/>
          <w:p>
            <w:pPr>
              <w:pStyle w:val="Compact"/>
              <w:jc w:val="left"/>
            </w:pPr>
            <w:r>
              <w:t xml:space="preserve">4.00%</w:t>
            </w:r>
          </w:p>
        </w:tc>
        <w:tc>
          <w:tcPr/>
          <w:p>
            <w:pPr>
              <w:pStyle w:val="Compact"/>
              <w:jc w:val="left"/>
            </w:pPr>
            <w:r>
              <w:t xml:space="preserve">$380 (3.80%)</w:t>
            </w:r>
          </w:p>
        </w:tc>
        <w:tc>
          <w:tcPr/>
          <w:p>
            <w:pPr>
              <w:pStyle w:val="Compact"/>
              <w:jc w:val="left"/>
            </w:pPr>
            <w:r>
              <w:t xml:space="preserve">A</w:t>
            </w:r>
          </w:p>
        </w:tc>
        <w:tc>
          <w:tcPr/>
          <w:p>
            <w:pPr>
              <w:pStyle w:val="Compact"/>
              <w:jc w:val="left"/>
            </w:pPr>
            <w:r>
              <w:t xml:space="preserve">21.1%</w:t>
            </w:r>
          </w:p>
        </w:tc>
      </w:tr>
      <w:tr>
        <w:tc>
          <w:tcPr/>
          <w:p>
            <w:pPr>
              <w:pStyle w:val="Compact"/>
              <w:jc w:val="left"/>
            </w:pPr>
            <w:r>
              <w:t xml:space="preserve">GBPCHF</w:t>
            </w:r>
          </w:p>
        </w:tc>
        <w:tc>
          <w:tcPr/>
          <w:p>
            <w:pPr>
              <w:pStyle w:val="Compact"/>
              <w:jc w:val="left"/>
            </w:pPr>
            <w:r>
              <w:t xml:space="preserve">GBP (3.75%)</w:t>
            </w:r>
          </w:p>
        </w:tc>
        <w:tc>
          <w:tcPr/>
          <w:p>
            <w:pPr>
              <w:pStyle w:val="Compact"/>
              <w:jc w:val="left"/>
            </w:pPr>
            <w:r>
              <w:t xml:space="preserve">CHF (0.00%)</w:t>
            </w:r>
          </w:p>
        </w:tc>
        <w:tc>
          <w:tcPr/>
          <w:p>
            <w:pPr>
              <w:pStyle w:val="Compact"/>
              <w:jc w:val="left"/>
            </w:pPr>
            <w:r>
              <w:t xml:space="preserve">3.75%</w:t>
            </w:r>
          </w:p>
        </w:tc>
        <w:tc>
          <w:tcPr/>
          <w:p>
            <w:pPr>
              <w:pStyle w:val="Compact"/>
              <w:jc w:val="left"/>
            </w:pPr>
            <w:r>
              <w:t xml:space="preserve">$355 (3.55%)</w:t>
            </w:r>
          </w:p>
        </w:tc>
        <w:tc>
          <w:tcPr/>
          <w:p>
            <w:pPr>
              <w:pStyle w:val="Compact"/>
              <w:jc w:val="left"/>
            </w:pPr>
            <w:r>
              <w:t xml:space="preserve">A</w:t>
            </w:r>
          </w:p>
        </w:tc>
        <w:tc>
          <w:tcPr/>
          <w:p>
            <w:pPr>
              <w:pStyle w:val="Compact"/>
              <w:jc w:val="left"/>
            </w:pPr>
            <w:r>
              <w:t xml:space="preserve">21.1%</w:t>
            </w:r>
          </w:p>
        </w:tc>
      </w:tr>
      <w:tr>
        <w:tc>
          <w:tcPr/>
          <w:p>
            <w:pPr>
              <w:pStyle w:val="Compact"/>
              <w:jc w:val="left"/>
            </w:pPr>
            <w:r>
              <w:t xml:space="preserve">AUDJPY</w:t>
            </w:r>
          </w:p>
        </w:tc>
        <w:tc>
          <w:tcPr/>
          <w:p>
            <w:pPr>
              <w:pStyle w:val="Compact"/>
              <w:jc w:val="left"/>
            </w:pPr>
            <w:r>
              <w:t xml:space="preserve">AUD (4.35%)</w:t>
            </w:r>
          </w:p>
        </w:tc>
        <w:tc>
          <w:tcPr/>
          <w:p>
            <w:pPr>
              <w:pStyle w:val="Compact"/>
              <w:jc w:val="left"/>
            </w:pPr>
            <w:r>
              <w:t xml:space="preserve">JPY (0.75%)</w:t>
            </w:r>
          </w:p>
        </w:tc>
        <w:tc>
          <w:tcPr/>
          <w:p>
            <w:pPr>
              <w:pStyle w:val="Compact"/>
              <w:jc w:val="left"/>
            </w:pPr>
            <w:r>
              <w:t xml:space="preserve">3.60%</w:t>
            </w:r>
          </w:p>
        </w:tc>
        <w:tc>
          <w:tcPr/>
          <w:p>
            <w:pPr>
              <w:pStyle w:val="Compact"/>
              <w:jc w:val="left"/>
            </w:pPr>
            <w:r>
              <w:t xml:space="preserve">$340 (3.40%)</w:t>
            </w:r>
          </w:p>
        </w:tc>
        <w:tc>
          <w:tcPr/>
          <w:p>
            <w:pPr>
              <w:pStyle w:val="Compact"/>
              <w:jc w:val="left"/>
            </w:pPr>
            <w:r>
              <w:t xml:space="preserve">A-</w:t>
            </w:r>
          </w:p>
        </w:tc>
        <w:tc>
          <w:tcPr/>
          <w:p>
            <w:pPr>
              <w:pStyle w:val="Compact"/>
              <w:jc w:val="left"/>
            </w:pPr>
            <w:r>
              <w:t xml:space="preserve">21.2%</w:t>
            </w:r>
          </w:p>
        </w:tc>
      </w:tr>
    </w:tbl>
    <w:p>
      <w:pPr>
        <w:pStyle w:val="BodyText"/>
      </w:pPr>
      <w:r>
        <w:t xml:space="preserve">*Break-even WR assumes 3.74R avg win, 1.00R avg loss, and 5bp transaction cost per round-trip.</w:t>
      </w:r>
    </w:p>
    <w:p>
      <w:pPr>
        <w:pStyle w:val="CaptionedFigure"/>
      </w:pPr>
      <w:r>
        <w:drawing>
          <wp:inline>
            <wp:extent cx="5334000" cy="2895445"/>
            <wp:effectExtent b="0" l="0" r="0" t="0"/>
            <wp:docPr descr="G10 Carry Spread Opportunity Matrix" title="" id="186" name="Picture"/>
            <a:graphic>
              <a:graphicData uri="http://schemas.openxmlformats.org/drawingml/2006/picture">
                <pic:pic>
                  <pic:nvPicPr>
                    <pic:cNvPr descr="g10_carry_spread_matrix.png" id="187" name="Picture"/>
                    <pic:cNvPicPr>
                      <a:picLocks noChangeArrowheads="1" noChangeAspect="1"/>
                    </pic:cNvPicPr>
                  </pic:nvPicPr>
                  <pic:blipFill>
                    <a:blip r:embed="rId185"/>
                    <a:stretch>
                      <a:fillRect/>
                    </a:stretch>
                  </pic:blipFill>
                  <pic:spPr bwMode="auto">
                    <a:xfrm>
                      <a:off x="0" y="0"/>
                      <a:ext cx="5334000" cy="2895445"/>
                    </a:xfrm>
                    <a:prstGeom prst="rect">
                      <a:avLst/>
                    </a:prstGeom>
                    <a:noFill/>
                    <a:ln w="9525">
                      <a:noFill/>
                      <a:headEnd/>
                      <a:tailEnd/>
                    </a:ln>
                  </pic:spPr>
                </pic:pic>
              </a:graphicData>
            </a:graphic>
          </wp:inline>
        </w:drawing>
      </w:r>
    </w:p>
    <w:p>
      <w:pPr>
        <w:pStyle w:val="ImageCaption"/>
      </w:pPr>
      <w:r>
        <w:t xml:space="preserve">G10 Carry Spread Opportunity Matrix</w:t>
      </w:r>
    </w:p>
    <w:p>
      <w:pPr>
        <w:pStyle w:val="BodyText"/>
      </w:pPr>
      <w:r>
        <w:t xml:space="preserve">The CHF and JPY serve as the optimal funding currencies given the Swiss National Bank’s 0.00% policy rate and the Bank of Japan’s 0.75% rate. The Reserve Bank of Australia’s hiking cycle (current rate 4.35%) and the Federal Reserve’s elevated 4.75% rate create the widest spreads. The Norges Bank at 4.00% offers a secondary high-yield European option with lower correlation to USD positions.</w:t>
      </w:r>
    </w:p>
    <w:p>
      <w:pPr>
        <w:pStyle w:val="BodyText"/>
      </w:pPr>
      <w:r>
        <w:t xml:space="preserve">The carry sleeve is implemented as a directional overlay: when the signal direction aligns with positive carry (e.g., long USD/short CHF when USD yields more than CHF), position size increases by 20%. When opposed, size reduces by 15%. This asymmetric sizing reflects the positive expected value of carry: even a randomly timed carry trade has positive expectancy when the interest differential exceeds transaction costs</w:t>
      </w:r>
      <w:r>
        <w:t xml:space="preserve"> </w:t>
      </w:r>
      <w:r>
        <w:rPr>
          <w:rStyle w:val="FootnoteReference"/>
        </w:rPr>
        <w:footnoteReference w:id="188"/>
      </w:r>
      <w:r>
        <w:t xml:space="preserve">. With transaction costs of 0.29bp for USDCHF (spread + slippage) against a 4.75% annual carry, the break-even holding period is just 22 hours—well within the typical signal holding window.</w:t>
      </w:r>
    </w:p>
    <w:bookmarkEnd w:id="189"/>
    <w:bookmarkStart w:id="191" w:name="factor-momentum-overlay"/>
    <w:p>
      <w:pPr>
        <w:pStyle w:val="Heading4"/>
      </w:pPr>
      <w:r>
        <w:t xml:space="preserve">3.3.2 Factor Momentum Overlay</w:t>
      </w:r>
    </w:p>
    <w:p>
      <w:pPr>
        <w:pStyle w:val="FirstParagraph"/>
      </w:pPr>
      <w:r>
        <w:t xml:space="preserve">Beyond the carry sleeve, factor momentum on currency factors provides an additional alpha source. Recent work in the</w:t>
      </w:r>
      <w:r>
        <w:t xml:space="preserve"> </w:t>
      </w:r>
      <w:r>
        <w:rPr>
          <w:iCs/>
          <w:i/>
        </w:rPr>
        <w:t xml:space="preserve">Journal of Financial Economics</w:t>
      </w:r>
      <w:r>
        <w:t xml:space="preserve"> </w:t>
      </w:r>
      <w:r>
        <w:t xml:space="preserve">(Zhang, 2021) demonstrates that time-series momentum applied to carry and dollar factors generates Sharpe ratios of</w:t>
      </w:r>
      <w:r>
        <w:t xml:space="preserve"> </w:t>
      </w:r>
      <w:r>
        <w:rPr>
          <w:bCs/>
          <w:b/>
        </w:rPr>
        <w:t xml:space="preserve">0.84–0.94</w:t>
      </w:r>
      <w:r>
        <w:t xml:space="preserve"> </w:t>
      </w:r>
      <w:r>
        <w:t xml:space="preserve">with 1–3 month formation periods</w:t>
      </w:r>
      <w:r>
        <w:t xml:space="preserve"> </w:t>
      </w:r>
      <w:r>
        <w:rPr>
          <w:rStyle w:val="FootnoteReference"/>
        </w:rPr>
        <w:footnoteReference w:id="190"/>
      </w:r>
      <w:r>
        <w:t xml:space="preserve">. This exceeds traditional currency momentum Sharpe ratios of approximately 0.60 because factor momentum exploits autocorrelation in the underlying risk premium components rather than idiosyncratic price movements. The key construction is straightforward: long the carry factor when its past 3-month return is positive, short when negative; apply the same rule to the dollar factor; equal-weight the two signals. Volatility scaling to an 8% annualized target provides consistent risk-adjusted returns with correlation to equity markets of approximately 0.15, offering genuine diversification.</w:t>
      </w:r>
    </w:p>
    <w:bookmarkEnd w:id="191"/>
    <w:bookmarkStart w:id="193" w:name="transaction-cost-model"/>
    <w:p>
      <w:pPr>
        <w:pStyle w:val="Heading4"/>
      </w:pPr>
      <w:r>
        <w:t xml:space="preserve">3.3.3 Transaction Cost Model</w:t>
      </w:r>
    </w:p>
    <w:p>
      <w:pPr>
        <w:pStyle w:val="FirstParagraph"/>
      </w:pPr>
      <w:r>
        <w:t xml:space="preserve">Accurate cost modeling is essential for forex because the high-frequency nature of scalps can render otherwise profitable signals uneconomic. The transaction cost model distinguishes between G10 majors (EURUSD, USDJPY, GBPUSD) and crosses (EURJPY, AUDJPY, GBPJPY).</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Pair Category</w:t>
            </w:r>
          </w:p>
        </w:tc>
        <w:tc>
          <w:tcPr/>
          <w:p>
            <w:pPr>
              <w:pStyle w:val="Compact"/>
              <w:jc w:val="left"/>
            </w:pPr>
            <w:r>
              <w:t xml:space="preserve">Spread (bp)</w:t>
            </w:r>
          </w:p>
        </w:tc>
        <w:tc>
          <w:tcPr/>
          <w:p>
            <w:pPr>
              <w:pStyle w:val="Compact"/>
              <w:jc w:val="left"/>
            </w:pPr>
            <w:r>
              <w:t xml:space="preserve">Slippage (bp)</w:t>
            </w:r>
          </w:p>
        </w:tc>
        <w:tc>
          <w:tcPr/>
          <w:p>
            <w:pPr>
              <w:pStyle w:val="Compact"/>
              <w:jc w:val="left"/>
            </w:pPr>
            <w:r>
              <w:t xml:space="preserve">Total Cost</w:t>
            </w:r>
          </w:p>
        </w:tc>
        <w:tc>
          <w:tcPr/>
          <w:p>
            <w:pPr>
              <w:pStyle w:val="Compact"/>
              <w:jc w:val="left"/>
            </w:pPr>
            <w:r>
              <w:t xml:space="preserve">Grade</w:t>
            </w:r>
          </w:p>
        </w:tc>
      </w:tr>
      <w:tr>
        <w:tc>
          <w:tcPr/>
          <w:p>
            <w:pPr>
              <w:pStyle w:val="Compact"/>
              <w:jc w:val="left"/>
            </w:pPr>
            <w:r>
              <w:t xml:space="preserve">G10 Majors</w:t>
            </w:r>
          </w:p>
        </w:tc>
        <w:tc>
          <w:tcPr/>
          <w:p>
            <w:pPr>
              <w:pStyle w:val="Compact"/>
              <w:jc w:val="left"/>
            </w:pPr>
            <w:r>
              <w:t xml:space="preserve">0.10–0.20</w:t>
            </w:r>
          </w:p>
        </w:tc>
        <w:tc>
          <w:tcPr/>
          <w:p>
            <w:pPr>
              <w:pStyle w:val="Compact"/>
              <w:jc w:val="left"/>
            </w:pPr>
            <w:r>
              <w:t xml:space="preserve">0.05–0.08</w:t>
            </w:r>
          </w:p>
        </w:tc>
        <w:tc>
          <w:tcPr/>
          <w:p>
            <w:pPr>
              <w:pStyle w:val="Compact"/>
              <w:jc w:val="left"/>
            </w:pPr>
            <w:r>
              <w:rPr>
                <w:bCs/>
                <w:b/>
              </w:rPr>
              <w:t xml:space="preserve">0.15–0.28</w:t>
            </w:r>
          </w:p>
        </w:tc>
        <w:tc>
          <w:tcPr/>
          <w:p>
            <w:pPr>
              <w:pStyle w:val="Compact"/>
              <w:jc w:val="left"/>
            </w:pPr>
            <w:r>
              <w:t xml:space="preserve">A</w:t>
            </w:r>
          </w:p>
        </w:tc>
      </w:tr>
      <w:tr>
        <w:tc>
          <w:tcPr/>
          <w:p>
            <w:pPr>
              <w:pStyle w:val="Compact"/>
              <w:jc w:val="left"/>
            </w:pPr>
            <w:r>
              <w:t xml:space="preserve">G10 Minors</w:t>
            </w:r>
          </w:p>
        </w:tc>
        <w:tc>
          <w:tcPr/>
          <w:p>
            <w:pPr>
              <w:pStyle w:val="Compact"/>
              <w:jc w:val="left"/>
            </w:pPr>
            <w:r>
              <w:t xml:space="preserve">0.20–0.35</w:t>
            </w:r>
          </w:p>
        </w:tc>
        <w:tc>
          <w:tcPr/>
          <w:p>
            <w:pPr>
              <w:pStyle w:val="Compact"/>
              <w:jc w:val="left"/>
            </w:pPr>
            <w:r>
              <w:t xml:space="preserve">0.08–0.12</w:t>
            </w:r>
          </w:p>
        </w:tc>
        <w:tc>
          <w:tcPr/>
          <w:p>
            <w:pPr>
              <w:pStyle w:val="Compact"/>
              <w:jc w:val="left"/>
            </w:pPr>
            <w:r>
              <w:rPr>
                <w:bCs/>
                <w:b/>
              </w:rPr>
              <w:t xml:space="preserve">0.28–0.47</w:t>
            </w:r>
          </w:p>
        </w:tc>
        <w:tc>
          <w:tcPr/>
          <w:p>
            <w:pPr>
              <w:pStyle w:val="Compact"/>
              <w:jc w:val="left"/>
            </w:pPr>
            <w:r>
              <w:t xml:space="preserve">B–C</w:t>
            </w:r>
          </w:p>
        </w:tc>
      </w:tr>
      <w:tr>
        <w:tc>
          <w:tcPr/>
          <w:p>
            <w:pPr>
              <w:pStyle w:val="Compact"/>
              <w:jc w:val="left"/>
            </w:pPr>
            <w:r>
              <w:t xml:space="preserve">Cross Pairs</w:t>
            </w:r>
          </w:p>
        </w:tc>
        <w:tc>
          <w:tcPr/>
          <w:p>
            <w:pPr>
              <w:pStyle w:val="Compact"/>
              <w:jc w:val="left"/>
            </w:pPr>
            <w:r>
              <w:t xml:space="preserve">0.70–0.80</w:t>
            </w:r>
          </w:p>
        </w:tc>
        <w:tc>
          <w:tcPr/>
          <w:p>
            <w:pPr>
              <w:pStyle w:val="Compact"/>
              <w:jc w:val="left"/>
            </w:pPr>
            <w:r>
              <w:t xml:space="preserve">0.25–0.30</w:t>
            </w:r>
          </w:p>
        </w:tc>
        <w:tc>
          <w:tcPr/>
          <w:p>
            <w:pPr>
              <w:pStyle w:val="Compact"/>
              <w:jc w:val="left"/>
            </w:pPr>
            <w:r>
              <w:rPr>
                <w:bCs/>
                <w:b/>
              </w:rPr>
              <w:t xml:space="preserve">0.95–1.10</w:t>
            </w:r>
          </w:p>
        </w:tc>
        <w:tc>
          <w:tcPr/>
          <w:p>
            <w:pPr>
              <w:pStyle w:val="Compact"/>
              <w:jc w:val="left"/>
            </w:pPr>
            <w:r>
              <w:t xml:space="preserve">D</w:t>
            </w:r>
          </w:p>
        </w:tc>
      </w:tr>
    </w:tbl>
    <w:p>
      <w:pPr>
        <w:pStyle w:val="BodyText"/>
      </w:pPr>
      <w:r>
        <w:t xml:space="preserve">The cost model is applied at the gate layer: signals on D-grade pairs (USDNOK, USDSEK) are rejected unless the expected gross PF exceeds 1.5, ensuring net profitability after the 1.10bp round-trip cost. For A-grade majors, the 0.15bp total cost is negligible relative to the 3.74R average win—it reduces effective PF by less than 0.5%. The 5bp floor for scalps, implemented in the v2 resolver, eliminates the noise-trades that previously contaminated the WR calculation: under the old 0.1bp threshold, 63.25% of forex</w:t>
      </w:r>
      <w:r>
        <w:t xml:space="preserve"> </w:t>
      </w:r>
      <w:r>
        <w:t xml:space="preserve">“</w:t>
      </w:r>
      <w:r>
        <w:t xml:space="preserve">wins</w:t>
      </w:r>
      <w:r>
        <w:t xml:space="preserve">”</w:t>
      </w:r>
      <w:r>
        <w:t xml:space="preserve"> </w:t>
      </w:r>
      <w:r>
        <w:t xml:space="preserve">were actually spread-flicker artifacts, not genuine edge</w:t>
      </w:r>
      <w:r>
        <w:t xml:space="preserve"> </w:t>
      </w:r>
      <w:r>
        <w:rPr>
          <w:rStyle w:val="FootnoteReference"/>
        </w:rPr>
        <w:footnoteReference w:id="192"/>
      </w:r>
      <w:r>
        <w:t xml:space="preserve">.</w:t>
      </w:r>
    </w:p>
    <w:bookmarkEnd w:id="193"/>
    <w:bookmarkEnd w:id="194"/>
    <w:bookmarkStart w:id="198" w:name="post-fix-filter-configuration"/>
    <w:p>
      <w:pPr>
        <w:pStyle w:val="Heading3"/>
      </w:pPr>
      <w:r>
        <w:t xml:space="preserve">3.4 Post-Fix Filter Configuration</w:t>
      </w:r>
    </w:p>
    <w:p>
      <w:pPr>
        <w:pStyle w:val="FirstParagraph"/>
      </w:pPr>
      <w:r>
        <w:t xml:space="preserve">The filter architecture for forex has been restructured to prevent recurrence of the bug-to-filter cascade. The post-fix configuration rests on four pillars designed to eliminate the feedback loops that amplified the measurement artifact.</w:t>
      </w:r>
    </w:p>
    <w:p>
      <w:pPr>
        <w:pStyle w:val="BodyText"/>
      </w:pPr>
      <w:r>
        <w:rPr>
          <w:bCs/>
          <w:b/>
        </w:rPr>
        <w:t xml:space="preserve">All banned symbols cleared.</w:t>
      </w:r>
      <w:r>
        <w:t xml:space="preserve"> </w:t>
      </w:r>
      <w:r>
        <w:t xml:space="preserve">As of 2026-05-02, the</w:t>
      </w:r>
      <w:r>
        <w:t xml:space="preserve"> </w:t>
      </w:r>
      <w:r>
        <w:rPr>
          <w:rStyle w:val="VerbatimChar"/>
        </w:rPr>
        <w:t xml:space="preserve">FOREX_BANNED_SYMBOLS</w:t>
      </w:r>
      <w:r>
        <w:t xml:space="preserve"> </w:t>
      </w:r>
      <w:r>
        <w:t xml:space="preserve">list is empty. The four previously banned pairs (EURUSD, GBPUSD, USDJPY, AUDUSD) are restored to the signal universe. This single change recovers approximately 35% of pre-cascade pick flow. Symbol bans are now subject to a 48-hour cooling-off period and require dual-confirmation (both automated flag and human review) before re-implementation.</w:t>
      </w:r>
    </w:p>
    <w:p>
      <w:pPr>
        <w:pStyle w:val="BodyText"/>
      </w:pPr>
      <w:r>
        <w:rPr>
          <w:bCs/>
          <w:b/>
        </w:rPr>
        <w:t xml:space="preserve">Confidence reject bands disabled.</w:t>
      </w:r>
      <w:r>
        <w:t xml:space="preserve"> </w:t>
      </w:r>
      <w:r>
        <w:t xml:space="preserve">The confidence-based rejection mechanism, which filtered approximately 25% of high-quality signals during the cascade, is suspended pending accumulation of</w:t>
      </w:r>
      <w:r>
        <w:t xml:space="preserve"> </w:t>
      </w:r>
      <m:oMath>
        <m:r>
          <m:t>n</m:t>
        </m:r>
        <m:r>
          <m:rPr>
            <m:sty m:val="p"/>
          </m:rPr>
          <m:t>≥</m:t>
        </m:r>
        <m:r>
          <m:t>100</m:t>
        </m:r>
      </m:oMath>
      <w:r>
        <w:t xml:space="preserve"> </w:t>
      </w:r>
      <w:r>
        <w:t xml:space="preserve">post-v2 trades. The pre-v2 confidence model was trained on contaminated data and therefore learned to reject the very signals that the bug was blocking. Re-enabling confidence bands before the post-fix sample is statistically robust risks re-introducing the same bias in a different form.</w:t>
      </w:r>
    </w:p>
    <w:p>
      <w:pPr>
        <w:pStyle w:val="BodyText"/>
      </w:pPr>
      <w:r>
        <w:rPr>
          <w:bCs/>
          <w:b/>
        </w:rPr>
        <w:t xml:space="preserve">5bp floor for scalps.</w:t>
      </w:r>
      <w:r>
        <w:t xml:space="preserve"> </w:t>
      </w:r>
      <w:r>
        <w:t xml:space="preserve">The v2 resolver’s asset-class-gated threshold system replaces the legacy 0.1bp single threshold with a 5bp floor for all non-crypto asset classes. For forex specifically, 5bp represents approximately one-sixth of the typical TP distance on major pairs, ensuring that only genuine edge—not spread noise—counts toward WR calculation. This change is projected to eliminate approximately 30% of noise trades while preserving 100% of legitimate winners</w:t>
      </w:r>
      <w:r>
        <w:t xml:space="preserve"> </w:t>
      </w:r>
      <w:r>
        <w:rPr>
          <w:rStyle w:val="FootnoteReference"/>
        </w:rPr>
        <w:footnoteReference w:id="195"/>
      </w:r>
      <w:r>
        <w:t xml:space="preserve">.</w:t>
      </w:r>
    </w:p>
    <w:p>
      <w:pPr>
        <w:pStyle w:val="BodyText"/>
      </w:pPr>
      <w:r>
        <w:rPr>
          <w:bCs/>
          <w:b/>
        </w:rPr>
        <w:t xml:space="preserve">autoRelax: floor 55% to 50% when</w:t>
      </w:r>
      <w:r>
        <w:rPr>
          <w:bCs/>
          <w:b/>
        </w:rPr>
        <w:t xml:space="preserve"> </w:t>
      </w:r>
      <w:r>
        <w:rPr>
          <w:rStyle w:val="VerbatimChar"/>
          <w:bCs/>
          <w:b/>
        </w:rPr>
        <w:t xml:space="preserve">fwdN &lt; 20</w:t>
      </w:r>
      <w:r>
        <w:rPr>
          <w:bCs/>
          <w:b/>
        </w:rPr>
        <w:t xml:space="preserve">.</w:t>
      </w:r>
      <w:r>
        <w:t xml:space="preserve"> </w:t>
      </w:r>
      <w:r>
        <w:t xml:space="preserve">The forward-looking WR floor now relaxes from 55% to 50% when the forward observation count is below 20. This relaxation is critical for forex because the bug destroyed recent forward data, leaving most pairs with</w:t>
      </w:r>
      <w:r>
        <w:t xml:space="preserve"> </w:t>
      </w:r>
      <w:r>
        <w:rPr>
          <w:rStyle w:val="VerbatimChar"/>
        </w:rPr>
        <w:t xml:space="preserve">fwdN</w:t>
      </w:r>
      <w:r>
        <w:t xml:space="preserve"> </w:t>
      </w:r>
      <w:r>
        <w:t xml:space="preserve">in the single digits. The 50% floor aligns with the trusted filter’s true WR of 48.7%: demanding 55% when the true rate is 49% creates a filter that blocks valid signals 62% of the time (by one-sided normal approximation). The autoRelax parameter self-adjusts as</w:t>
      </w:r>
      <w:r>
        <w:t xml:space="preserve"> </w:t>
      </w:r>
      <w:r>
        <w:rPr>
          <w:rStyle w:val="VerbatimChar"/>
        </w:rPr>
        <w:t xml:space="preserve">fwdN</w:t>
      </w:r>
      <w:r>
        <w:t xml:space="preserve"> </w:t>
      </w:r>
      <w:r>
        <w:t xml:space="preserve">grows, restoring the 55% floor once 20+ observations accumulate.</w:t>
      </w:r>
    </w:p>
    <w:tbl>
      <w:tblPr>
        <w:tblStyle w:val="Table"/>
        <w:tblW w:type="pct" w:w="5000"/>
        <w:tblLook w:firstRow="1" w:lastRow="0" w:firstColumn="0" w:lastColumn="0" w:noHBand="0" w:noVBand="0" w:val="0020"/>
      </w:tblPr>
      <w:tblGrid>
        <w:gridCol w:w="1382"/>
        <w:gridCol w:w="2388"/>
        <w:gridCol w:w="2765"/>
        <w:gridCol w:w="1382"/>
      </w:tblGrid>
      <w:tr>
        <w:trPr>
          <w:tblHeader w:val="true"/>
        </w:trPr>
        <w:tc>
          <w:tcPr/>
          <w:p>
            <w:pPr>
              <w:pStyle w:val="Compact"/>
              <w:jc w:val="left"/>
            </w:pPr>
            <w:r>
              <w:t xml:space="preserve">Parameter</w:t>
            </w:r>
          </w:p>
        </w:tc>
        <w:tc>
          <w:tcPr/>
          <w:p>
            <w:pPr>
              <w:pStyle w:val="Compact"/>
              <w:jc w:val="left"/>
            </w:pPr>
            <w:r>
              <w:t xml:space="preserve">Pre-Fix (Cascade)</w:t>
            </w:r>
          </w:p>
        </w:tc>
        <w:tc>
          <w:tcPr/>
          <w:p>
            <w:pPr>
              <w:pStyle w:val="Compact"/>
              <w:jc w:val="left"/>
            </w:pPr>
            <w:r>
              <w:t xml:space="preserve">Post-Fix (2026-05-02)</w:t>
            </w:r>
          </w:p>
        </w:tc>
        <w:tc>
          <w:tcPr/>
          <w:p>
            <w:pPr>
              <w:pStyle w:val="Compact"/>
              <w:jc w:val="left"/>
            </w:pPr>
            <w:r>
              <w:t xml:space="preserve">Rationale</w:t>
            </w:r>
          </w:p>
        </w:tc>
      </w:tr>
      <w:tr>
        <w:tc>
          <w:tcPr/>
          <w:p>
            <w:pPr>
              <w:pStyle w:val="Compact"/>
              <w:jc w:val="left"/>
            </w:pPr>
            <w:r>
              <w:rPr>
                <w:rStyle w:val="VerbatimChar"/>
              </w:rPr>
              <w:t xml:space="preserve">MAX_RESOLVE_RETRIES</w:t>
            </w:r>
          </w:p>
        </w:tc>
        <w:tc>
          <w:tcPr/>
          <w:p>
            <w:pPr>
              <w:pStyle w:val="Compact"/>
              <w:jc w:val="left"/>
            </w:pPr>
            <w:r>
              <w:t xml:space="preserve">Infinite (bug)</w:t>
            </w:r>
          </w:p>
        </w:tc>
        <w:tc>
          <w:tcPr/>
          <w:p>
            <w:pPr>
              <w:pStyle w:val="Compact"/>
              <w:jc w:val="left"/>
            </w:pPr>
            <w:r>
              <w:rPr>
                <w:bCs/>
                <w:b/>
              </w:rPr>
              <w:t xml:space="preserve">3</w:t>
            </w:r>
          </w:p>
        </w:tc>
        <w:tc>
          <w:tcPr/>
          <w:p>
            <w:pPr>
              <w:pStyle w:val="Compact"/>
              <w:jc w:val="left"/>
            </w:pPr>
            <w:r>
              <w:t xml:space="preserve">Prevents retry-loop trapping</w:t>
            </w:r>
          </w:p>
        </w:tc>
      </w:tr>
      <w:tr>
        <w:tc>
          <w:tcPr/>
          <w:p>
            <w:pPr>
              <w:pStyle w:val="Compact"/>
              <w:jc w:val="left"/>
            </w:pPr>
            <w:r>
              <w:rPr>
                <w:rStyle w:val="VerbatimChar"/>
              </w:rPr>
              <w:t xml:space="preserve">FOREX_BANNED_SYMBOLS</w:t>
            </w:r>
          </w:p>
        </w:tc>
        <w:tc>
          <w:tcPr/>
          <w:p>
            <w:pPr>
              <w:pStyle w:val="Compact"/>
              <w:jc w:val="left"/>
            </w:pPr>
            <w:r>
              <w:t xml:space="preserve">4 pairs banned</w:t>
            </w:r>
          </w:p>
        </w:tc>
        <w:tc>
          <w:tcPr/>
          <w:p>
            <w:pPr>
              <w:pStyle w:val="Compact"/>
              <w:jc w:val="left"/>
            </w:pPr>
            <w:r>
              <w:rPr>
                <w:bCs/>
                <w:b/>
              </w:rPr>
              <w:t xml:space="preserve">Cleared</w:t>
            </w:r>
          </w:p>
        </w:tc>
        <w:tc>
          <w:tcPr/>
          <w:p>
            <w:pPr>
              <w:pStyle w:val="Compact"/>
              <w:jc w:val="left"/>
            </w:pPr>
            <w:r>
              <w:t xml:space="preserve">Recovers 35% of pick flow</w:t>
            </w:r>
          </w:p>
        </w:tc>
      </w:tr>
      <w:tr>
        <w:tc>
          <w:tcPr/>
          <w:p>
            <w:pPr>
              <w:pStyle w:val="Compact"/>
              <w:jc w:val="left"/>
            </w:pPr>
            <w:r>
              <w:rPr>
                <w:rStyle w:val="VerbatimChar"/>
              </w:rPr>
              <w:t xml:space="preserve">FOREX_WIN_THRESHOLD_BP</w:t>
            </w:r>
          </w:p>
        </w:tc>
        <w:tc>
          <w:tcPr/>
          <w:p>
            <w:pPr>
              <w:pStyle w:val="Compact"/>
              <w:jc w:val="left"/>
            </w:pPr>
            <w:r>
              <w:t xml:space="preserve">0.1</w:t>
            </w:r>
          </w:p>
        </w:tc>
        <w:tc>
          <w:tcPr/>
          <w:p>
            <w:pPr>
              <w:pStyle w:val="Compact"/>
              <w:jc w:val="left"/>
            </w:pPr>
            <w:r>
              <w:rPr>
                <w:bCs/>
                <w:b/>
              </w:rPr>
              <w:t xml:space="preserve">5.0</w:t>
            </w:r>
          </w:p>
        </w:tc>
        <w:tc>
          <w:tcPr/>
          <w:p>
            <w:pPr>
              <w:pStyle w:val="Compact"/>
              <w:jc w:val="left"/>
            </w:pPr>
            <w:r>
              <w:t xml:space="preserve">Eliminates 63% noise-wins</w:t>
            </w:r>
          </w:p>
        </w:tc>
      </w:tr>
      <w:tr>
        <w:tc>
          <w:tcPr/>
          <w:p>
            <w:pPr>
              <w:pStyle w:val="Compact"/>
              <w:jc w:val="left"/>
            </w:pPr>
            <w:r>
              <w:t xml:space="preserve">Confidence reject bands</w:t>
            </w:r>
          </w:p>
        </w:tc>
        <w:tc>
          <w:tcPr/>
          <w:p>
            <w:pPr>
              <w:pStyle w:val="Compact"/>
              <w:jc w:val="left"/>
            </w:pPr>
            <w:r>
              <w:t xml:space="preserve">Enabled</w:t>
            </w:r>
          </w:p>
        </w:tc>
        <w:tc>
          <w:tcPr/>
          <w:p>
            <w:pPr>
              <w:pStyle w:val="Compact"/>
              <w:jc w:val="left"/>
            </w:pPr>
            <w:r>
              <w:rPr>
                <w:bCs/>
                <w:b/>
              </w:rPr>
              <w:t xml:space="preserve">Disabled</w:t>
            </w:r>
          </w:p>
        </w:tc>
        <w:tc>
          <w:tcPr/>
          <w:p>
            <w:pPr>
              <w:pStyle w:val="Compact"/>
              <w:jc w:val="left"/>
            </w:pPr>
            <w:r>
              <w:t xml:space="preserve">Prevents bias re-introduction</w:t>
            </w:r>
          </w:p>
        </w:tc>
      </w:tr>
      <w:tr>
        <w:tc>
          <w:tcPr/>
          <w:p>
            <w:pPr>
              <w:pStyle w:val="Compact"/>
              <w:jc w:val="left"/>
            </w:pPr>
            <w:r>
              <w:rPr>
                <w:rStyle w:val="VerbatimChar"/>
              </w:rPr>
              <w:t xml:space="preserve">forwardWRMinPct</w:t>
            </w:r>
          </w:p>
        </w:tc>
        <w:tc>
          <w:tcPr/>
          <w:p>
            <w:pPr>
              <w:pStyle w:val="Compact"/>
              <w:jc w:val="left"/>
            </w:pPr>
            <w:r>
              <w:t xml:space="preserve">70%</w:t>
            </w:r>
          </w:p>
        </w:tc>
        <w:tc>
          <w:tcPr/>
          <w:p>
            <w:pPr>
              <w:pStyle w:val="Compact"/>
              <w:jc w:val="left"/>
            </w:pPr>
            <w:r>
              <w:rPr>
                <w:bCs/>
                <w:b/>
              </w:rPr>
              <w:t xml:space="preserve">50%</w:t>
            </w:r>
            <w:r>
              <w:t xml:space="preserve"> </w:t>
            </w:r>
            <w:r>
              <w:t xml:space="preserve">(autoRelax)</w:t>
            </w:r>
          </w:p>
        </w:tc>
        <w:tc>
          <w:tcPr/>
          <w:p>
            <w:pPr>
              <w:pStyle w:val="Compact"/>
              <w:jc w:val="left"/>
            </w:pPr>
            <w:r>
              <w:t xml:space="preserve">Aligns with true 48.7% WR</w:t>
            </w:r>
          </w:p>
        </w:tc>
      </w:tr>
      <w:tr>
        <w:tc>
          <w:tcPr/>
          <w:p>
            <w:pPr>
              <w:pStyle w:val="Compact"/>
              <w:jc w:val="left"/>
            </w:pPr>
            <w:r>
              <w:t xml:space="preserve">Carry sleeve</w:t>
            </w:r>
          </w:p>
        </w:tc>
        <w:tc>
          <w:tcPr/>
          <w:p>
            <w:pPr>
              <w:pStyle w:val="Compact"/>
              <w:jc w:val="left"/>
            </w:pPr>
            <w:r>
              <w:t xml:space="preserve">Not implemented</w:t>
            </w:r>
          </w:p>
        </w:tc>
        <w:tc>
          <w:tcPr/>
          <w:p>
            <w:pPr>
              <w:pStyle w:val="Compact"/>
              <w:jc w:val="left"/>
            </w:pPr>
            <w:r>
              <w:rPr>
                <w:bCs/>
                <w:b/>
              </w:rPr>
              <w:t xml:space="preserve">G10 overlay</w:t>
            </w:r>
          </w:p>
        </w:tc>
        <w:tc>
          <w:tcPr/>
          <w:p>
            <w:pPr>
              <w:pStyle w:val="Compact"/>
              <w:jc w:val="left"/>
            </w:pPr>
            <w:r>
              <w:t xml:space="preserve">+15–20% PF improvement</w:t>
            </w:r>
          </w:p>
        </w:tc>
      </w:tr>
    </w:tbl>
    <w:p>
      <w:pPr>
        <w:pStyle w:val="BodyText"/>
      </w:pPr>
      <w:r>
        <w:t xml:space="preserve">The gate optimization research supports these changes with quantitative evidence from cross-asset analysis. The optimal forex gate configuration post-fix mandates a</w:t>
      </w:r>
      <w:r>
        <w:t xml:space="preserve"> </w:t>
      </w:r>
      <w:r>
        <w:rPr>
          <w:rStyle w:val="VerbatimChar"/>
        </w:rPr>
        <w:t xml:space="preserve">min_score</w:t>
      </w:r>
      <w:r>
        <w:t xml:space="preserve"> </w:t>
      </w:r>
      <w:r>
        <w:t xml:space="preserve">of 45,</w:t>
      </w:r>
      <w:r>
        <w:t xml:space="preserve"> </w:t>
      </w:r>
      <w:r>
        <w:rPr>
          <w:rStyle w:val="VerbatimChar"/>
        </w:rPr>
        <w:t xml:space="preserve">min_forward_wr</w:t>
      </w:r>
      <w:r>
        <w:t xml:space="preserve"> </w:t>
      </w:r>
      <w:r>
        <w:t xml:space="preserve">of 50% (with autoRelax),</w:t>
      </w:r>
      <w:r>
        <w:t xml:space="preserve"> </w:t>
      </w:r>
      <w:r>
        <w:rPr>
          <w:rStyle w:val="VerbatimChar"/>
        </w:rPr>
        <w:t xml:space="preserve">min_ml_score</w:t>
      </w:r>
      <w:r>
        <w:t xml:space="preserve"> </w:t>
      </w:r>
      <w:r>
        <w:t xml:space="preserve">of 0.75 (higher than other asset classes due to measurement challenges), and a</w:t>
      </w:r>
      <w:r>
        <w:t xml:space="preserve"> </w:t>
      </w:r>
      <w:r>
        <w:rPr>
          <w:rStyle w:val="VerbatimChar"/>
        </w:rPr>
        <w:t xml:space="preserve">min_rr</w:t>
      </w:r>
      <w:r>
        <w:t xml:space="preserve"> </w:t>
      </w:r>
      <w:r>
        <w:t xml:space="preserve">of 1.33</w:t>
      </w:r>
      <w:r>
        <w:t xml:space="preserve"> </w:t>
      </w:r>
      <w:r>
        <w:rPr>
          <w:rStyle w:val="FootnoteReference"/>
        </w:rPr>
        <w:footnoteReference w:id="196"/>
      </w:r>
      <w:r>
        <w:t xml:space="preserve">. Most critically, the</w:t>
      </w:r>
      <w:r>
        <w:t xml:space="preserve"> </w:t>
      </w:r>
      <w:r>
        <w:rPr>
          <w:bCs/>
          <w:b/>
        </w:rPr>
        <w:t xml:space="preserve">trusted filter is now mandatory</w:t>
      </w:r>
      <w:r>
        <w:t xml:space="preserve">: all forex signals must pass the independent validation path before being counted in dashboard aggregations. This architectural separation ensures that resolver bugs cannot contaminate performance metrics regardless of future code changes.</w:t>
      </w:r>
    </w:p>
    <w:p>
      <w:pPr>
        <w:pStyle w:val="BodyText"/>
      </w:pPr>
      <w:r>
        <w:t xml:space="preserve">The regime-stratified sizing model provides the final risk-control layer. Current market conditions (May 2026) feature an elevated DXY post-Iran conflict with elevated VIX, transitioning toward a</w:t>
      </w:r>
      <w:r>
        <w:t xml:space="preserve"> </w:t>
      </w:r>
      <w:r>
        <w:t xml:space="preserve">“</w:t>
      </w:r>
      <w:r>
        <w:t xml:space="preserve">Weak USD + Risk-Off</w:t>
      </w:r>
      <w:r>
        <w:t xml:space="preserve">”</w:t>
      </w:r>
      <w:r>
        <w:t xml:space="preserve"> </w:t>
      </w:r>
      <w:r>
        <w:t xml:space="preserve">regime as de-escalation hopes build</w:t>
      </w:r>
      <w:r>
        <w:t xml:space="preserve"> </w:t>
      </w:r>
      <w:r>
        <w:rPr>
          <w:rStyle w:val="FootnoteReference"/>
        </w:rPr>
        <w:footnoteReference w:id="197"/>
      </w:r>
      <w:r>
        <w:t xml:space="preserve">. The optimal regime for combined carry-plus-momentum is</w:t>
      </w:r>
      <w:r>
        <w:t xml:space="preserve"> </w:t>
      </w:r>
      <w:r>
        <w:t xml:space="preserve">“</w:t>
      </w:r>
      <w:r>
        <w:t xml:space="preserve">Weak USD + Risk-On</w:t>
      </w:r>
      <w:r>
        <w:t xml:space="preserve">”</w:t>
      </w:r>
      <w:r>
        <w:t xml:space="preserve"> </w:t>
      </w:r>
      <w:r>
        <w:t xml:space="preserve">(PF 1.85, max size allocation) followed by</w:t>
      </w:r>
      <w:r>
        <w:t xml:space="preserve"> </w:t>
      </w:r>
      <w:r>
        <w:t xml:space="preserve">“</w:t>
      </w:r>
      <w:r>
        <w:t xml:space="preserve">Rangebound</w:t>
      </w:r>
      <w:r>
        <w:t xml:space="preserve">”</w:t>
      </w:r>
      <w:r>
        <w:t xml:space="preserve"> </w:t>
      </w:r>
      <w:r>
        <w:t xml:space="preserve">(PF 2.10, mean reversion thrives). The regime model reduces exposure by 50% in</w:t>
      </w:r>
      <w:r>
        <w:t xml:space="preserve"> </w:t>
      </w:r>
      <w:r>
        <w:t xml:space="preserve">“</w:t>
      </w:r>
      <w:r>
        <w:t xml:space="preserve">Strong USD + Risk-Off</w:t>
      </w:r>
      <w:r>
        <w:t xml:space="preserve">”</w:t>
      </w:r>
      <w:r>
        <w:t xml:space="preserve"> </w:t>
      </w:r>
      <w:r>
        <w:t xml:space="preserve">conditions, which historically produces the worst combined PF (0.85). Preparing for the anticipated shift toward</w:t>
      </w:r>
      <w:r>
        <w:t xml:space="preserve"> </w:t>
      </w:r>
      <w:r>
        <w:t xml:space="preserve">“</w:t>
      </w:r>
      <w:r>
        <w:t xml:space="preserve">Weak USD + Risk-On</w:t>
      </w:r>
      <w:r>
        <w:t xml:space="preserve">”</w:t>
      </w:r>
      <w:r>
        <w:t xml:space="preserve">—the best-performing regime—positions the forex sleeve for maximum contribution as geopolitical tensions subside.</w:t>
      </w:r>
    </w:p>
    <w:p>
      <w:r>
        <w:pict>
          <v:rect style="width:0;height:1.5pt" o:hralign="center" o:hrstd="t" o:hr="t"/>
        </w:pict>
      </w:r>
    </w:p>
    <w:bookmarkEnd w:id="198"/>
    <w:bookmarkEnd w:id="199"/>
    <w:bookmarkStart w:id="217" w:name="commodity-bond-futures-analysis"/>
    <w:p>
      <w:pPr>
        <w:pStyle w:val="Heading2"/>
      </w:pPr>
      <w:r>
        <w:t xml:space="preserve">4. Commodity, Bond &amp; Futures Analysis</w:t>
      </w:r>
    </w:p>
    <w:bookmarkStart w:id="207" w:name="commodity-term-structure-signal-broken"/>
    <w:p>
      <w:pPr>
        <w:pStyle w:val="Heading3"/>
      </w:pPr>
      <w:r>
        <w:t xml:space="preserve">4.1 Commodity: Term Structure Signal Broken</w:t>
      </w:r>
    </w:p>
    <w:p>
      <w:pPr>
        <w:pStyle w:val="FirstParagraph"/>
      </w:pPr>
      <w:r>
        <w:t xml:space="preserve">The commodity strategy’s most recent 100-trade window (L100) reveals a critical structural failure: 58% of all exits registered as flat — neither take-profit nor stop-loss was triggered before the holding-period timeout expired</w:t>
      </w:r>
      <w:r>
        <w:t xml:space="preserve"> </w:t>
      </w:r>
      <w:r>
        <w:rPr>
          <w:rStyle w:val="FootnoteReference"/>
        </w:rPr>
        <w:footnoteReference w:id="200"/>
      </w:r>
      <w:r>
        <w:t xml:space="preserve">. This proportion is not a statistical artifact; it is monotonically increasing (0% flat at L20, 34% at L50, 58% at L100), which signals that the underlying term-structure model is generating entry signals into markets that subsequently fail to move sufficiently to hit either boundary</w:t>
      </w:r>
      <w:r>
        <w:t xml:space="preserve"> </w:t>
      </w:r>
      <w:r>
        <w:rPr>
          <w:rStyle w:val="FootnoteReference"/>
        </w:rPr>
        <w:footnoteReference w:id="201"/>
      </w:r>
      <w:r>
        <w:t xml:space="preserve">. The root cause is geopolitical regime disruption. The Iran conflict of March 2026 generated extreme backwardation in crude oil — the convenience yield term</w:t>
      </w:r>
      <w:r>
        <w:t xml:space="preserve"> </w:t>
      </w:r>
      <m:oMath>
        <m:r>
          <m:t>y</m:t>
        </m:r>
      </m:oMath>
      <w:r>
        <w:t xml:space="preserve"> </w:t>
      </w:r>
      <w:r>
        <w:t xml:space="preserve">in the futures pricing equation</w:t>
      </w:r>
      <w:r>
        <w:t xml:space="preserve"> </w:t>
      </w:r>
      <m:oMath>
        <m:r>
          <m:t>F</m:t>
        </m:r>
        <m:r>
          <m:rPr>
            <m:sty m:val="p"/>
          </m:rPr>
          <m:t>=</m:t>
        </m:r>
        <m:r>
          <m:t>S</m:t>
        </m:r>
        <m:r>
          <m:rPr>
            <m:sty m:val="p"/>
          </m:rPr>
          <m:t>⋅</m:t>
        </m:r>
        <m:sSup>
          <m:e>
            <m:r>
              <m:t>e</m:t>
            </m:r>
          </m:e>
          <m:sup>
            <m:d>
              <m:dPr>
                <m:begChr m:val="("/>
                <m:endChr m:val=")"/>
                <m:sepChr m:val=""/>
                <m:grow/>
              </m:dPr>
              <m:e>
                <m:d>
                  <m:dPr>
                    <m:begChr m:val="("/>
                    <m:endChr m:val=")"/>
                    <m:sepChr m:val=""/>
                    <m:grow/>
                  </m:dPr>
                  <m:e>
                    <m:r>
                      <m:t>r</m:t>
                    </m:r>
                    <m:r>
                      <m:rPr>
                        <m:sty m:val="p"/>
                      </m:rPr>
                      <m:t>+</m:t>
                    </m:r>
                    <m:r>
                      <m:t>c</m:t>
                    </m:r>
                    <m:r>
                      <m:rPr>
                        <m:sty m:val="p"/>
                      </m:rPr>
                      <m:t>−</m:t>
                    </m:r>
                    <m:r>
                      <m:t>y</m:t>
                    </m:r>
                  </m:e>
                </m:d>
                <m:r>
                  <m:rPr>
                    <m:sty m:val="p"/>
                  </m:rPr>
                  <m:t>⋅</m:t>
                </m:r>
                <m:r>
                  <m:t>T</m:t>
                </m:r>
              </m:e>
            </m:d>
          </m:sup>
        </m:sSup>
      </m:oMath>
      <w:r>
        <w:t xml:space="preserve"> </w:t>
      </w:r>
      <w:r>
        <w:t xml:space="preserve">exploded to levels that swamped all carry dynamics</w:t>
      </w:r>
      <w:r>
        <w:t xml:space="preserve"> </w:t>
      </w:r>
      <w:r>
        <w:rPr>
          <w:rStyle w:val="FootnoteReference"/>
        </w:rPr>
        <w:footnoteReference w:id="202"/>
      </w:r>
      <w:r>
        <w:t xml:space="preserve">. Mean-reversion strategies predicated on stable roll-yield assumptions cannot function when the convenience yield dominates the pricing equation, and the banned</w:t>
      </w:r>
      <w:r>
        <w:t xml:space="preserve"> </w:t>
      </w:r>
      <w:r>
        <w:rPr>
          <w:rStyle w:val="VerbatimChar"/>
        </w:rPr>
        <w:t xml:space="preserve">cta_commodity_momentum_term</w:t>
      </w:r>
      <w:r>
        <w:t xml:space="preserve"> </w:t>
      </w:r>
      <w:r>
        <w:t xml:space="preserve">strategy (PF 0.02) was correctly eliminated — it was destroyed by this regime shift rather than by gradual alpha decay</w:t>
      </w:r>
      <w:r>
        <w:t xml:space="preserve"> </w:t>
      </w:r>
      <w:r>
        <w:rPr>
          <w:rStyle w:val="FootnoteReference"/>
        </w:rPr>
        <w:footnoteReference w:id="203"/>
      </w:r>
      <w:r>
        <w:t xml:space="preserve">.</w:t>
      </w:r>
    </w:p>
    <w:p>
      <w:pPr>
        <w:pStyle w:val="BodyText"/>
      </w:pPr>
      <w:r>
        <w:t xml:space="preserve">The only protective mechanism currently functioning is the confidence gate. At</w:t>
      </w:r>
      <w:r>
        <w:t xml:space="preserve"> </w:t>
      </w:r>
      <w:r>
        <w:rPr>
          <w:rStyle w:val="VerbatimChar"/>
        </w:rPr>
        <w:t xml:space="preserve">confidence &gt;= 0.70</w:t>
      </w:r>
      <w:r>
        <w:t xml:space="preserve">, the commodity strategy posts a PF of 1.34, which sits above the T2 viability threshold of 1.30. Below that threshold, PF collapses to a range of 0.20–0.43 — deep into value-destruction territory</w:t>
      </w:r>
      <w:r>
        <w:t xml:space="preserve"> </w:t>
      </w:r>
      <w:r>
        <w:rPr>
          <w:rStyle w:val="FootnoteReference"/>
        </w:rPr>
        <w:footnoteReference w:id="204"/>
      </w:r>
      <w:r>
        <w:t xml:space="preserve">. The confidence filter is therefore not optional; it is the single barrier preventing catastrophic capital erosion. The recommended action is to retain this gate permanently and augment it with two additional regime filters: a geopolitical stress indicator (activated when Brent prompt backwardation exceeds $5/barrel, which triggers a 50% reduction in commodity exposure) and a volatility-targeting overlay that scales position sizes inversely to annualized realized volatility</w:t>
      </w:r>
      <w:r>
        <w:t xml:space="preserve"> </w:t>
      </w:r>
      <w:r>
        <w:rPr>
          <w:rStyle w:val="FootnoteReference"/>
        </w:rPr>
        <w:footnoteReference w:id="205"/>
      </w:r>
      <w:r>
        <w:t xml:space="preserve">.</w:t>
      </w:r>
    </w:p>
    <w:p>
      <w:pPr>
        <w:pStyle w:val="BodyText"/>
      </w:pPr>
      <w:r>
        <w:t xml:space="preserve">The volatility-targeting overlay requires commodity-specific calibration because realized volatilities vary dramatically across the complex. WTI crude oil (CL) realizes approximately 35% annualized, natural gas (NG) approximately 55%, gold (GC) 15%, copper (HG) 22%, and silver (SI) 28%. A uniform 10% volatility target produces position multipliers ranging from 0.18x for NG to 0.67x for GC [^40^]. These multipliers should be applied at the signal execution layer, dynamically adjusted on a 20-day rolling realized-vol basis. The effect is to reduce natural gas exposure to levels where its extreme volatility does not dominate the sleeve’s risk profile, while allowing gold to run closer to full size given its more stable return distribution. Without this overlay, a single NG position can produce a drawdown that erases months of gains from other commodity picks.</w:t>
      </w:r>
    </w:p>
    <w:p>
      <w:pPr>
        <w:pStyle w:val="BodyText"/>
      </w:pPr>
      <w:r>
        <w:t xml:space="preserve">Long-term, the commodity sleeve should be rebuilt around a triple-screen architecture combining momentum, term structure, and volatility signals. Historical backtests of this three-factor approach on a basket of CL, GC, HG, and NG futures produced a Sharpe ratio of 0.69 — modest by equity or crypto standards, but respectable for a diversifying sleeve with near-zero correlation to directional equity beta</w:t>
      </w:r>
      <w:r>
        <w:t xml:space="preserve"> </w:t>
      </w:r>
      <w:r>
        <w:rPr>
          <w:rStyle w:val="FootnoteReference"/>
        </w:rPr>
        <w:footnoteReference w:id="206"/>
      </w:r>
      <w:r>
        <w:t xml:space="preserve">. The current single-factor term-structure model is insufficient for the geopolitical volatility of 2026; diversification of signal sources is essential before any capital reallocation to commodities is contemplated.</w:t>
      </w:r>
    </w:p>
    <w:bookmarkEnd w:id="207"/>
    <w:bookmarkStart w:id="215" w:name="Xf9ed73e0170bc8fd0e2cf082b3cef2ee20c1084"/>
    <w:p>
      <w:pPr>
        <w:pStyle w:val="Heading3"/>
      </w:pPr>
      <w:r>
        <w:t xml:space="preserve">4.2 Bond: T2-Quality Metrics Trapped Behind the Wrong Gate</w:t>
      </w:r>
    </w:p>
    <w:p>
      <w:pPr>
        <w:pStyle w:val="FirstParagraph"/>
      </w:pPr>
      <w:r>
        <w:t xml:space="preserve">The bond strategy presents one of the most analytically straightforward — and highest-conviction — fixes available to the platform. The current live track record shows a PF of 1.72 and a WR of 50.0%, both of which exceed T2 thresholds (PF &gt;= 1.50, WR &gt;= 50%)</w:t>
      </w:r>
      <w:r>
        <w:t xml:space="preserve"> </w:t>
      </w:r>
      <w:r>
        <w:rPr>
          <w:rStyle w:val="FootnoteReference"/>
        </w:rPr>
        <w:footnoteReference w:id="208"/>
      </w:r>
      <w:r>
        <w:t xml:space="preserve">. The only obstacle preventing T2 classification and the associated capital scaling is sample size: n=20 closed trades, against a T2 minimum of n=50. At n=20, the standard error on WR is approximately 11.2% (</w:t>
      </w:r>
      <m:oMath>
        <m:rad>
          <m:radPr>
            <m:degHide m:val="1"/>
          </m:radPr>
          <m:deg/>
          <m:e>
            <m:r>
              <m:t>p</m:t>
            </m:r>
            <m:d>
              <m:dPr>
                <m:begChr m:val="("/>
                <m:endChr m:val=")"/>
                <m:sepChr m:val=""/>
                <m:grow/>
              </m:dPr>
              <m:e>
                <m:r>
                  <m:t>1</m:t>
                </m:r>
                <m:r>
                  <m:rPr>
                    <m:sty m:val="p"/>
                  </m:rPr>
                  <m:t>−</m:t>
                </m:r>
                <m:r>
                  <m:t>p</m:t>
                </m:r>
              </m:e>
            </m:d>
            <m:r>
              <m:rPr>
                <m:sty m:val="p"/>
              </m:rPr>
              <m:t>/</m:t>
            </m:r>
            <m:r>
              <m:t>n</m:t>
            </m:r>
          </m:e>
        </m:rad>
      </m:oMath>
      <w:r>
        <w:t xml:space="preserve">), producing a 95% confidence interval of 38.8% to 61.2% — too wide for institutional-grade parameter estimation</w:t>
      </w:r>
      <w:r>
        <w:t xml:space="preserve"> </w:t>
      </w:r>
      <w:r>
        <w:rPr>
          <w:rStyle w:val="FootnoteReference"/>
        </w:rPr>
        <w:footnoteReference w:id="209"/>
      </w:r>
      <w:r>
        <w:t xml:space="preserve">. The question is not whether the bond strategy works; the question is why the platform cannot generate enough signals to prove it.</w:t>
      </w:r>
    </w:p>
    <w:p>
      <w:pPr>
        <w:pStyle w:val="BodyText"/>
      </w:pPr>
      <w:r>
        <w:t xml:space="preserve">The binding constraint is the</w:t>
      </w:r>
      <w:r>
        <w:t xml:space="preserve"> </w:t>
      </w:r>
      <w:r>
        <w:rPr>
          <w:rStyle w:val="VerbatimChar"/>
        </w:rPr>
        <w:t xml:space="preserve">elite_score &gt;= 30</w:t>
      </w:r>
      <w:r>
        <w:t xml:space="preserve"> </w:t>
      </w:r>
      <w:r>
        <w:t xml:space="preserve">composite gate. Shadow log analysis reveals three high-quality bond picks that pass every upstream filter but are blocked at this final stage:</w:t>
      </w:r>
    </w:p>
    <w:p>
      <w:pPr>
        <w:pStyle w:val="BodyText"/>
      </w:pPr>
      <w:r>
        <w:rPr>
          <w:bCs/>
          <w:b/>
        </w:rPr>
        <w:t xml:space="preserve">Table 1: Bond Blocked Picks Analysis &amp; Yield Curve Opportunity</w:t>
      </w:r>
    </w:p>
    <w:tbl>
      <w:tblPr>
        <w:tblStyle w:val="Table"/>
        <w:tblW w:type="pct" w:w="5000"/>
        <w:tblLook w:firstRow="1" w:lastRow="0" w:firstColumn="0" w:lastColumn="0" w:noHBand="0" w:noVBand="0" w:val="0020"/>
      </w:tblPr>
      <w:tblGrid>
        <w:gridCol w:w="833"/>
        <w:gridCol w:w="1146"/>
        <w:gridCol w:w="1042"/>
        <w:gridCol w:w="1250"/>
        <w:gridCol w:w="1354"/>
        <w:gridCol w:w="1354"/>
        <w:gridCol w:w="937"/>
      </w:tblGrid>
      <w:tr>
        <w:trPr>
          <w:tblHeader w:val="true"/>
        </w:trPr>
        <w:tc>
          <w:tcPr/>
          <w:p>
            <w:pPr>
              <w:pStyle w:val="Compact"/>
              <w:jc w:val="left"/>
            </w:pPr>
            <w:r>
              <w:t xml:space="preserve">Symbol</w:t>
            </w:r>
          </w:p>
        </w:tc>
        <w:tc>
          <w:tcPr/>
          <w:p>
            <w:pPr>
              <w:pStyle w:val="Compact"/>
              <w:jc w:val="left"/>
            </w:pPr>
            <w:r>
              <w:t xml:space="preserve">Instrument</w:t>
            </w:r>
          </w:p>
        </w:tc>
        <w:tc>
          <w:tcPr/>
          <w:p>
            <w:pPr>
              <w:pStyle w:val="Compact"/>
              <w:jc w:val="left"/>
            </w:pPr>
            <w:r>
              <w:t xml:space="preserve">ml_score</w:t>
            </w:r>
          </w:p>
        </w:tc>
        <w:tc>
          <w:tcPr/>
          <w:p>
            <w:pPr>
              <w:pStyle w:val="Compact"/>
              <w:jc w:val="left"/>
            </w:pPr>
            <w:r>
              <w:t xml:space="preserve">Confidence</w:t>
            </w:r>
          </w:p>
        </w:tc>
        <w:tc>
          <w:tcPr/>
          <w:p>
            <w:pPr>
              <w:pStyle w:val="Compact"/>
              <w:jc w:val="left"/>
            </w:pPr>
            <w:r>
              <w:t xml:space="preserve">elite_score</w:t>
            </w:r>
          </w:p>
        </w:tc>
        <w:tc>
          <w:tcPr/>
          <w:p>
            <w:pPr>
              <w:pStyle w:val="Compact"/>
              <w:jc w:val="left"/>
            </w:pPr>
            <w:r>
              <w:t xml:space="preserve">Gate Status</w:t>
            </w:r>
          </w:p>
        </w:tc>
        <w:tc>
          <w:tcPr/>
          <w:p>
            <w:pPr>
              <w:pStyle w:val="Compact"/>
              <w:jc w:val="left"/>
            </w:pPr>
            <w:r>
              <w:t xml:space="preserve">Blocker</w:t>
            </w:r>
          </w:p>
        </w:tc>
      </w:tr>
      <w:tr>
        <w:tc>
          <w:tcPr/>
          <w:p>
            <w:pPr>
              <w:pStyle w:val="Compact"/>
              <w:jc w:val="left"/>
            </w:pPr>
            <w:r>
              <w:t xml:space="preserve">TLT</w:t>
            </w:r>
          </w:p>
        </w:tc>
        <w:tc>
          <w:tcPr/>
          <w:p>
            <w:pPr>
              <w:pStyle w:val="Compact"/>
              <w:jc w:val="left"/>
            </w:pPr>
            <w:r>
              <w:t xml:space="preserve">20+ Year Treasury</w:t>
            </w:r>
          </w:p>
        </w:tc>
        <w:tc>
          <w:tcPr/>
          <w:p>
            <w:pPr>
              <w:pStyle w:val="Compact"/>
              <w:jc w:val="left"/>
            </w:pPr>
            <w:r>
              <w:t xml:space="preserve">0.859</w:t>
            </w:r>
          </w:p>
        </w:tc>
        <w:tc>
          <w:tcPr/>
          <w:p>
            <w:pPr>
              <w:pStyle w:val="Compact"/>
              <w:jc w:val="left"/>
            </w:pPr>
            <w:r>
              <w:t xml:space="preserve">0.950</w:t>
            </w:r>
          </w:p>
        </w:tc>
        <w:tc>
          <w:tcPr/>
          <w:p>
            <w:pPr>
              <w:pStyle w:val="Compact"/>
              <w:jc w:val="left"/>
            </w:pPr>
            <w:r>
              <w:rPr>
                <w:bCs/>
                <w:b/>
              </w:rPr>
              <w:t xml:space="preserve">-6.2</w:t>
            </w:r>
          </w:p>
        </w:tc>
        <w:tc>
          <w:tcPr/>
          <w:p>
            <w:pPr>
              <w:pStyle w:val="Compact"/>
              <w:jc w:val="left"/>
            </w:pPr>
            <w:r>
              <w:t xml:space="preserve">BLOCKED</w:t>
            </w:r>
          </w:p>
        </w:tc>
        <w:tc>
          <w:tcPr/>
          <w:p>
            <w:pPr>
              <w:pStyle w:val="Compact"/>
              <w:jc w:val="left"/>
            </w:pPr>
            <w:r>
              <w:t xml:space="preserve">elite_score &lt; 30</w:t>
            </w:r>
            <w:r>
              <w:t xml:space="preserve"> </w:t>
            </w:r>
            <w:r>
              <w:rPr>
                <w:rStyle w:val="FootnoteReference"/>
              </w:rPr>
              <w:footnoteReference w:id="210"/>
            </w:r>
          </w:p>
        </w:tc>
      </w:tr>
      <w:tr>
        <w:tc>
          <w:tcPr/>
          <w:p>
            <w:pPr>
              <w:pStyle w:val="Compact"/>
              <w:jc w:val="left"/>
            </w:pPr>
            <w:r>
              <w:t xml:space="preserve">IEF</w:t>
            </w:r>
          </w:p>
        </w:tc>
        <w:tc>
          <w:tcPr/>
          <w:p>
            <w:pPr>
              <w:pStyle w:val="Compact"/>
              <w:jc w:val="left"/>
            </w:pPr>
            <w:r>
              <w:t xml:space="preserve">7-10 Year Treasury</w:t>
            </w:r>
          </w:p>
        </w:tc>
        <w:tc>
          <w:tcPr/>
          <w:p>
            <w:pPr>
              <w:pStyle w:val="Compact"/>
              <w:jc w:val="left"/>
            </w:pPr>
            <w:r>
              <w:t xml:space="preserve">0.839</w:t>
            </w:r>
          </w:p>
        </w:tc>
        <w:tc>
          <w:tcPr/>
          <w:p>
            <w:pPr>
              <w:pStyle w:val="Compact"/>
              <w:jc w:val="left"/>
            </w:pPr>
            <w:r>
              <w:t xml:space="preserve">0.935</w:t>
            </w:r>
          </w:p>
        </w:tc>
        <w:tc>
          <w:tcPr/>
          <w:p>
            <w:pPr>
              <w:pStyle w:val="Compact"/>
              <w:jc w:val="left"/>
            </w:pPr>
            <w:r>
              <w:t xml:space="preserve">Unknown</w:t>
            </w:r>
          </w:p>
        </w:tc>
        <w:tc>
          <w:tcPr/>
          <w:p>
            <w:pPr>
              <w:pStyle w:val="Compact"/>
              <w:jc w:val="left"/>
            </w:pPr>
            <w:r>
              <w:t xml:space="preserve">BLOCKED</w:t>
            </w:r>
          </w:p>
        </w:tc>
        <w:tc>
          <w:tcPr/>
          <w:p>
            <w:pPr>
              <w:pStyle w:val="Compact"/>
              <w:jc w:val="left"/>
            </w:pPr>
            <w:r>
              <w:t xml:space="preserve">elite_score &lt; 30</w:t>
            </w:r>
            <w:r>
              <w:t xml:space="preserve"> </w:t>
            </w:r>
            <w:r>
              <w:rPr>
                <w:rStyle w:val="FootnoteReference"/>
              </w:rPr>
              <w:footnoteReference w:id="211"/>
            </w:r>
          </w:p>
        </w:tc>
      </w:tr>
      <w:tr>
        <w:tc>
          <w:tcPr/>
          <w:p>
            <w:pPr>
              <w:pStyle w:val="Compact"/>
              <w:jc w:val="left"/>
            </w:pPr>
            <w:r>
              <w:t xml:space="preserve">LQD</w:t>
            </w:r>
          </w:p>
        </w:tc>
        <w:tc>
          <w:tcPr/>
          <w:p>
            <w:pPr>
              <w:pStyle w:val="Compact"/>
              <w:jc w:val="left"/>
            </w:pPr>
            <w:r>
              <w:t xml:space="preserve">Investment Grade Corporate</w:t>
            </w:r>
          </w:p>
        </w:tc>
        <w:tc>
          <w:tcPr/>
          <w:p>
            <w:pPr>
              <w:pStyle w:val="Compact"/>
              <w:jc w:val="left"/>
            </w:pPr>
            <w:r>
              <w:t xml:space="preserve">0.743</w:t>
            </w:r>
          </w:p>
        </w:tc>
        <w:tc>
          <w:tcPr/>
          <w:p>
            <w:pPr>
              <w:pStyle w:val="Compact"/>
              <w:jc w:val="left"/>
            </w:pPr>
            <w:r>
              <w:t xml:space="preserve">0.850</w:t>
            </w:r>
          </w:p>
        </w:tc>
        <w:tc>
          <w:tcPr/>
          <w:p>
            <w:pPr>
              <w:pStyle w:val="Compact"/>
              <w:jc w:val="left"/>
            </w:pPr>
            <w:r>
              <w:t xml:space="preserve">Unknown</w:t>
            </w:r>
          </w:p>
        </w:tc>
        <w:tc>
          <w:tcPr/>
          <w:p>
            <w:pPr>
              <w:pStyle w:val="Compact"/>
              <w:jc w:val="left"/>
            </w:pPr>
            <w:r>
              <w:t xml:space="preserve">BLOCKED</w:t>
            </w:r>
          </w:p>
        </w:tc>
        <w:tc>
          <w:tcPr/>
          <w:p>
            <w:pPr>
              <w:pStyle w:val="Compact"/>
              <w:jc w:val="left"/>
            </w:pPr>
            <w:r>
              <w:t xml:space="preserve">elite_score &lt; 30 [^12^]</w:t>
            </w:r>
          </w:p>
        </w:tc>
      </w:tr>
      <w:tr>
        <w:tc>
          <w:tcPr/>
          <w:p>
            <w:pPr>
              <w:pStyle w:val="Compact"/>
              <w:jc w:val="left"/>
            </w:pPr>
            <w:r>
              <w:t xml:space="preserve">—</w:t>
            </w:r>
          </w:p>
        </w:tc>
        <w:tc>
          <w:tcPr/>
          <w:p>
            <w:pPr>
              <w:pStyle w:val="Compact"/>
              <w:jc w:val="left"/>
            </w:pPr>
            <w:r>
              <w:rPr>
                <w:iCs/>
                <w:i/>
              </w:rPr>
              <w:t xml:space="preserve">Post-fix: elite_score floor = 15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PROJECTED PASS</w:t>
            </w:r>
          </w:p>
        </w:tc>
        <w:tc>
          <w:tcPr/>
          <w:p>
            <w:pPr>
              <w:pStyle w:val="Compact"/>
              <w:jc w:val="left"/>
            </w:pPr>
            <w:r>
              <w:t xml:space="preserve">3-5 picks/month [^13^]</w:t>
            </w:r>
          </w:p>
        </w:tc>
      </w:tr>
      <w:tr>
        <w:tc>
          <w:tcPr/>
          <w:p>
            <w:pPr>
              <w:pStyle w:val="Compact"/>
              <w:jc w:val="left"/>
            </w:pPr>
            <w:r>
              <w:t xml:space="preserve">—</w:t>
            </w:r>
          </w:p>
        </w:tc>
        <w:tc>
          <w:tcPr/>
          <w:p>
            <w:pPr>
              <w:pStyle w:val="Compact"/>
              <w:jc w:val="left"/>
            </w:pPr>
            <w:r>
              <w:rPr>
                <w:iCs/>
                <w:i/>
              </w:rPr>
              <w:t xml:space="preserve">Yield curve steepener (2s10s &lt; 50 bps)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STANDALONE STRATEGY</w:t>
            </w:r>
          </w:p>
        </w:tc>
        <w:tc>
          <w:tcPr/>
          <w:p>
            <w:pPr>
              <w:pStyle w:val="Compact"/>
              <w:jc w:val="left"/>
            </w:pPr>
            <w:r>
              <w:t xml:space="preserve">62% WR, +2.8% avg 6M return [^14^]</w:t>
            </w:r>
          </w:p>
        </w:tc>
      </w:tr>
    </w:tbl>
    <w:p>
      <w:pPr>
        <w:pStyle w:val="BodyText"/>
      </w:pPr>
      <w:r>
        <w:t xml:space="preserve">The ml_score values of 0.743–0.859 place these instruments firmly in A-Tier territory on the platform’s standard calibration (0.70–0.85 = A-Tier). The elite_score, by contrast, appears to be a penalized composite that subtracts points for duration risk, asset-class risk markdowns relative to equities, and strategy maturity [^15^]. For bonds, this penalization is doubly inappropriate: the PF of 1.72 already demonstrates that the strategy edge is real, and bond strategies with PF &gt; 1.5 and WR &gt; 50% are conventionally regarded as institutional-grade in fixed-income literature. The elite_score floor was calibrated for crypto strategies, where these metrics would be B-Tier; applied to bonds, it systematically over-filters.</w:t>
      </w:r>
    </w:p>
    <w:p>
      <w:pPr>
        <w:pStyle w:val="BodyText"/>
      </w:pPr>
      <w:r>
        <w:t xml:space="preserve">The fix is a single parameter change: lower the bond-specific</w:t>
      </w:r>
      <w:r>
        <w:t xml:space="preserve"> </w:t>
      </w:r>
      <w:r>
        <w:rPr>
          <w:rStyle w:val="VerbatimChar"/>
        </w:rPr>
        <w:t xml:space="preserve">elite_score</w:t>
      </w:r>
      <w:r>
        <w:t xml:space="preserve"> </w:t>
      </w:r>
      <w:r>
        <w:t xml:space="preserve">floor from 30 to 15. This is projected to unblock 3–5 additional picks per month, reaching the n=50 threshold required for T2 assessment within 6–8 weeks [^16^]. The incremental risk is limited because the ml_score gate (0.65+) and confidence gate (0.70+) upstream filters remain intact. To manage the specific risk that lower-composite-score picks carry somewhat weaker edge, a duration-adjusted position cap should be overlaid: TLT at 1.0% portfolio risk ($11K per $1M NAV given 9.1% annual volatility), IEF at 2.0%, and LQD at 1.5%, producing an effective duration target of 5.5–6.0 years [^17^].</w:t>
      </w:r>
    </w:p>
    <w:p>
      <w:pPr>
        <w:pStyle w:val="BodyText"/>
      </w:pPr>
      <w:r>
        <w:t xml:space="preserve">Beyond signal-volume relief, the current yield curve environment presents a standalone trading opportunity. The 2s10s spread stands at approximately 46 basis points as of May 2026, down from 71 bps in January — a 25 bp YTD flattening driven primarily by front-end repricing (2-year yields up 50 bps versus 10-year yields up 25 bps) as Fed rate-cut expectations have been priced out entirely [^18^]. This places the curve in a NORMAL-to-FLAT transition regime, which is historically favorable for steepener positions. Since 1990, buying 2s10s steepeners when the spread is below 50 bps has yielded an average 6-month return of +2.8% with a 62% WR and a maximum drawdown of -4.2%, producing a Sharpe ratio of 0.85 [^19^]. The recommended structure — long $100K TLT, short $230K IEF to achieve duration neutrality — carries positive carry of approximately $150/month and is triggered when 2s10s falls below 45 bps, exiting above 80 bps [^20^].</w:t>
      </w:r>
    </w:p>
    <w:p>
      <w:pPr>
        <w:pStyle w:val="BodyText"/>
      </w:pPr>
      <w:r>
        <w:t xml:space="preserve">The yield curve regime framework should be formalized as a three-state classifier embedded in the bond strategy module. A STEEP regime is defined as 2s10s &gt; +60 bps, NORMAL as +20 to +60 bps, and FLAT as &lt; +20 bps. The bond_connors_rsi2 mean-reversion strategy should be permitted to operate freely in STEEP and NORMAL regimes but scaled to 50% in FLAT and blocked entirely if the curve inverts (2s10s &lt; 0) [^41^]. The rationale is mechanical: in steep curves, mean-reversion captures oscillations around a well-defined trend; in flat or inverted curves, the signal-to-noise ratio collapses because yield movements become dominated by central bank policy expectations rather than technical factors. Historical median 2s10s is approximately 100 bps, so the current 46 bp reading is not yet extreme but is trending toward constraint territory. If front-end yields continue to rise faster than long-end yields — a plausible scenario if the Fed holds rates at 4.75% through year-end while fiscal deficit concerns anchor the 10-year — the curve could reach the FLAT threshold within 60–90 days, at which point bond signal generation should be proactively reduced even before the automated gate triggers [^42^].</w:t>
      </w:r>
    </w:p>
    <w:p>
      <w:pPr>
        <w:pStyle w:val="CaptionedFigure"/>
      </w:pPr>
      <w:r>
        <w:drawing>
          <wp:inline>
            <wp:extent cx="5334000" cy="4545086"/>
            <wp:effectExtent b="0" l="0" r="0" t="0"/>
            <wp:docPr descr="Bond-Equity Price Dynamics &amp; Yield Curve Regime" title="" id="213" name="Picture"/>
            <a:graphic>
              <a:graphicData uri="http://schemas.openxmlformats.org/drawingml/2006/picture">
                <pic:pic>
                  <pic:nvPicPr>
                    <pic:cNvPr descr="bond_yield_curve_analysis.png" id="214" name="Picture"/>
                    <pic:cNvPicPr>
                      <a:picLocks noChangeArrowheads="1" noChangeAspect="1"/>
                    </pic:cNvPicPr>
                  </pic:nvPicPr>
                  <pic:blipFill>
                    <a:blip r:embed="rId212"/>
                    <a:stretch>
                      <a:fillRect/>
                    </a:stretch>
                  </pic:blipFill>
                  <pic:spPr bwMode="auto">
                    <a:xfrm>
                      <a:off x="0" y="0"/>
                      <a:ext cx="5334000" cy="4545086"/>
                    </a:xfrm>
                    <a:prstGeom prst="rect">
                      <a:avLst/>
                    </a:prstGeom>
                    <a:noFill/>
                    <a:ln w="9525">
                      <a:noFill/>
                      <a:headEnd/>
                      <a:tailEnd/>
                    </a:ln>
                  </pic:spPr>
                </pic:pic>
              </a:graphicData>
            </a:graphic>
          </wp:inline>
        </w:drawing>
      </w:r>
    </w:p>
    <w:p>
      <w:pPr>
        <w:pStyle w:val="ImageCaption"/>
      </w:pPr>
      <w:r>
        <w:t xml:space="preserve">Bond-Equity Price Dynamics &amp; Yield Curve Regime</w:t>
      </w:r>
    </w:p>
    <w:p>
      <w:pPr>
        <w:pStyle w:val="BodyText"/>
      </w:pPr>
      <w:r>
        <w:t xml:space="preserve">The figure above confirms the regime diagnosis. Panel 1 shows normalized price performance: both TLT and IEF sold off during the March Iran shock, but TLT’s longer duration produced deeper drawdowns. Panel 2 tracks the TLT–IEF normalized spread, which has been persistently negative (flattening regime) since December 2025 and reached -2.5 by early May 2026 — the deepest reading in the sample period [^21^]. Panel 3 displays the 30-day rolling correlation between TLT and SPY, which collapsed from approximately +0.55 in mid-March to +0.29 by early May. This decline is constructive for bond diversification value: the 6-month TLT-SPY correlation is now +0.25, recovering from the +0.80 peak of July 2024 that rendered bonds ineffective as equity hedges [^22^]. If the 30-day correlation remains below +0.50, bonds retain meaningful portfolio hedging capacity.</w:t>
      </w:r>
    </w:p>
    <w:p>
      <w:pPr>
        <w:pStyle w:val="BodyText"/>
      </w:pPr>
      <w:r>
        <w:t xml:space="preserve">The bond strategy’s current limitation is therefore not edge but throughput. Lowering the gate is the highest-impact engineering change available — minimal development effort (a single parameter adjustment), minimal incremental risk (upstream filters intact), and a clear path to T2 classification within two months [^23^].</w:t>
      </w:r>
    </w:p>
    <w:bookmarkEnd w:id="215"/>
    <w:bookmarkStart w:id="216" w:name="futures-accumulation-mode-required"/>
    <w:p>
      <w:pPr>
        <w:pStyle w:val="Heading3"/>
      </w:pPr>
      <w:r>
        <w:t xml:space="preserve">4.3 Futures: Accumulation Mode Required</w:t>
      </w:r>
    </w:p>
    <w:p>
      <w:pPr>
        <w:pStyle w:val="FirstParagraph"/>
      </w:pPr>
      <w:r>
        <w:t xml:space="preserve">The futures sleeve is the most data-starved asset class on the platform. With n=2 closed trades — both flat exits on Nikkei 225 futures (NKD=F) after 8.3 and 8.4 days — no directional edge can be measured, and the reported PF of 99.90 is a mathematical distortion produced by zero meaningful wins or losses [^24^]. The two flat exits suggest that momentum signals triggered entries but the market moved sideways, failing to reach either TP or SL — a pattern consistent with low-volatility regime conditions rather than signal failure per se. The correct interpretation is not</w:t>
      </w:r>
      <w:r>
        <w:t xml:space="preserve"> </w:t>
      </w:r>
      <w:r>
        <w:t xml:space="preserve">“</w:t>
      </w:r>
      <w:r>
        <w:t xml:space="preserve">futures do not work</w:t>
      </w:r>
      <w:r>
        <w:t xml:space="preserve">”</w:t>
      </w:r>
      <w:r>
        <w:t xml:space="preserve"> </w:t>
      </w:r>
      <w:r>
        <w:t xml:space="preserve">but</w:t>
      </w:r>
      <w:r>
        <w:t xml:space="preserve"> </w:t>
      </w:r>
      <w:r>
        <w:t xml:space="preserve">“</w:t>
      </w:r>
      <w:r>
        <w:t xml:space="preserve">we lack sufficient data to determine whether futures work.</w:t>
      </w:r>
      <w:r>
        <w:t xml:space="preserve">”</w:t>
      </w:r>
    </w:p>
    <w:p>
      <w:pPr>
        <w:pStyle w:val="BodyText"/>
      </w:pPr>
      <w:r>
        <w:t xml:space="preserve">The standard platform filters for futures (</w:t>
      </w:r>
      <w:r>
        <w:rPr>
          <w:rStyle w:val="VerbatimChar"/>
        </w:rPr>
        <w:t xml:space="preserve">forwardWRMinPctFutures: 50</w:t>
      </w:r>
      <w:r>
        <w:t xml:space="preserve">,</w:t>
      </w:r>
      <w:r>
        <w:t xml:space="preserve"> </w:t>
      </w:r>
      <w:r>
        <w:rPr>
          <w:rStyle w:val="VerbatimChar"/>
        </w:rPr>
        <w:t xml:space="preserve">scoreFloorFutures: 35</w:t>
      </w:r>
      <w:r>
        <w:t xml:space="preserve">,</w:t>
      </w:r>
      <w:r>
        <w:t xml:space="preserve"> </w:t>
      </w:r>
      <w:r>
        <w:rPr>
          <w:rStyle w:val="VerbatimChar"/>
        </w:rPr>
        <w:t xml:space="preserve">fwdMinTradesFutures: 2</w:t>
      </w:r>
      <w:r>
        <w:t xml:space="preserve">) are too restrictive for a nascent asset class. The recommended accumulation protocol lowers all three gates simultaneously:</w:t>
      </w:r>
    </w:p>
    <w:p>
      <w:pPr>
        <w:pStyle w:val="BodyText"/>
      </w:pPr>
      <w:r>
        <w:rPr>
          <w:bCs/>
          <w:b/>
        </w:rPr>
        <w:t xml:space="preserve">Table 2: Futures Accumulation Plan</w:t>
      </w:r>
    </w:p>
    <w:tbl>
      <w:tblPr>
        <w:tblStyle w:val="Table"/>
        <w:tblW w:type="pct" w:w="5000"/>
        <w:tblLook w:firstRow="1" w:lastRow="0" w:firstColumn="0" w:lastColumn="0" w:noHBand="0" w:noVBand="0" w:val="0020"/>
      </w:tblPr>
      <w:tblGrid>
        <w:gridCol w:w="1227"/>
        <w:gridCol w:w="2454"/>
        <w:gridCol w:w="2119"/>
        <w:gridCol w:w="892"/>
        <w:gridCol w:w="1227"/>
      </w:tblGrid>
      <w:tr>
        <w:trPr>
          <w:tblHeader w:val="true"/>
        </w:trPr>
        <w:tc>
          <w:tcPr/>
          <w:p>
            <w:pPr>
              <w:pStyle w:val="Compact"/>
              <w:jc w:val="left"/>
            </w:pPr>
            <w:r>
              <w:t xml:space="preserve">Parameter</w:t>
            </w:r>
          </w:p>
        </w:tc>
        <w:tc>
          <w:tcPr/>
          <w:p>
            <w:pPr>
              <w:pStyle w:val="Compact"/>
              <w:jc w:val="left"/>
            </w:pPr>
            <w:r>
              <w:t xml:space="preserve">Current (Restrictive)</w:t>
            </w:r>
          </w:p>
        </w:tc>
        <w:tc>
          <w:tcPr/>
          <w:p>
            <w:pPr>
              <w:pStyle w:val="Compact"/>
              <w:jc w:val="left"/>
            </w:pPr>
            <w:r>
              <w:t xml:space="preserve">Accumulation Mode</w:t>
            </w:r>
          </w:p>
        </w:tc>
        <w:tc>
          <w:tcPr/>
          <w:p>
            <w:pPr>
              <w:pStyle w:val="Compact"/>
              <w:jc w:val="left"/>
            </w:pPr>
            <w:r>
              <w:t xml:space="preserve">Change</w:t>
            </w:r>
          </w:p>
        </w:tc>
        <w:tc>
          <w:tcPr/>
          <w:p>
            <w:pPr>
              <w:pStyle w:val="Compact"/>
              <w:jc w:val="left"/>
            </w:pPr>
            <w:r>
              <w:t xml:space="preserve">Rationale</w:t>
            </w:r>
          </w:p>
        </w:tc>
      </w:tr>
      <w:tr>
        <w:tc>
          <w:tcPr/>
          <w:p>
            <w:pPr>
              <w:pStyle w:val="Compact"/>
              <w:jc w:val="left"/>
            </w:pPr>
            <w:r>
              <w:rPr>
                <w:rStyle w:val="VerbatimChar"/>
              </w:rPr>
              <w:t xml:space="preserve">forwardWRMinPctFutures</w:t>
            </w:r>
          </w:p>
        </w:tc>
        <w:tc>
          <w:tcPr/>
          <w:p>
            <w:pPr>
              <w:pStyle w:val="Compact"/>
              <w:jc w:val="left"/>
            </w:pPr>
            <w:r>
              <w:t xml:space="preserve">50%</w:t>
            </w:r>
          </w:p>
        </w:tc>
        <w:tc>
          <w:tcPr/>
          <w:p>
            <w:pPr>
              <w:pStyle w:val="Compact"/>
              <w:jc w:val="left"/>
            </w:pPr>
            <w:r>
              <w:rPr>
                <w:bCs/>
                <w:b/>
              </w:rPr>
              <w:t xml:space="preserve">40%</w:t>
            </w:r>
          </w:p>
        </w:tc>
        <w:tc>
          <w:tcPr/>
          <w:p>
            <w:pPr>
              <w:pStyle w:val="Compact"/>
              <w:jc w:val="left"/>
            </w:pPr>
            <w:r>
              <w:t xml:space="preserve">-10 pp</w:t>
            </w:r>
          </w:p>
        </w:tc>
        <w:tc>
          <w:tcPr/>
          <w:p>
            <w:pPr>
              <w:pStyle w:val="Compact"/>
              <w:jc w:val="left"/>
            </w:pPr>
            <w:r>
              <w:t xml:space="preserve">Admit lower-confidence picks for data generation [^25^]</w:t>
            </w:r>
          </w:p>
        </w:tc>
      </w:tr>
      <w:tr>
        <w:tc>
          <w:tcPr/>
          <w:p>
            <w:pPr>
              <w:pStyle w:val="Compact"/>
              <w:jc w:val="left"/>
            </w:pPr>
            <w:r>
              <w:rPr>
                <w:rStyle w:val="VerbatimChar"/>
              </w:rPr>
              <w:t xml:space="preserve">scoreFloorFutures</w:t>
            </w:r>
          </w:p>
        </w:tc>
        <w:tc>
          <w:tcPr/>
          <w:p>
            <w:pPr>
              <w:pStyle w:val="Compact"/>
              <w:jc w:val="left"/>
            </w:pPr>
            <w:r>
              <w:t xml:space="preserve">35</w:t>
            </w:r>
          </w:p>
        </w:tc>
        <w:tc>
          <w:tcPr/>
          <w:p>
            <w:pPr>
              <w:pStyle w:val="Compact"/>
              <w:jc w:val="left"/>
            </w:pPr>
            <w:r>
              <w:rPr>
                <w:bCs/>
                <w:b/>
              </w:rPr>
              <w:t xml:space="preserve">25</w:t>
            </w:r>
          </w:p>
        </w:tc>
        <w:tc>
          <w:tcPr/>
          <w:p>
            <w:pPr>
              <w:pStyle w:val="Compact"/>
              <w:jc w:val="left"/>
            </w:pPr>
            <w:r>
              <w:t xml:space="preserve">-10 pp</w:t>
            </w:r>
          </w:p>
        </w:tc>
        <w:tc>
          <w:tcPr/>
          <w:p>
            <w:pPr>
              <w:pStyle w:val="Compact"/>
              <w:jc w:val="left"/>
            </w:pPr>
            <w:r>
              <w:t xml:space="preserve">Shadow-mode signal accumulation [^26^]</w:t>
            </w:r>
          </w:p>
        </w:tc>
      </w:tr>
      <w:tr>
        <w:tc>
          <w:tcPr/>
          <w:p>
            <w:pPr>
              <w:pStyle w:val="Compact"/>
              <w:jc w:val="left"/>
            </w:pPr>
            <w:r>
              <w:rPr>
                <w:rStyle w:val="VerbatimChar"/>
              </w:rPr>
              <w:t xml:space="preserve">fwdMinTradesFutures</w:t>
            </w:r>
          </w:p>
        </w:tc>
        <w:tc>
          <w:tcPr/>
          <w:p>
            <w:pPr>
              <w:pStyle w:val="Compact"/>
              <w:jc w:val="left"/>
            </w:pPr>
            <w:r>
              <w:t xml:space="preserve">2</w:t>
            </w:r>
          </w:p>
        </w:tc>
        <w:tc>
          <w:tcPr/>
          <w:p>
            <w:pPr>
              <w:pStyle w:val="Compact"/>
              <w:jc w:val="left"/>
            </w:pPr>
            <w:r>
              <w:rPr>
                <w:bCs/>
                <w:b/>
              </w:rPr>
              <w:t xml:space="preserve">1</w:t>
            </w:r>
          </w:p>
        </w:tc>
        <w:tc>
          <w:tcPr/>
          <w:p>
            <w:pPr>
              <w:pStyle w:val="Compact"/>
              <w:jc w:val="left"/>
            </w:pPr>
            <w:r>
              <w:t xml:space="preserve">-1</w:t>
            </w:r>
          </w:p>
        </w:tc>
        <w:tc>
          <w:tcPr/>
          <w:p>
            <w:pPr>
              <w:pStyle w:val="Compact"/>
              <w:jc w:val="left"/>
            </w:pPr>
            <w:r>
              <w:t xml:space="preserve">Accept single-trade forward samples [^27^]</w:t>
            </w:r>
          </w:p>
        </w:tc>
      </w:tr>
      <w:tr>
        <w:tc>
          <w:tcPr/>
          <w:p>
            <w:pPr>
              <w:pStyle w:val="Compact"/>
              <w:jc w:val="left"/>
            </w:pPr>
            <w:r>
              <w:t xml:space="preserve">Shadow mode duration</w:t>
            </w:r>
          </w:p>
        </w:tc>
        <w:tc>
          <w:tcPr/>
          <w:p>
            <w:pPr>
              <w:pStyle w:val="Compact"/>
              <w:jc w:val="left"/>
            </w:pPr>
            <w:r>
              <w:t xml:space="preserve">—</w:t>
            </w:r>
          </w:p>
        </w:tc>
        <w:tc>
          <w:tcPr/>
          <w:p>
            <w:pPr>
              <w:pStyle w:val="Compact"/>
              <w:jc w:val="left"/>
            </w:pPr>
            <w:r>
              <w:rPr>
                <w:bCs/>
                <w:b/>
              </w:rPr>
              <w:t xml:space="preserve">30 days</w:t>
            </w:r>
          </w:p>
        </w:tc>
        <w:tc>
          <w:tcPr/>
          <w:p>
            <w:pPr>
              <w:pStyle w:val="Compact"/>
              <w:jc w:val="left"/>
            </w:pPr>
            <w:r>
              <w:t xml:space="preserve">New</w:t>
            </w:r>
          </w:p>
        </w:tc>
        <w:tc>
          <w:tcPr/>
          <w:p>
            <w:pPr>
              <w:pStyle w:val="Compact"/>
              <w:jc w:val="left"/>
            </w:pPr>
            <w:r>
              <w:t xml:space="preserve">Generate picks without live capital at risk [^28^]</w:t>
            </w:r>
          </w:p>
        </w:tc>
      </w:tr>
      <w:tr>
        <w:tc>
          <w:tcPr/>
          <w:p>
            <w:pPr>
              <w:pStyle w:val="Compact"/>
              <w:jc w:val="left"/>
            </w:pPr>
            <w:r>
              <w:t xml:space="preserve">Target shadow trades</w:t>
            </w:r>
          </w:p>
        </w:tc>
        <w:tc>
          <w:tcPr/>
          <w:p>
            <w:pPr>
              <w:pStyle w:val="Compact"/>
              <w:jc w:val="left"/>
            </w:pPr>
            <w:r>
              <w:t xml:space="preserve">—</w:t>
            </w:r>
          </w:p>
        </w:tc>
        <w:tc>
          <w:tcPr/>
          <w:p>
            <w:pPr>
              <w:pStyle w:val="Compact"/>
              <w:jc w:val="left"/>
            </w:pPr>
            <w:r>
              <w:rPr>
                <w:bCs/>
                <w:b/>
              </w:rPr>
              <w:t xml:space="preserve">25+ across ES, NQ, ZN</w:t>
            </w:r>
          </w:p>
        </w:tc>
        <w:tc>
          <w:tcPr/>
          <w:p>
            <w:pPr>
              <w:pStyle w:val="Compact"/>
              <w:jc w:val="left"/>
            </w:pPr>
            <w:r>
              <w:t xml:space="preserve">New</w:t>
            </w:r>
          </w:p>
        </w:tc>
        <w:tc>
          <w:tcPr/>
          <w:p>
            <w:pPr>
              <w:pStyle w:val="Compact"/>
              <w:jc w:val="left"/>
            </w:pPr>
            <w:r>
              <w:t xml:space="preserve">Sufficient for n=20 meaningful assessment [^29^]</w:t>
            </w:r>
          </w:p>
        </w:tc>
      </w:tr>
      <w:tr>
        <w:tc>
          <w:tcPr/>
          <w:p>
            <w:pPr>
              <w:pStyle w:val="Compact"/>
              <w:jc w:val="left"/>
            </w:pPr>
            <w:r>
              <w:t xml:space="preserve">Graduation threshold</w:t>
            </w:r>
          </w:p>
        </w:tc>
        <w:tc>
          <w:tcPr/>
          <w:p>
            <w:pPr>
              <w:pStyle w:val="Compact"/>
              <w:jc w:val="left"/>
            </w:pPr>
            <w:r>
              <w:t xml:space="preserve">—</w:t>
            </w:r>
          </w:p>
        </w:tc>
        <w:tc>
          <w:tcPr/>
          <w:p>
            <w:pPr>
              <w:pStyle w:val="Compact"/>
              <w:jc w:val="left"/>
            </w:pPr>
            <w:r>
              <w:t xml:space="preserve">n&gt;=20, PF &gt; 1.2</w:t>
            </w:r>
          </w:p>
        </w:tc>
        <w:tc>
          <w:tcPr/>
          <w:p>
            <w:pPr>
              <w:pStyle w:val="Compact"/>
              <w:jc w:val="left"/>
            </w:pPr>
            <w:r>
              <w:t xml:space="preserve">New</w:t>
            </w:r>
          </w:p>
        </w:tc>
        <w:tc>
          <w:tcPr/>
          <w:p>
            <w:pPr>
              <w:pStyle w:val="Compact"/>
              <w:jc w:val="left"/>
            </w:pPr>
            <w:r>
              <w:t xml:space="preserve">Live deployment at 0.5x sizing [^30^]</w:t>
            </w:r>
          </w:p>
        </w:tc>
      </w:tr>
    </w:tbl>
    <w:p>
      <w:pPr>
        <w:pStyle w:val="BodyText"/>
      </w:pPr>
      <w:r>
        <w:t xml:space="preserve">The futures universe is prioritized by liquidity, volatility fit, and data availability. E-mini S&amp;P 500 (ES=F) leads with $200B+ in average daily volume and 13% annualized volatility, offering the fastest path to statistical significance at an estimated 2–3 weeks [^31^]. E-mini Nasdaq (NQ=F) follows at $80B+ daily volume with 18% volatility, well-suited to momentum and trend strategies. Ten-year Treasury Note futures (ZN=F) at $100B+ volume offer a natural extension of the bond_connors_rsi2 strategy into the futures space, with an estimated 3–4 week data horizon [^32^]. Gold (GC=F), crude oil (CL=F), and Dow futures (YM=F) are secondary priorities with longer accumulation timelines.</w:t>
      </w:r>
    </w:p>
    <w:p>
      <w:pPr>
        <w:pStyle w:val="BodyText"/>
      </w:pPr>
      <w:r>
        <w:t xml:space="preserve">This prioritization reflects a deliberate sequencing decision. ES=F and NQ=F are the deepest and most liquid futures markets globally, which means two things: signal fills occur with minimal slippage (typically 1–2 ticks for retail-sized orders), and the strategies that work on these instruments have the highest probability of scaling to larger allocations without alpha decay. ZN=F is prioritized third not because its edge is expected to be largest — the bond_connors_rsi2 strategy’s PF of 1.72 on cash instruments already validates the model — but because it offers portfolio-level diversification that ES=F and NQ=F, both equity-index-correlated, cannot provide. A futures sleeve composed solely of equity index futures has an estimated intra-sleeve correlation of 0.90+, offering minimal diversification benefit; adding ZN=F reduces this to approximately 0.65, which materially improves risk-adjusted returns at the portfolio level [^43^].</w:t>
      </w:r>
    </w:p>
    <w:p>
      <w:pPr>
        <w:pStyle w:val="BodyText"/>
      </w:pPr>
      <w:r>
        <w:t xml:space="preserve">A critical overlay for any futures sleeve is the roll-yield factor. All five major futures markets (CL, GC, ZN, ES, NQ) were in contango as of May 2026, meaning long positions in all of these instruments face a structural headwind at contract roll [^33^]. The recommended rule is mechanically simple: when annualized contango exceeds 1%, reduce long futures positions by 25%; when backwardation exceeds 1%, increase long positions by 25% [^34^]. This is structural alpha — it requires no directional forecasting, costs nothing to implement beyond the existing data feeds, and has been shown to add 0.5–1.0% annually to futures strategy returns in academic studies. The roll-yield overlay should be treated as a position-sizing modifier rather than a standalone strategy, integrated into the signal execution layer.</w:t>
      </w:r>
    </w:p>
    <w:p>
      <w:pPr>
        <w:pStyle w:val="BodyText"/>
      </w:pPr>
      <w:r>
        <w:t xml:space="preserve">The roll-yield implementation requires calculating the annualized term structure spread between the front-month contract and the second-nearest contract for each instrument. For ES=F, contango averaged approximately 0.3% annualized in Q1 2026 — below the 1% threshold, so no position reduction was triggered. For CL=F, contango spiked to 8–12% annualized during the Iran disruption as near-dated contracts traded at steep discounts to deferred months due to supply fears; a long CL=F position during this period would have faced both directional volatility and a severe roll headwind, and the 25% reduction rule would have mitigated approximately 40% of the roll-related losses [^44^]. The calculation is performed daily at the signal generation stage, with position multipliers updated before the market open. Because roll yield is a persistent factor — contango in equity indices has been the baseline condition for the past decade — the overlay produces a small but reliable improvement in risk-adjusted returns that compounds meaningfully over multi-year horizons.</w:t>
      </w:r>
    </w:p>
    <w:p>
      <w:pPr>
        <w:pStyle w:val="BodyText"/>
      </w:pPr>
      <w:r>
        <w:t xml:space="preserve">The ZN=F deployment deserves specific emphasis because it offers a bridge between the bond and futures sleeves. The bond_connors_rsi2 strategy (PF 1.72 on cash bonds) can be directly ported to 10-year Treasury Note futures with minimal modification. ZN=F provides deep liquidity ($100B+ ADV), exchange-traded transparency, and lower transaction costs than the underlying ETF products [^35^]. Deploying the RSI-2 mean-reversion strategy on ZN=F in parallel with the existing TLT/IEF/LQD cash bond picks expands the addressable signal pool without introducing new model risk. Care must be taken to avoid double-counting: when both a cash bond pick and a ZN=F signal trigger simultaneously, only the more liquid instrument (typically ZN=F) should be taken, with a cross-asset de-duplication rule enforced at the portfolio construction layer.</w:t>
      </w:r>
    </w:p>
    <w:p>
      <w:pPr>
        <w:pStyle w:val="BodyText"/>
      </w:pPr>
      <w:r>
        <w:t xml:space="preserve">The accumulation timeline projects n=20 within 4–6 weeks of filter relaxation, assuming normal market conditions and the current signal-generation rate [^36^]. The 30-day shadow mode serves two purposes: it prevents live capital from being exposed to unvalidated signals, and it produces the data required for a statistically grounded go/no-go decision. The shadow protocol should track five metrics for each generated pick: entry signal timestamp, entry price, exit signal timestamp, exit price, and time-in-trade. These data feed directly into the PF, WR, and MDD calculations used at the 30-day checkpoint. If shadow results at n=20 show PF &gt; 1.2, the futures sleeve graduates to live trading at 0.5x standard position sizing. If PF &lt; 1.0, the sleeve is rejected and the development effort is redirected. A middle outcome — PF between 1.0 and 1.2 — triggers a 15-day shadow extension with tightened filters (scoreFloor raised to 30) to determine whether marginal picks are diluting performance [^45^]. Historical CTA momentum strategies on liquid equity and rate futures have posted WR of 45–55% and PF of 1.1–1.4, suggesting that the n=20 threshold is achievable but not guaranteed [^37^]. The 50% probability of futures edge being non-existent is the highest among the three asset classes discussed in this chapter, and the shadow-mode-first protocol is the appropriate risk management response.</w:t>
      </w:r>
    </w:p>
    <w:p>
      <w:pPr>
        <w:pStyle w:val="BodyText"/>
      </w:pPr>
      <w:r>
        <w:t xml:space="preserve">At the portfolio level, successful bond and futures expansion would increase allocation from the current 5% (bonds) and &lt;1% (futures) to targets of 15% and 8% respectively over a 12-month horizon, with projected annual returns of +8–15% (bonds at 6% volatility) and +10–20% (futures at 12% volatility) [^38^]. The combined contribution to portfolio Sharpe is projected at +0.15 to +0.25, driven primarily by the bond sleeve given its negative correlation to equities (-0.30) and the yield curve steepener’s convex payoff profile in a re-steepening environment. The key dependency is the bond-equity correlation regime: if 30-day TLT-SPY correlation rises above +0.50, bond hedging value collapses and allocation should be reduced by 50% immediately, with capital rotated to gold (GLD) or cash equivalents pending correlation normalization [^39^].</w:t>
      </w:r>
    </w:p>
    <w:p>
      <w:pPr>
        <w:pStyle w:val="BodyText"/>
      </w:pPr>
      <w:r>
        <w:t xml:space="preserve">The sequencing of these three initiatives carries practical significance. The bond gate relaxation should be implemented first — it requires minimal engineering (one parameter change), produces immediate signal flow, and carries the highest probability of success given the already-validated PF of 1.72. The commodity confidence gate retention and triple-screen design should proceed in parallel, as this is primarily a research and development effort with no live capital at risk during the rebuild phase. The futures accumulation mode should launch third, after the bond and commodity paths are established, because it requires the most shadow-mode time and has the highest uncertainty about whether any edge exists. This sequencing ensures that engineering and research bandwidth is allocated to the highest-conviction, highest-impact changes first, while the lower-probability futures exploration proceeds without distracting from immediate value creation [^46^].</w:t>
      </w:r>
    </w:p>
    <w:p>
      <w:pPr>
        <w:pStyle w:val="BodyText"/>
      </w:pPr>
      <w:r>
        <w:t xml:space="preserve">The risk of inaction is quantifiable. At current allocations, the platform is underweight bonds by approximately 10 percentage points relative to the HRP-optimal allocation of 15%, leaving approximately $1.0M in a $10M portfolio under-deployed in the only asset class with demonstrated negative equity correlation. The futures sleeve at &lt;1% is effectively a rounding error — even a modest futures edge of PF 1.2 and WR 48% would add an estimated +0.5% to portfolio-level annual return if scaled to the 8% target. The combined cost of the status quo is therefore projected at 50–100 basis points of annual return foregone, plus the uncompensated portfolio volatility that would be absorbed by a properly sized bond hedge. These are not catastrophic numbers, but they are unnecessary — the fix for bonds requires a single parameter adjustment, and the fix for futures requires 30 days of shadow-mode patience [^47^].</w:t>
      </w:r>
    </w:p>
    <w:p>
      <w:r>
        <w:pict>
          <v:rect style="width:0;height:1.5pt" o:hralign="center" o:hrstd="t" o:hr="t"/>
        </w:pict>
      </w:r>
    </w:p>
    <w:bookmarkEnd w:id="216"/>
    <w:bookmarkEnd w:id="217"/>
    <w:bookmarkStart w:id="274" w:name="killed-alpha-near-miss-analysis"/>
    <w:p>
      <w:pPr>
        <w:pStyle w:val="Heading2"/>
      </w:pPr>
      <w:r>
        <w:t xml:space="preserve">5. Killed Alpha — Near-Miss Analysis</w:t>
      </w:r>
    </w:p>
    <w:bookmarkStart w:id="230" w:name="X254afae64746fd0e1f45e6f8560c99a92dd502d"/>
    <w:p>
      <w:pPr>
        <w:pStyle w:val="Heading3"/>
      </w:pPr>
      <w:r>
        <w:t xml:space="preserve">5.1 Quantified Impact of Over-Restrictive Gates</w:t>
      </w:r>
    </w:p>
    <w:p>
      <w:pPr>
        <w:pStyle w:val="FirstParagraph"/>
      </w:pPr>
      <w:r>
        <w:t xml:space="preserve">The shadow-blocked pick analysis represents the most consequential forensic exercise undertaken in this audit. By tracking 500 picks that the platform’s gates intercepted before they could reach production — of which 253 resolved with known outcomes — the analysis reconstructs a counterfactual P&amp;L that exposes the full cost of excessive risk aversion in the filtering architecture</w:t>
      </w:r>
      <w:r>
        <w:rPr>
          <w:rStyle w:val="FootnoteReference"/>
        </w:rPr>
        <w:footnoteReference w:id="218"/>
      </w:r>
      <w:r>
        <w:t xml:space="preserve">. The headline figure is stark:</w:t>
      </w:r>
      <w:r>
        <w:t xml:space="preserve"> </w:t>
      </w:r>
      <w:r>
        <w:rPr>
          <w:bCs/>
          <w:b/>
        </w:rPr>
        <w:t xml:space="preserve">+969.50% in aggregate PnL left on the table</w:t>
      </w:r>
      <w:r>
        <w:t xml:space="preserve">, equivalent to</w:t>
      </w:r>
      <w:r>
        <w:t xml:space="preserve"> </w:t>
      </w:r>
      <w:r>
        <w:rPr>
          <w:bCs/>
          <w:b/>
        </w:rPr>
        <w:t xml:space="preserve">$19,390 in foregone profit at $2,000 per pick allocation</w:t>
      </w:r>
      <w:r>
        <w:rPr>
          <w:rStyle w:val="FootnoteReference"/>
        </w:rPr>
        <w:footnoteReference w:id="219"/>
      </w:r>
      <w:r>
        <w:t xml:space="preserve">. Against this, the gates prevented</w:t>
      </w:r>
      <w:r>
        <w:t xml:space="preserve"> </w:t>
      </w:r>
      <w:r>
        <w:rPr>
          <w:bCs/>
          <w:b/>
        </w:rPr>
        <w:t xml:space="preserve">-995.66%</w:t>
      </w:r>
      <w:r>
        <w:t xml:space="preserve"> </w:t>
      </w:r>
      <w:r>
        <w:t xml:space="preserve">in would-be losses, yielding a net gate impact of approximately</w:t>
      </w:r>
      <w:r>
        <w:t xml:space="preserve"> </w:t>
      </w:r>
      <w:r>
        <w:rPr>
          <w:bCs/>
          <w:b/>
        </w:rPr>
        <w:t xml:space="preserve">-$523</w:t>
      </w:r>
      <w:r>
        <w:t xml:space="preserve"> </w:t>
      </w:r>
      <w:r>
        <w:t xml:space="preserve">— functionally break-even</w:t>
      </w:r>
      <w:r>
        <w:rPr>
          <w:rStyle w:val="FootnoteReference"/>
        </w:rPr>
        <w:footnoteReference w:id="220"/>
      </w:r>
      <w:r>
        <w:t xml:space="preserve">. The arithmetic alone suggests a system that destroys as much value as it preserves.</w:t>
      </w:r>
    </w:p>
    <w:p>
      <w:pPr>
        <w:pStyle w:val="BodyText"/>
      </w:pPr>
      <w:r>
        <w:t xml:space="preserve">However, the break-even surface conceals an enormous opportunity cost. The 141 winning picks that were blocked — labeled KILLED_ALPHA — represent irrecoverable upside: once a signal is rejected, no downstream mechanism can retroactively capture it. The 112 losers that were correctly blocked — labeled SAVED — are by contrast a recoverable category; alternative gating mechanisms with superior discriminative power could theoretically achieve comparable loss prevention without sacrificing the same magnitude of winners. The asymmetry between irreversible foregone gains and replaceable avoided losses is the central conceptual framework for this chapter.</w:t>
      </w:r>
    </w:p>
    <w:p>
      <w:pPr>
        <w:pStyle w:val="BodyText"/>
      </w:pPr>
      <w:r>
        <w:t xml:space="preserve">The distribution of blocks across gates reveals that a single filter dominates the damage. QUALITY_GATE, which applies an</w:t>
      </w:r>
      <w:r>
        <w:t xml:space="preserve"> </w:t>
      </w:r>
      <w:r>
        <w:rPr>
          <w:rStyle w:val="VerbatimChar"/>
        </w:rPr>
        <w:t xml:space="preserve">elite_score &lt; 30</w:t>
      </w:r>
      <w:r>
        <w:t xml:space="preserve"> </w:t>
      </w:r>
      <w:r>
        <w:t xml:space="preserve">threshold, accounts for</w:t>
      </w:r>
      <w:r>
        <w:t xml:space="preserve"> </w:t>
      </w:r>
      <w:r>
        <w:rPr>
          <w:bCs/>
          <w:b/>
        </w:rPr>
        <w:t xml:space="preserve">420 of 500 total blocks (84.0%)</w:t>
      </w:r>
      <w:r>
        <w:t xml:space="preserve"> </w:t>
      </w:r>
      <w:r>
        <w:t xml:space="preserve">and is responsible for</w:t>
      </w:r>
      <w:r>
        <w:t xml:space="preserve"> </w:t>
      </w:r>
      <w:r>
        <w:rPr>
          <w:bCs/>
          <w:b/>
        </w:rPr>
        <w:t xml:space="preserve">113 of 141 KILLED_ALPHA picks (80.1%)</w:t>
      </w:r>
      <w:r>
        <w:rPr>
          <w:rStyle w:val="FootnoteReference"/>
        </w:rPr>
        <w:footnoteReference w:id="221"/>
      </w:r>
      <w:r>
        <w:t xml:space="preserve">. RR_GATE, enforcing a risk-reward floor of 1.5, accounts for 63 blocks (12.6%) and 23 KILLED_ALPHA picks. WINNER_FILTER, which blocks signals with confidence exceeding 0.85 under an overfitting hypothesis, accounts for only 7 blocks (1.4%) but contributed 5 KILLED_ALPHA picks — a 100% error rate</w:t>
      </w:r>
      <w:r>
        <w:rPr>
          <w:rStyle w:val="FootnoteReference"/>
        </w:rPr>
        <w:footnoteReference w:id="222"/>
      </w:r>
      <w:r>
        <w:t xml:space="preserve">. The concentration of damage in QUALITY_GATE means that replacing or recalibrating this single filter offers disproportionate leverage on system-wide performance.</w:t>
      </w:r>
    </w:p>
    <w:p>
      <w:pPr>
        <w:pStyle w:val="BodyText"/>
      </w:pPr>
      <w:r>
        <w:rPr>
          <w:bCs/>
          <w:b/>
        </w:rPr>
        <w:t xml:space="preserve">Table 5.1</w:t>
      </w:r>
      <w:r>
        <w:t xml:space="preserve"> </w:t>
      </w:r>
      <w:r>
        <w:t xml:space="preserve">consolidates the per-gate accuracy, pick counts, and dollarized P&amp;L impact from the resolved sample.</w:t>
      </w:r>
    </w:p>
    <w:tbl>
      <w:tblPr>
        <w:tblStyle w:val="Table"/>
        <w:tblW w:type="pct" w:w="5000"/>
        <w:tblLook w:firstRow="1" w:lastRow="0" w:firstColumn="0" w:lastColumn="0" w:noHBand="0" w:noVBand="0" w:val="0020"/>
      </w:tblPr>
      <w:tblGrid>
        <w:gridCol w:w="879"/>
        <w:gridCol w:w="879"/>
        <w:gridCol w:w="879"/>
        <w:gridCol w:w="879"/>
        <w:gridCol w:w="879"/>
        <w:gridCol w:w="879"/>
        <w:gridCol w:w="879"/>
        <w:gridCol w:w="879"/>
        <w:gridCol w:w="879"/>
      </w:tblGrid>
      <w:tr>
        <w:trPr>
          <w:tblHeader w:val="true"/>
        </w:trPr>
        <w:tc>
          <w:tcPr/>
          <w:p>
            <w:pPr>
              <w:pStyle w:val="Compact"/>
              <w:jc w:val="left"/>
            </w:pPr>
            <w:r>
              <w:t xml:space="preserve">Gate</w:t>
            </w:r>
          </w:p>
        </w:tc>
        <w:tc>
          <w:tcPr/>
          <w:p>
            <w:pPr>
              <w:pStyle w:val="Compact"/>
              <w:jc w:val="right"/>
            </w:pPr>
            <w:r>
              <w:t xml:space="preserve">Blocks (n)</w:t>
            </w:r>
          </w:p>
        </w:tc>
        <w:tc>
          <w:tcPr/>
          <w:p>
            <w:pPr>
              <w:pStyle w:val="Compact"/>
              <w:jc w:val="right"/>
            </w:pPr>
            <w:r>
              <w:t xml:space="preserve">% of Total</w:t>
            </w:r>
          </w:p>
        </w:tc>
        <w:tc>
          <w:tcPr/>
          <w:p>
            <w:pPr>
              <w:pStyle w:val="Compact"/>
              <w:jc w:val="right"/>
            </w:pPr>
            <w:r>
              <w:t xml:space="preserve">KILLED ALPHA</w:t>
            </w:r>
          </w:p>
        </w:tc>
        <w:tc>
          <w:tcPr/>
          <w:p>
            <w:pPr>
              <w:pStyle w:val="Compact"/>
              <w:jc w:val="right"/>
            </w:pPr>
            <w:r>
              <w:t xml:space="preserve">SAVED</w:t>
            </w:r>
          </w:p>
        </w:tc>
        <w:tc>
          <w:tcPr/>
          <w:p>
            <w:pPr>
              <w:pStyle w:val="Compact"/>
              <w:jc w:val="right"/>
            </w:pPr>
            <w:r>
              <w:t xml:space="preserve">Kill Rate</w:t>
            </w:r>
          </w:p>
        </w:tc>
        <w:tc>
          <w:tcPr/>
          <w:p>
            <w:pPr>
              <w:pStyle w:val="Compact"/>
              <w:jc w:val="right"/>
            </w:pPr>
            <w:r>
              <w:t xml:space="preserve">Kill PnL%</w:t>
            </w:r>
          </w:p>
        </w:tc>
        <w:tc>
          <w:tcPr/>
          <w:p>
            <w:pPr>
              <w:pStyle w:val="Compact"/>
              <w:jc w:val="right"/>
            </w:pPr>
            <w:r>
              <w:t xml:space="preserve">Saved PnL%</w:t>
            </w:r>
          </w:p>
        </w:tc>
        <w:tc>
          <w:tcPr/>
          <w:p>
            <w:pPr>
              <w:pStyle w:val="Compact"/>
              <w:jc w:val="right"/>
            </w:pPr>
            <w:r>
              <w:t xml:space="preserve">Dollar Net (@$2K)</w:t>
            </w:r>
          </w:p>
        </w:tc>
      </w:tr>
      <w:tr>
        <w:tc>
          <w:tcPr/>
          <w:p>
            <w:pPr>
              <w:pStyle w:val="Compact"/>
              <w:jc w:val="left"/>
            </w:pPr>
            <w:r>
              <w:t xml:space="preserve">QUALITY_GATE (elite_score &lt; 30)</w:t>
            </w:r>
          </w:p>
        </w:tc>
        <w:tc>
          <w:tcPr/>
          <w:p>
            <w:pPr>
              <w:pStyle w:val="Compact"/>
              <w:jc w:val="right"/>
            </w:pPr>
            <w:r>
              <w:t xml:space="preserve">420</w:t>
            </w:r>
          </w:p>
        </w:tc>
        <w:tc>
          <w:tcPr/>
          <w:p>
            <w:pPr>
              <w:pStyle w:val="Compact"/>
              <w:jc w:val="right"/>
            </w:pPr>
            <w:r>
              <w:t xml:space="preserve">84.0%</w:t>
            </w:r>
          </w:p>
        </w:tc>
        <w:tc>
          <w:tcPr/>
          <w:p>
            <w:pPr>
              <w:pStyle w:val="Compact"/>
              <w:jc w:val="right"/>
            </w:pPr>
            <w:r>
              <w:t xml:space="preserve">113</w:t>
            </w:r>
          </w:p>
        </w:tc>
        <w:tc>
          <w:tcPr/>
          <w:p>
            <w:pPr>
              <w:pStyle w:val="Compact"/>
              <w:jc w:val="right"/>
            </w:pPr>
            <w:r>
              <w:t xml:space="preserve">89</w:t>
            </w:r>
          </w:p>
        </w:tc>
        <w:tc>
          <w:tcPr/>
          <w:p>
            <w:pPr>
              <w:pStyle w:val="Compact"/>
              <w:jc w:val="right"/>
            </w:pPr>
            <w:r>
              <w:t xml:space="preserve">55.9%</w:t>
            </w:r>
          </w:p>
        </w:tc>
        <w:tc>
          <w:tcPr/>
          <w:p>
            <w:pPr>
              <w:pStyle w:val="Compact"/>
              <w:jc w:val="right"/>
            </w:pPr>
            <w:r>
              <w:t xml:space="preserve">+861.23%</w:t>
            </w:r>
          </w:p>
        </w:tc>
        <w:tc>
          <w:tcPr/>
          <w:p>
            <w:pPr>
              <w:pStyle w:val="Compact"/>
              <w:jc w:val="right"/>
            </w:pPr>
            <w:r>
              <w:t xml:space="preserve">-938.25%</w:t>
            </w:r>
          </w:p>
        </w:tc>
        <w:tc>
          <w:tcPr/>
          <w:p>
            <w:pPr>
              <w:pStyle w:val="Compact"/>
              <w:jc w:val="right"/>
            </w:pPr>
            <w:r>
              <w:t xml:space="preserve">-$1,540</w:t>
            </w:r>
          </w:p>
        </w:tc>
      </w:tr>
      <w:tr>
        <w:tc>
          <w:tcPr/>
          <w:p>
            <w:pPr>
              <w:pStyle w:val="Compact"/>
              <w:jc w:val="left"/>
            </w:pPr>
            <w:r>
              <w:t xml:space="preserve">RR_GATE (R:R &lt; 1.5)</w:t>
            </w:r>
          </w:p>
        </w:tc>
        <w:tc>
          <w:tcPr/>
          <w:p>
            <w:pPr>
              <w:pStyle w:val="Compact"/>
              <w:jc w:val="right"/>
            </w:pPr>
            <w:r>
              <w:t xml:space="preserve">63</w:t>
            </w:r>
          </w:p>
        </w:tc>
        <w:tc>
          <w:tcPr/>
          <w:p>
            <w:pPr>
              <w:pStyle w:val="Compact"/>
              <w:jc w:val="right"/>
            </w:pPr>
            <w:r>
              <w:t xml:space="preserve">12.6%</w:t>
            </w:r>
          </w:p>
        </w:tc>
        <w:tc>
          <w:tcPr/>
          <w:p>
            <w:pPr>
              <w:pStyle w:val="Compact"/>
              <w:jc w:val="right"/>
            </w:pPr>
            <w:r>
              <w:t xml:space="preserve">23</w:t>
            </w:r>
          </w:p>
        </w:tc>
        <w:tc>
          <w:tcPr/>
          <w:p>
            <w:pPr>
              <w:pStyle w:val="Compact"/>
              <w:jc w:val="right"/>
            </w:pPr>
            <w:r>
              <w:t xml:space="preserve">23</w:t>
            </w:r>
          </w:p>
        </w:tc>
        <w:tc>
          <w:tcPr/>
          <w:p>
            <w:pPr>
              <w:pStyle w:val="Compact"/>
              <w:jc w:val="right"/>
            </w:pPr>
            <w:r>
              <w:t xml:space="preserve">50.0%</w:t>
            </w:r>
          </w:p>
        </w:tc>
        <w:tc>
          <w:tcPr/>
          <w:p>
            <w:pPr>
              <w:pStyle w:val="Compact"/>
              <w:jc w:val="right"/>
            </w:pPr>
            <w:r>
              <w:t xml:space="preserve">+78.87%</w:t>
            </w:r>
          </w:p>
        </w:tc>
        <w:tc>
          <w:tcPr/>
          <w:p>
            <w:pPr>
              <w:pStyle w:val="Compact"/>
              <w:jc w:val="right"/>
            </w:pPr>
            <w:r>
              <w:t xml:space="preserve">-57.41%</w:t>
            </w:r>
          </w:p>
        </w:tc>
        <w:tc>
          <w:tcPr/>
          <w:p>
            <w:pPr>
              <w:pStyle w:val="Compact"/>
              <w:jc w:val="right"/>
            </w:pPr>
            <w:r>
              <w:t xml:space="preserve">+$429</w:t>
            </w:r>
          </w:p>
        </w:tc>
      </w:tr>
      <w:tr>
        <w:tc>
          <w:tcPr/>
          <w:p>
            <w:pPr>
              <w:pStyle w:val="Compact"/>
              <w:jc w:val="left"/>
            </w:pPr>
            <w:r>
              <w:t xml:space="preserve">WINNER_FILTER (conf &gt; 0.85)</w:t>
            </w:r>
          </w:p>
        </w:tc>
        <w:tc>
          <w:tcPr/>
          <w:p>
            <w:pPr>
              <w:pStyle w:val="Compact"/>
              <w:jc w:val="right"/>
            </w:pPr>
            <w:r>
              <w:t xml:space="preserve">7</w:t>
            </w:r>
          </w:p>
        </w:tc>
        <w:tc>
          <w:tcPr/>
          <w:p>
            <w:pPr>
              <w:pStyle w:val="Compact"/>
              <w:jc w:val="right"/>
            </w:pPr>
            <w:r>
              <w:t xml:space="preserve">1.4%</w:t>
            </w:r>
          </w:p>
        </w:tc>
        <w:tc>
          <w:tcPr/>
          <w:p>
            <w:pPr>
              <w:pStyle w:val="Compact"/>
              <w:jc w:val="right"/>
            </w:pPr>
            <w:r>
              <w:t xml:space="preserve">5</w:t>
            </w:r>
          </w:p>
        </w:tc>
        <w:tc>
          <w:tcPr/>
          <w:p>
            <w:pPr>
              <w:pStyle w:val="Compact"/>
              <w:jc w:val="right"/>
            </w:pPr>
            <w:r>
              <w:t xml:space="preserve">0</w:t>
            </w:r>
          </w:p>
        </w:tc>
        <w:tc>
          <w:tcPr/>
          <w:p>
            <w:pPr>
              <w:pStyle w:val="Compact"/>
              <w:jc w:val="right"/>
            </w:pPr>
            <w:r>
              <w:t xml:space="preserve">100.0%</w:t>
            </w:r>
          </w:p>
        </w:tc>
        <w:tc>
          <w:tcPr/>
          <w:p>
            <w:pPr>
              <w:pStyle w:val="Compact"/>
              <w:jc w:val="right"/>
            </w:pPr>
            <w:r>
              <w:t xml:space="preserve">+29.40%</w:t>
            </w:r>
          </w:p>
        </w:tc>
        <w:tc>
          <w:tcPr/>
          <w:p>
            <w:pPr>
              <w:pStyle w:val="Compact"/>
              <w:jc w:val="right"/>
            </w:pPr>
            <w:r>
              <w:t xml:space="preserve">0.00%</w:t>
            </w:r>
          </w:p>
        </w:tc>
        <w:tc>
          <w:tcPr/>
          <w:p>
            <w:pPr>
              <w:pStyle w:val="Compact"/>
              <w:jc w:val="right"/>
            </w:pPr>
            <w:r>
              <w:t xml:space="preserve">-$588</w:t>
            </w:r>
          </w:p>
        </w:tc>
      </w:tr>
      <w:tr>
        <w:tc>
          <w:tcPr/>
          <w:p>
            <w:pPr>
              <w:pStyle w:val="Compact"/>
              <w:jc w:val="left"/>
            </w:pPr>
            <w:r>
              <w:t xml:space="preserve">FOREX_GATE (WR &lt; 30%)</w:t>
            </w:r>
          </w:p>
        </w:tc>
        <w:tc>
          <w:tcPr/>
          <w:p>
            <w:pPr>
              <w:pStyle w:val="Compact"/>
              <w:jc w:val="right"/>
            </w:pPr>
            <w:r>
              <w:t xml:space="preserve">10</w:t>
            </w:r>
          </w:p>
        </w:tc>
        <w:tc>
          <w:tcPr/>
          <w:p>
            <w:pPr>
              <w:pStyle w:val="Compact"/>
              <w:jc w:val="right"/>
            </w:pPr>
            <w:r>
              <w:t xml:space="preserve">2.0%</w:t>
            </w:r>
          </w:p>
        </w:tc>
        <w:tc>
          <w:tcPr/>
          <w:p>
            <w:pPr>
              <w:pStyle w:val="Compact"/>
              <w:jc w:val="right"/>
            </w:pPr>
            <w:r>
              <w:t xml:space="preserve">0</w:t>
            </w:r>
          </w:p>
        </w:tc>
        <w:tc>
          <w:tcPr/>
          <w:p>
            <w:pPr>
              <w:pStyle w:val="Compact"/>
              <w:jc w:val="right"/>
            </w:pPr>
            <w:r>
              <w:t xml:space="preserve">0</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r>
        <w:tc>
          <w:tcPr/>
          <w:p>
            <w:pPr>
              <w:pStyle w:val="Compact"/>
              <w:jc w:val="left"/>
            </w:pPr>
            <w:r>
              <w:rPr>
                <w:bCs/>
                <w:b/>
              </w:rPr>
              <w:t xml:space="preserve">Total / Overall</w:t>
            </w:r>
          </w:p>
        </w:tc>
        <w:tc>
          <w:tcPr/>
          <w:p>
            <w:pPr>
              <w:pStyle w:val="Compact"/>
              <w:jc w:val="right"/>
            </w:pPr>
            <w:r>
              <w:rPr>
                <w:bCs/>
                <w:b/>
              </w:rPr>
              <w:t xml:space="preserve">500</w:t>
            </w:r>
          </w:p>
        </w:tc>
        <w:tc>
          <w:tcPr/>
          <w:p>
            <w:pPr>
              <w:pStyle w:val="Compact"/>
              <w:jc w:val="right"/>
            </w:pPr>
            <w:r>
              <w:rPr>
                <w:bCs/>
                <w:b/>
              </w:rPr>
              <w:t xml:space="preserve">100.0%</w:t>
            </w:r>
          </w:p>
        </w:tc>
        <w:tc>
          <w:tcPr/>
          <w:p>
            <w:pPr>
              <w:pStyle w:val="Compact"/>
              <w:jc w:val="right"/>
            </w:pPr>
            <w:r>
              <w:rPr>
                <w:bCs/>
                <w:b/>
              </w:rPr>
              <w:t xml:space="preserve">141</w:t>
            </w:r>
          </w:p>
        </w:tc>
        <w:tc>
          <w:tcPr/>
          <w:p>
            <w:pPr>
              <w:pStyle w:val="Compact"/>
              <w:jc w:val="right"/>
            </w:pPr>
            <w:r>
              <w:rPr>
                <w:bCs/>
                <w:b/>
              </w:rPr>
              <w:t xml:space="preserve">112</w:t>
            </w:r>
          </w:p>
        </w:tc>
        <w:tc>
          <w:tcPr/>
          <w:p>
            <w:pPr>
              <w:pStyle w:val="Compact"/>
              <w:jc w:val="right"/>
            </w:pPr>
            <w:r>
              <w:rPr>
                <w:bCs/>
                <w:b/>
              </w:rPr>
              <w:t xml:space="preserve">55.7%</w:t>
            </w:r>
          </w:p>
        </w:tc>
        <w:tc>
          <w:tcPr/>
          <w:p>
            <w:pPr>
              <w:pStyle w:val="Compact"/>
              <w:jc w:val="right"/>
            </w:pPr>
            <w:r>
              <w:rPr>
                <w:bCs/>
                <w:b/>
              </w:rPr>
              <w:t xml:space="preserve">+969.50%</w:t>
            </w:r>
          </w:p>
        </w:tc>
        <w:tc>
          <w:tcPr/>
          <w:p>
            <w:pPr>
              <w:pStyle w:val="Compact"/>
              <w:jc w:val="right"/>
            </w:pPr>
            <w:r>
              <w:rPr>
                <w:bCs/>
                <w:b/>
              </w:rPr>
              <w:t xml:space="preserve">-995.66%</w:t>
            </w:r>
          </w:p>
        </w:tc>
        <w:tc>
          <w:tcPr/>
          <w:p>
            <w:pPr>
              <w:pStyle w:val="Compact"/>
              <w:jc w:val="right"/>
            </w:pPr>
            <w:r>
              <w:rPr>
                <w:bCs/>
                <w:b/>
              </w:rPr>
              <w:t xml:space="preserve">-$523</w:t>
            </w:r>
          </w:p>
        </w:tc>
      </w:tr>
    </w:tbl>
    <w:p>
      <w:pPr>
        <w:pStyle w:val="BodyText"/>
      </w:pPr>
      <w:r>
        <w:t xml:space="preserve">The interpretation of Table 5.1 warrants careful attention. QUALITY_GATE’s</w:t>
      </w:r>
      <w:r>
        <w:t xml:space="preserve"> </w:t>
      </w:r>
      <w:r>
        <w:rPr>
          <w:bCs/>
          <w:b/>
        </w:rPr>
        <w:t xml:space="preserve">kill rate of 55.7%</w:t>
      </w:r>
      <w:r>
        <w:t xml:space="preserve"> </w:t>
      </w:r>
      <w:r>
        <w:t xml:space="preserve">means that for every 10 picks it blocks, slightly more than 5 would have been profitable — a worse-than-random outcome for a filter that processes 84% of all blocked signals</w:t>
      </w:r>
      <w:r>
        <w:rPr>
          <w:rStyle w:val="FootnoteReference"/>
        </w:rPr>
        <w:footnoteReference w:id="223"/>
      </w:r>
      <w:r>
        <w:t xml:space="preserve">. The dollar net of -$1,540 makes QUALITY_GATE the single largest destroyer of risk-adjusted value. RR_GATE, by contrast, shows a precisely even 50.0% kill rate and a modest positive net of +$429, functioning as a neutral filter with limited discriminative edge. WINNER_FILTER, despite its small sample, delivers the most alarming profile:</w:t>
      </w:r>
      <w:r>
        <w:t xml:space="preserve"> </w:t>
      </w:r>
      <w:r>
        <w:rPr>
          <w:bCs/>
          <w:b/>
        </w:rPr>
        <w:t xml:space="preserve">100% kill rate with zero correct blocks</w:t>
      </w:r>
      <w:r>
        <w:t xml:space="preserve">, translating to $588 in unambiguous, irrecoverable alpha destruction</w:t>
      </w:r>
      <w:r>
        <w:rPr>
          <w:rStyle w:val="FootnoteReference"/>
        </w:rPr>
        <w:footnoteReference w:id="224"/>
      </w:r>
      <w:r>
        <w:t xml:space="preserve">. The data does not support the hypothesis that high confidence signals are overfit; if anything, the blocked confidence band of 0.85–0.90 corresponds to what other analyses identify as a</w:t>
      </w:r>
      <w:r>
        <w:t xml:space="preserve"> </w:t>
      </w:r>
      <w:r>
        <w:rPr>
          <w:bCs/>
          <w:b/>
        </w:rPr>
        <w:t xml:space="preserve">sweet spot with 82% WR and Profit Factor (PF) 11.8</w:t>
      </w:r>
      <w:r>
        <w:rPr>
          <w:rStyle w:val="FootnoteReference"/>
        </w:rPr>
        <w:footnoteReference w:id="225"/>
      </w:r>
      <w:r>
        <w:t xml:space="preserve">.</w:t>
      </w:r>
    </w:p>
    <w:p>
      <w:pPr>
        <w:pStyle w:val="CaptionedFigure"/>
      </w:pPr>
      <w:r>
        <w:drawing>
          <wp:inline>
            <wp:extent cx="5334000" cy="3080091"/>
            <wp:effectExtent b="0" l="0" r="0" t="0"/>
            <wp:docPr descr="Figure 5.1" title="" id="227" name="Picture"/>
            <a:graphic>
              <a:graphicData uri="http://schemas.openxmlformats.org/drawingml/2006/picture">
                <pic:pic>
                  <pic:nvPicPr>
                    <pic:cNvPr descr="gate_accuracy_chart.png" id="228" name="Picture"/>
                    <pic:cNvPicPr>
                      <a:picLocks noChangeArrowheads="1" noChangeAspect="1"/>
                    </pic:cNvPicPr>
                  </pic:nvPicPr>
                  <pic:blipFill>
                    <a:blip r:embed="rId226"/>
                    <a:stretch>
                      <a:fillRect/>
                    </a:stretch>
                  </pic:blipFill>
                  <pic:spPr bwMode="auto">
                    <a:xfrm>
                      <a:off x="0" y="0"/>
                      <a:ext cx="5334000" cy="3080091"/>
                    </a:xfrm>
                    <a:prstGeom prst="rect">
                      <a:avLst/>
                    </a:prstGeom>
                    <a:noFill/>
                    <a:ln w="9525">
                      <a:noFill/>
                      <a:headEnd/>
                      <a:tailEnd/>
                    </a:ln>
                  </pic:spPr>
                </pic:pic>
              </a:graphicData>
            </a:graphic>
          </wp:inline>
        </w:drawing>
      </w:r>
    </w:p>
    <w:p>
      <w:pPr>
        <w:pStyle w:val="ImageCaption"/>
      </w:pPr>
      <w:r>
        <w:t xml:space="preserve">Figure 5.1</w:t>
      </w:r>
    </w:p>
    <w:p>
      <w:pPr>
        <w:pStyle w:val="BodyText"/>
      </w:pPr>
      <w:r>
        <w:rPr>
          <w:iCs/>
          <w:i/>
        </w:rPr>
        <w:t xml:space="preserve">Figure 5.1</w:t>
      </w:r>
      <w:r>
        <w:t xml:space="preserve"> </w:t>
      </w:r>
      <w:r>
        <w:t xml:space="preserve">visualizes the accuracy comparison across the three primary gates. QUALITY_GATE at 44.1% accuracy performs below a random guess benchmark of 50%, RR_GATE sits exactly at the random threshold, and WINNER_FILTER registers 0% — never once correctly identifying a losing trade</w:t>
      </w:r>
      <w:r>
        <w:rPr>
          <w:rStyle w:val="FootnoteReference"/>
        </w:rPr>
        <w:footnoteReference w:id="229"/>
      </w:r>
      <w:r>
        <w:t xml:space="preserve">. The horizontal reference line at 50% serves as a minimum acceptable threshold; no gate in the current architecture meets it.</w:t>
      </w:r>
    </w:p>
    <w:p>
      <w:pPr>
        <w:pStyle w:val="BodyText"/>
      </w:pPr>
      <w:r>
        <w:t xml:space="preserve">The aggregate picture is one of a gating system whose protective function is largely illusory. When a filter responsible for 84% of all blocks operates below coin-flip accuracy, the portfolio is not being defended — it is being deprived of expected returns. The nearly break-even net of -$523 masks a structural misallocation: the system excels at blocking losses it can afford to absorb while missing the asymmetric upside that defines successful multi-asset trading.</w:t>
      </w:r>
    </w:p>
    <w:bookmarkEnd w:id="230"/>
    <w:bookmarkStart w:id="238" w:name="per-gate-accuracy-analysis"/>
    <w:p>
      <w:pPr>
        <w:pStyle w:val="Heading3"/>
      </w:pPr>
      <w:r>
        <w:t xml:space="preserve">5.2 Per-Gate Accuracy Analysis</w:t>
      </w:r>
    </w:p>
    <w:p>
      <w:pPr>
        <w:pStyle w:val="FirstParagraph"/>
      </w:pPr>
      <w:r>
        <w:t xml:space="preserve">Moving beyond aggregate P&amp;L, precision-recall metrics expose the diagnostic failures at the individual gate level.</w:t>
      </w:r>
      <w:r>
        <w:t xml:space="preserve"> </w:t>
      </w:r>
      <w:r>
        <w:rPr>
          <w:bCs/>
          <w:b/>
        </w:rPr>
        <w:t xml:space="preserve">Table 5.2</w:t>
      </w:r>
      <w:r>
        <w:t xml:space="preserve"> </w:t>
      </w:r>
      <w:r>
        <w:t xml:space="preserve">reports precision, recall, and F1 scores for each gate based on the 253 resolved picks.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Gate</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F1 Score</w:t>
            </w:r>
          </w:p>
        </w:tc>
        <w:tc>
          <w:tcPr/>
          <w:p>
            <w:pPr>
              <w:pStyle w:val="Compact"/>
              <w:jc w:val="left"/>
            </w:pPr>
            <w:r>
              <w:t xml:space="preserve">Verdict</w:t>
            </w:r>
          </w:p>
        </w:tc>
      </w:tr>
      <w:tr>
        <w:tc>
          <w:tcPr/>
          <w:p>
            <w:pPr>
              <w:pStyle w:val="Compact"/>
              <w:jc w:val="left"/>
            </w:pPr>
            <w:r>
              <w:t xml:space="preserve">QUALITY_GATE</w:t>
            </w:r>
          </w:p>
        </w:tc>
        <w:tc>
          <w:tcPr/>
          <w:p>
            <w:pPr>
              <w:pStyle w:val="Compact"/>
              <w:jc w:val="right"/>
            </w:pPr>
            <w:r>
              <w:t xml:space="preserve">0.441</w:t>
            </w:r>
          </w:p>
        </w:tc>
        <w:tc>
          <w:tcPr/>
          <w:p>
            <w:pPr>
              <w:pStyle w:val="Compact"/>
              <w:jc w:val="right"/>
            </w:pPr>
            <w:r>
              <w:t xml:space="preserve">1.000</w:t>
            </w:r>
          </w:p>
        </w:tc>
        <w:tc>
          <w:tcPr/>
          <w:p>
            <w:pPr>
              <w:pStyle w:val="Compact"/>
              <w:jc w:val="right"/>
            </w:pPr>
            <w:r>
              <w:t xml:space="preserve">0.612</w:t>
            </w:r>
          </w:p>
        </w:tc>
        <w:tc>
          <w:tcPr/>
          <w:p>
            <w:pPr>
              <w:pStyle w:val="Compact"/>
              <w:jc w:val="left"/>
            </w:pPr>
            <w:r>
              <w:t xml:space="preserve">Worse than random</w:t>
            </w:r>
          </w:p>
        </w:tc>
      </w:tr>
      <w:tr>
        <w:tc>
          <w:tcPr/>
          <w:p>
            <w:pPr>
              <w:pStyle w:val="Compact"/>
              <w:jc w:val="left"/>
            </w:pPr>
            <w:r>
              <w:t xml:space="preserve">RR_GATE</w:t>
            </w:r>
          </w:p>
        </w:tc>
        <w:tc>
          <w:tcPr/>
          <w:p>
            <w:pPr>
              <w:pStyle w:val="Compact"/>
              <w:jc w:val="right"/>
            </w:pPr>
            <w:r>
              <w:t xml:space="preserve">0.500</w:t>
            </w:r>
          </w:p>
        </w:tc>
        <w:tc>
          <w:tcPr/>
          <w:p>
            <w:pPr>
              <w:pStyle w:val="Compact"/>
              <w:jc w:val="right"/>
            </w:pPr>
            <w:r>
              <w:t xml:space="preserve">1.000</w:t>
            </w:r>
          </w:p>
        </w:tc>
        <w:tc>
          <w:tcPr/>
          <w:p>
            <w:pPr>
              <w:pStyle w:val="Compact"/>
              <w:jc w:val="right"/>
            </w:pPr>
            <w:r>
              <w:t xml:space="preserve">0.667</w:t>
            </w:r>
          </w:p>
        </w:tc>
        <w:tc>
          <w:tcPr/>
          <w:p>
            <w:pPr>
              <w:pStyle w:val="Compact"/>
              <w:jc w:val="left"/>
            </w:pPr>
            <w:r>
              <w:t xml:space="preserve">Coin flip</w:t>
            </w:r>
          </w:p>
        </w:tc>
      </w:tr>
      <w:tr>
        <w:tc>
          <w:tcPr/>
          <w:p>
            <w:pPr>
              <w:pStyle w:val="Compact"/>
              <w:jc w:val="left"/>
            </w:pPr>
            <w:r>
              <w:t xml:space="preserve">WINNER_FILTER</w:t>
            </w:r>
          </w:p>
        </w:tc>
        <w:tc>
          <w:tcPr/>
          <w:p>
            <w:pPr>
              <w:pStyle w:val="Compact"/>
              <w:jc w:val="right"/>
            </w:pPr>
            <w:r>
              <w:t xml:space="preserve">0.000</w:t>
            </w:r>
          </w:p>
        </w:tc>
        <w:tc>
          <w:tcPr/>
          <w:p>
            <w:pPr>
              <w:pStyle w:val="Compact"/>
              <w:jc w:val="right"/>
            </w:pPr>
            <w:r>
              <w:t xml:space="preserve">0.000</w:t>
            </w:r>
          </w:p>
        </w:tc>
        <w:tc>
          <w:tcPr/>
          <w:p>
            <w:pPr>
              <w:pStyle w:val="Compact"/>
              <w:jc w:val="right"/>
            </w:pPr>
            <w:r>
              <w:t xml:space="preserve">0.000</w:t>
            </w:r>
          </w:p>
        </w:tc>
        <w:tc>
          <w:tcPr/>
          <w:p>
            <w:pPr>
              <w:pStyle w:val="Compact"/>
              <w:jc w:val="left"/>
            </w:pPr>
            <w:r>
              <w:t xml:space="preserve">Catastrophic failure</w:t>
            </w:r>
          </w:p>
        </w:tc>
      </w:tr>
      <w:tr>
        <w:tc>
          <w:tcPr/>
          <w:p>
            <w:pPr>
              <w:pStyle w:val="Compact"/>
              <w:jc w:val="left"/>
            </w:pPr>
            <w:r>
              <w:rPr>
                <w:bCs/>
                <w:b/>
              </w:rPr>
              <w:t xml:space="preserve">Overall</w:t>
            </w:r>
          </w:p>
        </w:tc>
        <w:tc>
          <w:tcPr/>
          <w:p>
            <w:pPr>
              <w:pStyle w:val="Compact"/>
              <w:jc w:val="right"/>
            </w:pPr>
            <w:r>
              <w:rPr>
                <w:bCs/>
                <w:b/>
              </w:rPr>
              <w:t xml:space="preserve">0.443</w:t>
            </w:r>
          </w:p>
        </w:tc>
        <w:tc>
          <w:tcPr/>
          <w:p>
            <w:pPr>
              <w:pStyle w:val="Compact"/>
              <w:jc w:val="right"/>
            </w:pPr>
            <w:r>
              <w:rPr>
                <w:bCs/>
                <w:b/>
              </w:rPr>
              <w:t xml:space="preserve">1.000</w:t>
            </w:r>
          </w:p>
        </w:tc>
        <w:tc>
          <w:tcPr/>
          <w:p>
            <w:pPr>
              <w:pStyle w:val="Compact"/>
              <w:jc w:val="right"/>
            </w:pPr>
            <w:r>
              <w:rPr>
                <w:bCs/>
                <w:b/>
              </w:rPr>
              <w:t xml:space="preserve">0.614</w:t>
            </w:r>
          </w:p>
        </w:tc>
        <w:tc>
          <w:tcPr/>
          <w:p>
            <w:pPr>
              <w:pStyle w:val="Compact"/>
              <w:jc w:val="left"/>
            </w:pPr>
            <w:r>
              <w:rPr>
                <w:bCs/>
                <w:b/>
              </w:rPr>
              <w:t xml:space="preserve">System blocks indiscriminately</w:t>
            </w:r>
          </w:p>
        </w:tc>
      </w:tr>
    </w:tbl>
    <w:p>
      <w:pPr>
        <w:pStyle w:val="BodyText"/>
      </w:pPr>
      <w:r>
        <w:t xml:space="preserve">The overall precision of</w:t>
      </w:r>
      <w:r>
        <w:t xml:space="preserve"> </w:t>
      </w:r>
      <w:r>
        <w:rPr>
          <w:bCs/>
          <w:b/>
        </w:rPr>
        <w:t xml:space="preserve">0.443</w:t>
      </w:r>
      <w:r>
        <w:t xml:space="preserve"> </w:t>
      </w:r>
      <w:r>
        <w:t xml:space="preserve">indicates that only 44.3% of all blocked picks were genuine losers; the remaining 55.7% were winners that the system destroyed</w:t>
      </w:r>
      <w:r>
        <w:rPr>
          <w:rStyle w:val="FootnoteReference"/>
        </w:rPr>
        <w:footnoteReference w:id="231"/>
      </w:r>
      <w:r>
        <w:t xml:space="preserve">. The perfect recall of 1.000 is not a virtue — it merely reflects that the gates block almost everything, thereby mechanically capturing all true negatives (losers) at the cost of obliterating true positives (winners). The F1 score of 0.614 sits in the poor-to-mediocre range for a binary classifier and would be unacceptable in any production ML system</w:t>
      </w:r>
      <w:r>
        <w:rPr>
          <w:rStyle w:val="FootnoteReference"/>
        </w:rPr>
        <w:footnoteReference w:id="232"/>
      </w:r>
      <w:r>
        <w:t xml:space="preserve">.</w:t>
      </w:r>
    </w:p>
    <w:p>
      <w:pPr>
        <w:pStyle w:val="BodyText"/>
      </w:pPr>
      <w:r>
        <w:t xml:space="preserve">QUALITY_GATE’s precision of 0.441 is the most damaging because of its volume dominance. With 420 blocks out of 500 total, this gate’s below-random precision drags the entire system below breakeven. The</w:t>
      </w:r>
      <w:r>
        <w:t xml:space="preserve"> </w:t>
      </w:r>
      <w:r>
        <w:rPr>
          <w:rStyle w:val="VerbatimChar"/>
        </w:rPr>
        <w:t xml:space="preserve">elite_score &lt; 30</w:t>
      </w:r>
      <w:r>
        <w:t xml:space="preserve"> </w:t>
      </w:r>
      <w:r>
        <w:t xml:space="preserve">criterion was originally designed as a quality filter — the assumption being that picks scoring below this threshold lacked the multi-factor support necessary for profitable outcomes. The shadow-log evidence refutes this assumption decisively. Of the 113 winning picks blocked by QUALITY_GATE, the average would-have PnL was</w:t>
      </w:r>
      <w:r>
        <w:t xml:space="preserve"> </w:t>
      </w:r>
      <w:r>
        <w:rPr>
          <w:bCs/>
          <w:b/>
        </w:rPr>
        <w:t xml:space="preserve">+7.62% per pick</w:t>
      </w:r>
      <w:r>
        <w:t xml:space="preserve">, with several individual picks exceeding +20%</w:t>
      </w:r>
      <w:r>
        <w:rPr>
          <w:rStyle w:val="FootnoteReference"/>
        </w:rPr>
        <w:footnoteReference w:id="233"/>
      </w:r>
      <w:r>
        <w:t xml:space="preserve">.</w:t>
      </w:r>
    </w:p>
    <w:p>
      <w:pPr>
        <w:pStyle w:val="BodyText"/>
      </w:pPr>
      <w:r>
        <w:t xml:space="preserve">RR_GATE’s 0.500 precision is exactly what one would expect from an unbiased coin flip. The</w:t>
      </w:r>
      <w:r>
        <w:t xml:space="preserve"> </w:t>
      </w:r>
      <w:r>
        <w:rPr>
          <w:rStyle w:val="VerbatimChar"/>
        </w:rPr>
        <w:t xml:space="preserve">R:R &lt; 1.5</w:t>
      </w:r>
      <w:r>
        <w:t xml:space="preserve"> </w:t>
      </w:r>
      <w:r>
        <w:t xml:space="preserve">threshold blocks 63 picks, of which 23 were winners and 23 were losers</w:t>
      </w:r>
      <w:r>
        <w:rPr>
          <w:rStyle w:val="FootnoteReference"/>
        </w:rPr>
        <w:footnoteReference w:id="234"/>
      </w:r>
      <w:r>
        <w:t xml:space="preserve">. The implication is that the 1.5 risk-reward floor has no empirical foundation in the platform’s signal distribution — it is a legacy setting inherited without validation. Notably, the</w:t>
      </w:r>
      <w:r>
        <w:t xml:space="preserve"> </w:t>
      </w:r>
      <w:r>
        <w:rPr>
          <w:bCs/>
          <w:b/>
        </w:rPr>
        <w:t xml:space="preserve">R:R 1.25–1.5 band</w:t>
      </w:r>
      <w:r>
        <w:t xml:space="preserve">, which RR_GATE rejects entirely, contains picks with a</w:t>
      </w:r>
      <w:r>
        <w:t xml:space="preserve"> </w:t>
      </w:r>
      <w:r>
        <w:rPr>
          <w:bCs/>
          <w:b/>
        </w:rPr>
        <w:t xml:space="preserve">51.2% win rate (WR)</w:t>
      </w:r>
      <w:r>
        <w:t xml:space="preserve"> </w:t>
      </w:r>
      <w:r>
        <w:t xml:space="preserve">and positive aggregate PnL in the shadow sample</w:t>
      </w:r>
      <w:r>
        <w:rPr>
          <w:rStyle w:val="FootnoteReference"/>
        </w:rPr>
        <w:footnoteReference w:id="235"/>
      </w:r>
      <w:r>
        <w:t xml:space="preserve">. Raising the floor from 1.5 to this level was apparently never backtested against actual outcomes.</w:t>
      </w:r>
    </w:p>
    <w:p>
      <w:pPr>
        <w:pStyle w:val="BodyText"/>
      </w:pPr>
      <w:r>
        <w:t xml:space="preserve">WINNER_FILTER occupies a special category. Its precision and recall are both zero because it never once correctly identified a loser — all 5 of its blocked picks were winners</w:t>
      </w:r>
      <w:r>
        <w:rPr>
          <w:rStyle w:val="FootnoteReference"/>
        </w:rPr>
        <w:footnoteReference w:id="236"/>
      </w:r>
      <w:r>
        <w:t xml:space="preserve">. The theoretical premise of this gate, that confidence &gt; 0.85 indicates model overfitting, is directly contradicted by both the shadow log and the broader platform data. The confidence band 0.85–0.90, which WINNER_FILTER specifically targets, shows an</w:t>
      </w:r>
      <w:r>
        <w:t xml:space="preserve"> </w:t>
      </w:r>
      <w:r>
        <w:rPr>
          <w:bCs/>
          <w:b/>
        </w:rPr>
        <w:t xml:space="preserve">82% WR and PF 11.8</w:t>
      </w:r>
      <w:r>
        <w:t xml:space="preserve"> </w:t>
      </w:r>
      <w:r>
        <w:t xml:space="preserve">in live performance data</w:t>
      </w:r>
      <w:r>
        <w:rPr>
          <w:rStyle w:val="FootnoteReference"/>
        </w:rPr>
        <w:footnoteReference w:id="237"/>
      </w:r>
      <w:r>
        <w:t xml:space="preserve">. Rather than flagging overfit predictions, this gate is systematically intercepting the platform’s highest-conviction, highest-performing signals. The WINNER_FILTER is not merely inaccurate — it is perfectly inverse, operating as an anti-signal that reliably identifies winners in order to block them.</w:t>
      </w:r>
    </w:p>
    <w:bookmarkEnd w:id="238"/>
    <w:bookmarkStart w:id="246" w:name="the-elite-score-paradox"/>
    <w:p>
      <w:pPr>
        <w:pStyle w:val="Heading3"/>
      </w:pPr>
      <w:r>
        <w:t xml:space="preserve">5.3 The Elite Score Paradox</w:t>
      </w:r>
    </w:p>
    <w:p>
      <w:pPr>
        <w:pStyle w:val="FirstParagraph"/>
      </w:pPr>
      <w:r>
        <w:t xml:space="preserve">The most statistically significant finding in the near-miss analysis concerns the relationship between</w:t>
      </w:r>
      <w:r>
        <w:t xml:space="preserve"> </w:t>
      </w:r>
      <w:r>
        <w:rPr>
          <w:rStyle w:val="VerbatimChar"/>
        </w:rPr>
        <w:t xml:space="preserve">elite_score</w:t>
      </w:r>
      <w:r>
        <w:t xml:space="preserve"> </w:t>
      </w:r>
      <w:r>
        <w:t xml:space="preserve">and pick outcomes — and it runs in the opposite direction from what the gate assumes. QUALITY_GATE blocks picks with</w:t>
      </w:r>
      <w:r>
        <w:t xml:space="preserve"> </w:t>
      </w:r>
      <w:r>
        <w:rPr>
          <w:rStyle w:val="VerbatimChar"/>
        </w:rPr>
        <w:t xml:space="preserve">elite_score &lt; 30</w:t>
      </w:r>
      <w:r>
        <w:t xml:space="preserve"> </w:t>
      </w:r>
      <w:r>
        <w:t xml:space="preserve">on the premise that low scores correlate with poor performance. The forensic evidence demonstrates that this premise is backwards.</w:t>
      </w:r>
    </w:p>
    <w:p>
      <w:pPr>
        <w:pStyle w:val="BodyText"/>
      </w:pPr>
      <w:r>
        <w:t xml:space="preserve">A two-sample t-test comparing</w:t>
      </w:r>
      <w:r>
        <w:t xml:space="preserve"> </w:t>
      </w:r>
      <w:r>
        <w:rPr>
          <w:rStyle w:val="VerbatimChar"/>
        </w:rPr>
        <w:t xml:space="preserve">elite_score</w:t>
      </w:r>
      <w:r>
        <w:t xml:space="preserve"> </w:t>
      </w:r>
      <w:r>
        <w:t xml:space="preserve">distributions between KILLED_ALPHA and SAVED groups yields a</w:t>
      </w:r>
      <w:r>
        <w:t xml:space="preserve"> </w:t>
      </w:r>
      <w:r>
        <w:rPr>
          <w:bCs/>
          <w:b/>
        </w:rPr>
        <w:t xml:space="preserve">mean difference of -1.94 with p = 0.006</w:t>
      </w:r>
      <w:r>
        <w:t xml:space="preserve">, statistically significant at the 1% level</w:t>
      </w:r>
      <w:r>
        <w:rPr>
          <w:rStyle w:val="FootnoteReference"/>
        </w:rPr>
        <w:footnoteReference w:id="239"/>
      </w:r>
      <w:r>
        <w:t xml:space="preserve">. KILLED_ALPHA picks (blocked winners) have a</w:t>
      </w:r>
      <w:r>
        <w:t xml:space="preserve"> </w:t>
      </w:r>
      <w:r>
        <w:rPr>
          <w:bCs/>
          <w:b/>
        </w:rPr>
        <w:t xml:space="preserve">mean elite_score of -7.75</w:t>
      </w:r>
      <w:r>
        <w:t xml:space="preserve">, while SAVED picks (correctly blocked losers) have a</w:t>
      </w:r>
      <w:r>
        <w:t xml:space="preserve"> </w:t>
      </w:r>
      <w:r>
        <w:rPr>
          <w:bCs/>
          <w:b/>
        </w:rPr>
        <w:t xml:space="preserve">mean elite_score of -5.81</w:t>
      </w:r>
      <w:r>
        <w:rPr>
          <w:rStyle w:val="FootnoteReference"/>
        </w:rPr>
        <w:footnoteReference w:id="240"/>
      </w:r>
      <w:r>
        <w:t xml:space="preserve">. The more negative the elite_score — that is, the further below the threshold — the</w:t>
      </w:r>
      <w:r>
        <w:t xml:space="preserve"> </w:t>
      </w:r>
      <w:r>
        <w:rPr>
          <w:iCs/>
          <w:i/>
        </w:rPr>
        <w:t xml:space="preserve">more likely</w:t>
      </w:r>
      <w:r>
        <w:t xml:space="preserve"> </w:t>
      </w:r>
      <w:r>
        <w:t xml:space="preserve">the pick was a winner. The gate is not just noisy; it is systematically wrong, penalizing the very picks it should most want to protect.</w:t>
      </w:r>
    </w:p>
    <w:p>
      <w:pPr>
        <w:pStyle w:val="BodyText"/>
      </w:pPr>
      <w:r>
        <w:rPr>
          <w:bCs/>
          <w:b/>
        </w:rPr>
        <w:t xml:space="preserve">Table 5.3</w:t>
      </w:r>
      <w:r>
        <w:t xml:space="preserve"> </w:t>
      </w:r>
      <w:r>
        <w:t xml:space="preserve">presents the top 10 KILLED_ALPHA picks by absolute PnL impact, illustrating the diversity of symbols and strategies caught in this backwards filter.</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Rank</w:t>
            </w:r>
          </w:p>
        </w:tc>
        <w:tc>
          <w:tcPr/>
          <w:p>
            <w:pPr>
              <w:pStyle w:val="Compact"/>
              <w:jc w:val="left"/>
            </w:pPr>
            <w:r>
              <w:t xml:space="preserve">Symbol</w:t>
            </w:r>
          </w:p>
        </w:tc>
        <w:tc>
          <w:tcPr/>
          <w:p>
            <w:pPr>
              <w:pStyle w:val="Compact"/>
              <w:jc w:val="left"/>
            </w:pPr>
            <w:r>
              <w:t xml:space="preserve">Strategy</w:t>
            </w:r>
          </w:p>
        </w:tc>
        <w:tc>
          <w:tcPr/>
          <w:p>
            <w:pPr>
              <w:pStyle w:val="Compact"/>
              <w:jc w:val="left"/>
            </w:pPr>
            <w:r>
              <w:t xml:space="preserve">Gate</w:t>
            </w:r>
          </w:p>
        </w:tc>
        <w:tc>
          <w:tcPr/>
          <w:p>
            <w:pPr>
              <w:pStyle w:val="Compact"/>
              <w:jc w:val="right"/>
            </w:pPr>
            <w:r>
              <w:t xml:space="preserve">ml_score</w:t>
            </w:r>
          </w:p>
        </w:tc>
        <w:tc>
          <w:tcPr/>
          <w:p>
            <w:pPr>
              <w:pStyle w:val="Compact"/>
              <w:jc w:val="right"/>
            </w:pPr>
            <w:r>
              <w:t xml:space="preserve">Would-Have PnL%</w:t>
            </w:r>
          </w:p>
        </w:tc>
        <w:tc>
          <w:tcPr/>
          <w:p>
            <w:pPr>
              <w:pStyle w:val="Compact"/>
              <w:jc w:val="left"/>
            </w:pPr>
            <w:r>
              <w:t xml:space="preserve">TP Hit</w:t>
            </w:r>
          </w:p>
        </w:tc>
      </w:tr>
      <w:tr>
        <w:tc>
          <w:tcPr/>
          <w:p>
            <w:pPr>
              <w:pStyle w:val="Compact"/>
              <w:jc w:val="left"/>
            </w:pPr>
            <w:r>
              <w:t xml:space="preserve">1</w:t>
            </w:r>
          </w:p>
        </w:tc>
        <w:tc>
          <w:tcPr/>
          <w:p>
            <w:pPr>
              <w:pStyle w:val="Compact"/>
              <w:jc w:val="left"/>
            </w:pPr>
            <w:r>
              <w:t xml:space="preserve">RNDR-USD</w:t>
            </w:r>
          </w:p>
        </w:tc>
        <w:tc>
          <w:tcPr/>
          <w:p>
            <w:pPr>
              <w:pStyle w:val="Compact"/>
              <w:jc w:val="left"/>
            </w:pPr>
            <w:r>
              <w:t xml:space="preserve">stochastic_momentum_index</w:t>
            </w:r>
          </w:p>
        </w:tc>
        <w:tc>
          <w:tcPr/>
          <w:p>
            <w:pPr>
              <w:pStyle w:val="Compact"/>
              <w:jc w:val="left"/>
            </w:pPr>
            <w:r>
              <w:t xml:space="preserve">QUALITY_GATE</w:t>
            </w:r>
          </w:p>
        </w:tc>
        <w:tc>
          <w:tcPr/>
          <w:p>
            <w:pPr>
              <w:pStyle w:val="Compact"/>
              <w:jc w:val="right"/>
            </w:pPr>
            <w:r>
              <w:t xml:space="preserve">0.82+</w:t>
            </w:r>
          </w:p>
        </w:tc>
        <w:tc>
          <w:tcPr/>
          <w:p>
            <w:pPr>
              <w:pStyle w:val="Compact"/>
              <w:jc w:val="right"/>
            </w:pPr>
            <w:r>
              <w:t xml:space="preserve">+337.72%</w:t>
            </w:r>
          </w:p>
        </w:tc>
        <w:tc>
          <w:tcPr/>
          <w:p>
            <w:pPr>
              <w:pStyle w:val="Compact"/>
              <w:jc w:val="left"/>
            </w:pPr>
            <w:r>
              <w:t xml:space="preserve">Yes</w:t>
            </w:r>
          </w:p>
        </w:tc>
      </w:tr>
      <w:tr>
        <w:tc>
          <w:tcPr/>
          <w:p>
            <w:pPr>
              <w:pStyle w:val="Compact"/>
              <w:jc w:val="left"/>
            </w:pPr>
            <w:r>
              <w:t xml:space="preserve">2</w:t>
            </w:r>
          </w:p>
        </w:tc>
        <w:tc>
          <w:tcPr/>
          <w:p>
            <w:pPr>
              <w:pStyle w:val="Compact"/>
              <w:jc w:val="left"/>
            </w:pPr>
            <w:r>
              <w:t xml:space="preserve">SHIB-USD</w:t>
            </w:r>
          </w:p>
        </w:tc>
        <w:tc>
          <w:tcPr/>
          <w:p>
            <w:pPr>
              <w:pStyle w:val="Compact"/>
              <w:jc w:val="left"/>
            </w:pPr>
            <w:r>
              <w:t xml:space="preserve">stochrsi_oversold_bounce</w:t>
            </w:r>
          </w:p>
        </w:tc>
        <w:tc>
          <w:tcPr/>
          <w:p>
            <w:pPr>
              <w:pStyle w:val="Compact"/>
              <w:jc w:val="left"/>
            </w:pPr>
            <w:r>
              <w:t xml:space="preserve">QUALITY_GATE</w:t>
            </w:r>
          </w:p>
        </w:tc>
        <w:tc>
          <w:tcPr/>
          <w:p>
            <w:pPr>
              <w:pStyle w:val="Compact"/>
              <w:jc w:val="right"/>
            </w:pPr>
            <w:r>
              <w:t xml:space="preserve">0.72+</w:t>
            </w:r>
          </w:p>
        </w:tc>
        <w:tc>
          <w:tcPr/>
          <w:p>
            <w:pPr>
              <w:pStyle w:val="Compact"/>
              <w:jc w:val="right"/>
            </w:pPr>
            <w:r>
              <w:t xml:space="preserve">+66.51%</w:t>
            </w:r>
          </w:p>
        </w:tc>
        <w:tc>
          <w:tcPr/>
          <w:p>
            <w:pPr>
              <w:pStyle w:val="Compact"/>
              <w:jc w:val="left"/>
            </w:pPr>
            <w:r>
              <w:t xml:space="preserve">Yes</w:t>
            </w:r>
          </w:p>
        </w:tc>
      </w:tr>
      <w:tr>
        <w:tc>
          <w:tcPr/>
          <w:p>
            <w:pPr>
              <w:pStyle w:val="Compact"/>
              <w:jc w:val="left"/>
            </w:pPr>
            <w:r>
              <w:t xml:space="preserve">3</w:t>
            </w:r>
          </w:p>
        </w:tc>
        <w:tc>
          <w:tcPr/>
          <w:p>
            <w:pPr>
              <w:pStyle w:val="Compact"/>
              <w:jc w:val="left"/>
            </w:pPr>
            <w:r>
              <w:t xml:space="preserve">ETH-USD</w:t>
            </w:r>
          </w:p>
        </w:tc>
        <w:tc>
          <w:tcPr/>
          <w:p>
            <w:pPr>
              <w:pStyle w:val="Compact"/>
              <w:jc w:val="left"/>
            </w:pPr>
            <w:r>
              <w:t xml:space="preserve">stablecoin_flow_momentum</w:t>
            </w:r>
          </w:p>
        </w:tc>
        <w:tc>
          <w:tcPr/>
          <w:p>
            <w:pPr>
              <w:pStyle w:val="Compact"/>
              <w:jc w:val="left"/>
            </w:pPr>
            <w:r>
              <w:t xml:space="preserve">QUALITY_GATE</w:t>
            </w:r>
          </w:p>
        </w:tc>
        <w:tc>
          <w:tcPr/>
          <w:p>
            <w:pPr>
              <w:pStyle w:val="Compact"/>
              <w:jc w:val="right"/>
            </w:pPr>
            <w:r>
              <w:t xml:space="preserve">0.82+</w:t>
            </w:r>
          </w:p>
        </w:tc>
        <w:tc>
          <w:tcPr/>
          <w:p>
            <w:pPr>
              <w:pStyle w:val="Compact"/>
              <w:jc w:val="right"/>
            </w:pPr>
            <w:r>
              <w:t xml:space="preserve">+3.48%</w:t>
            </w:r>
          </w:p>
        </w:tc>
        <w:tc>
          <w:tcPr/>
          <w:p>
            <w:pPr>
              <w:pStyle w:val="Compact"/>
              <w:jc w:val="left"/>
            </w:pPr>
            <w:r>
              <w:t xml:space="preserve">Yes</w:t>
            </w:r>
          </w:p>
        </w:tc>
      </w:tr>
      <w:tr>
        <w:tc>
          <w:tcPr/>
          <w:p>
            <w:pPr>
              <w:pStyle w:val="Compact"/>
              <w:jc w:val="left"/>
            </w:pPr>
            <w:r>
              <w:t xml:space="preserve">4</w:t>
            </w:r>
          </w:p>
        </w:tc>
        <w:tc>
          <w:tcPr/>
          <w:p>
            <w:pPr>
              <w:pStyle w:val="Compact"/>
              <w:jc w:val="left"/>
            </w:pPr>
            <w:r>
              <w:t xml:space="preserve">BTC-USD</w:t>
            </w:r>
          </w:p>
        </w:tc>
        <w:tc>
          <w:tcPr/>
          <w:p>
            <w:pPr>
              <w:pStyle w:val="Compact"/>
              <w:jc w:val="left"/>
            </w:pPr>
            <w:r>
              <w:t xml:space="preserve">vpin_informed_flow</w:t>
            </w:r>
          </w:p>
        </w:tc>
        <w:tc>
          <w:tcPr/>
          <w:p>
            <w:pPr>
              <w:pStyle w:val="Compact"/>
              <w:jc w:val="left"/>
            </w:pPr>
            <w:r>
              <w:t xml:space="preserve">RR_GATE</w:t>
            </w:r>
          </w:p>
        </w:tc>
        <w:tc>
          <w:tcPr/>
          <w:p>
            <w:pPr>
              <w:pStyle w:val="Compact"/>
              <w:jc w:val="right"/>
            </w:pPr>
            <w:r>
              <w:t xml:space="preserve">0.85+</w:t>
            </w:r>
          </w:p>
        </w:tc>
        <w:tc>
          <w:tcPr/>
          <w:p>
            <w:pPr>
              <w:pStyle w:val="Compact"/>
              <w:jc w:val="right"/>
            </w:pPr>
            <w:r>
              <w:t xml:space="preserve">+3.30%</w:t>
            </w:r>
          </w:p>
        </w:tc>
        <w:tc>
          <w:tcPr/>
          <w:p>
            <w:pPr>
              <w:pStyle w:val="Compact"/>
              <w:jc w:val="left"/>
            </w:pPr>
            <w:r>
              <w:t xml:space="preserve">Yes</w:t>
            </w:r>
          </w:p>
        </w:tc>
      </w:tr>
      <w:tr>
        <w:tc>
          <w:tcPr/>
          <w:p>
            <w:pPr>
              <w:pStyle w:val="Compact"/>
              <w:jc w:val="left"/>
            </w:pPr>
            <w:r>
              <w:t xml:space="preserve">5</w:t>
            </w:r>
          </w:p>
        </w:tc>
        <w:tc>
          <w:tcPr/>
          <w:p>
            <w:pPr>
              <w:pStyle w:val="Compact"/>
              <w:jc w:val="left"/>
            </w:pPr>
            <w:r>
              <w:t xml:space="preserve">PEPE-USD</w:t>
            </w:r>
          </w:p>
        </w:tc>
        <w:tc>
          <w:tcPr/>
          <w:p>
            <w:pPr>
              <w:pStyle w:val="Compact"/>
              <w:jc w:val="left"/>
            </w:pPr>
            <w:r>
              <w:t xml:space="preserve">hurst_regime_adaptive</w:t>
            </w:r>
          </w:p>
        </w:tc>
        <w:tc>
          <w:tcPr/>
          <w:p>
            <w:pPr>
              <w:pStyle w:val="Compact"/>
              <w:jc w:val="left"/>
            </w:pPr>
            <w:r>
              <w:t xml:space="preserve">QUALITY_GATE</w:t>
            </w:r>
          </w:p>
        </w:tc>
        <w:tc>
          <w:tcPr/>
          <w:p>
            <w:pPr>
              <w:pStyle w:val="Compact"/>
              <w:jc w:val="right"/>
            </w:pPr>
            <w:r>
              <w:t xml:space="preserve">0.75+</w:t>
            </w:r>
          </w:p>
        </w:tc>
        <w:tc>
          <w:tcPr/>
          <w:p>
            <w:pPr>
              <w:pStyle w:val="Compact"/>
              <w:jc w:val="right"/>
            </w:pPr>
            <w:r>
              <w:t xml:space="preserve">+3.69%</w:t>
            </w:r>
          </w:p>
        </w:tc>
        <w:tc>
          <w:tcPr/>
          <w:p>
            <w:pPr>
              <w:pStyle w:val="Compact"/>
              <w:jc w:val="left"/>
            </w:pPr>
            <w:r>
              <w:t xml:space="preserve">Yes</w:t>
            </w:r>
          </w:p>
        </w:tc>
      </w:tr>
      <w:tr>
        <w:tc>
          <w:tcPr/>
          <w:p>
            <w:pPr>
              <w:pStyle w:val="Compact"/>
              <w:jc w:val="left"/>
            </w:pPr>
            <w:r>
              <w:t xml:space="preserve">6</w:t>
            </w:r>
          </w:p>
        </w:tc>
        <w:tc>
          <w:tcPr/>
          <w:p>
            <w:pPr>
              <w:pStyle w:val="Compact"/>
              <w:jc w:val="left"/>
            </w:pPr>
            <w:r>
              <w:t xml:space="preserve">SOLUSDT</w:t>
            </w:r>
          </w:p>
        </w:tc>
        <w:tc>
          <w:tcPr/>
          <w:p>
            <w:pPr>
              <w:pStyle w:val="Compact"/>
              <w:jc w:val="left"/>
            </w:pPr>
            <w:r>
              <w:t xml:space="preserve">stablecoin_flow_momentum</w:t>
            </w:r>
          </w:p>
        </w:tc>
        <w:tc>
          <w:tcPr/>
          <w:p>
            <w:pPr>
              <w:pStyle w:val="Compact"/>
              <w:jc w:val="left"/>
            </w:pPr>
            <w:r>
              <w:t xml:space="preserve">QUALITY_GATE</w:t>
            </w:r>
          </w:p>
        </w:tc>
        <w:tc>
          <w:tcPr/>
          <w:p>
            <w:pPr>
              <w:pStyle w:val="Compact"/>
              <w:jc w:val="right"/>
            </w:pPr>
            <w:r>
              <w:t xml:space="preserve">0.80+</w:t>
            </w:r>
          </w:p>
        </w:tc>
        <w:tc>
          <w:tcPr/>
          <w:p>
            <w:pPr>
              <w:pStyle w:val="Compact"/>
              <w:jc w:val="right"/>
            </w:pPr>
            <w:r>
              <w:t xml:space="preserve">+3.39%</w:t>
            </w:r>
          </w:p>
        </w:tc>
        <w:tc>
          <w:tcPr/>
          <w:p>
            <w:pPr>
              <w:pStyle w:val="Compact"/>
              <w:jc w:val="left"/>
            </w:pPr>
            <w:r>
              <w:t xml:space="preserve">Yes</w:t>
            </w:r>
          </w:p>
        </w:tc>
      </w:tr>
      <w:tr>
        <w:tc>
          <w:tcPr/>
          <w:p>
            <w:pPr>
              <w:pStyle w:val="Compact"/>
              <w:jc w:val="left"/>
            </w:pPr>
            <w:r>
              <w:t xml:space="preserve">7</w:t>
            </w:r>
          </w:p>
        </w:tc>
        <w:tc>
          <w:tcPr/>
          <w:p>
            <w:pPr>
              <w:pStyle w:val="Compact"/>
              <w:jc w:val="left"/>
            </w:pPr>
            <w:r>
              <w:t xml:space="preserve">SHIB-USD</w:t>
            </w:r>
          </w:p>
        </w:tc>
        <w:tc>
          <w:tcPr/>
          <w:p>
            <w:pPr>
              <w:pStyle w:val="Compact"/>
              <w:jc w:val="left"/>
            </w:pPr>
            <w:r>
              <w:t xml:space="preserve">bollinger_keltner_squeeze</w:t>
            </w:r>
          </w:p>
        </w:tc>
        <w:tc>
          <w:tcPr/>
          <w:p>
            <w:pPr>
              <w:pStyle w:val="Compact"/>
              <w:jc w:val="left"/>
            </w:pPr>
            <w:r>
              <w:t xml:space="preserve">QUALITY_GATE</w:t>
            </w:r>
          </w:p>
        </w:tc>
        <w:tc>
          <w:tcPr/>
          <w:p>
            <w:pPr>
              <w:pStyle w:val="Compact"/>
              <w:jc w:val="right"/>
            </w:pPr>
            <w:r>
              <w:t xml:space="preserve">0.72+</w:t>
            </w:r>
          </w:p>
        </w:tc>
        <w:tc>
          <w:tcPr/>
          <w:p>
            <w:pPr>
              <w:pStyle w:val="Compact"/>
              <w:jc w:val="right"/>
            </w:pPr>
            <w:r>
              <w:t xml:space="preserve">+2.63%</w:t>
            </w:r>
          </w:p>
        </w:tc>
        <w:tc>
          <w:tcPr/>
          <w:p>
            <w:pPr>
              <w:pStyle w:val="Compact"/>
              <w:jc w:val="left"/>
            </w:pPr>
            <w:r>
              <w:t xml:space="preserve">Yes</w:t>
            </w:r>
          </w:p>
        </w:tc>
      </w:tr>
      <w:tr>
        <w:tc>
          <w:tcPr/>
          <w:p>
            <w:pPr>
              <w:pStyle w:val="Compact"/>
              <w:jc w:val="left"/>
            </w:pPr>
            <w:r>
              <w:t xml:space="preserve">8</w:t>
            </w:r>
          </w:p>
        </w:tc>
        <w:tc>
          <w:tcPr/>
          <w:p>
            <w:pPr>
              <w:pStyle w:val="Compact"/>
              <w:jc w:val="left"/>
            </w:pPr>
            <w:r>
              <w:t xml:space="preserve">BNB-USD</w:t>
            </w:r>
          </w:p>
        </w:tc>
        <w:tc>
          <w:tcPr/>
          <w:p>
            <w:pPr>
              <w:pStyle w:val="Compact"/>
              <w:jc w:val="left"/>
            </w:pPr>
            <w:r>
              <w:t xml:space="preserve">hoffman_ema_trend</w:t>
            </w:r>
          </w:p>
        </w:tc>
        <w:tc>
          <w:tcPr/>
          <w:p>
            <w:pPr>
              <w:pStyle w:val="Compact"/>
              <w:jc w:val="left"/>
            </w:pPr>
            <w:r>
              <w:t xml:space="preserve">QUALITY_GATE</w:t>
            </w:r>
          </w:p>
        </w:tc>
        <w:tc>
          <w:tcPr/>
          <w:p>
            <w:pPr>
              <w:pStyle w:val="Compact"/>
              <w:jc w:val="right"/>
            </w:pPr>
            <w:r>
              <w:t xml:space="preserve">0.78+</w:t>
            </w:r>
          </w:p>
        </w:tc>
        <w:tc>
          <w:tcPr/>
          <w:p>
            <w:pPr>
              <w:pStyle w:val="Compact"/>
              <w:jc w:val="right"/>
            </w:pPr>
            <w:r>
              <w:t xml:space="preserve">+2.39%</w:t>
            </w:r>
          </w:p>
        </w:tc>
        <w:tc>
          <w:tcPr/>
          <w:p>
            <w:pPr>
              <w:pStyle w:val="Compact"/>
              <w:jc w:val="left"/>
            </w:pPr>
            <w:r>
              <w:t xml:space="preserve">Yes</w:t>
            </w:r>
          </w:p>
        </w:tc>
      </w:tr>
      <w:tr>
        <w:tc>
          <w:tcPr/>
          <w:p>
            <w:pPr>
              <w:pStyle w:val="Compact"/>
              <w:jc w:val="left"/>
            </w:pPr>
            <w:r>
              <w:t xml:space="preserve">9</w:t>
            </w:r>
          </w:p>
        </w:tc>
        <w:tc>
          <w:tcPr/>
          <w:p>
            <w:pPr>
              <w:pStyle w:val="Compact"/>
              <w:jc w:val="left"/>
            </w:pPr>
            <w:r>
              <w:t xml:space="preserve">HYPE-USD</w:t>
            </w:r>
          </w:p>
        </w:tc>
        <w:tc>
          <w:tcPr/>
          <w:p>
            <w:pPr>
              <w:pStyle w:val="Compact"/>
              <w:jc w:val="left"/>
            </w:pPr>
            <w:r>
              <w:t xml:space="preserve">cyclic_momentum_stack</w:t>
            </w:r>
          </w:p>
        </w:tc>
        <w:tc>
          <w:tcPr/>
          <w:p>
            <w:pPr>
              <w:pStyle w:val="Compact"/>
              <w:jc w:val="left"/>
            </w:pPr>
            <w:r>
              <w:t xml:space="preserve">QUALITY_GATE</w:t>
            </w:r>
          </w:p>
        </w:tc>
        <w:tc>
          <w:tcPr/>
          <w:p>
            <w:pPr>
              <w:pStyle w:val="Compact"/>
              <w:jc w:val="right"/>
            </w:pPr>
            <w:r>
              <w:t xml:space="preserve">0.70+</w:t>
            </w:r>
          </w:p>
        </w:tc>
        <w:tc>
          <w:tcPr/>
          <w:p>
            <w:pPr>
              <w:pStyle w:val="Compact"/>
              <w:jc w:val="right"/>
            </w:pPr>
            <w:r>
              <w:t xml:space="preserve">+2.11%</w:t>
            </w:r>
          </w:p>
        </w:tc>
        <w:tc>
          <w:tcPr/>
          <w:p>
            <w:pPr>
              <w:pStyle w:val="Compact"/>
              <w:jc w:val="left"/>
            </w:pPr>
            <w:r>
              <w:t xml:space="preserve">Yes</w:t>
            </w:r>
          </w:p>
        </w:tc>
      </w:tr>
      <w:tr>
        <w:tc>
          <w:tcPr/>
          <w:p>
            <w:pPr>
              <w:pStyle w:val="Compact"/>
              <w:jc w:val="left"/>
            </w:pPr>
            <w:r>
              <w:t xml:space="preserve">10</w:t>
            </w:r>
          </w:p>
        </w:tc>
        <w:tc>
          <w:tcPr/>
          <w:p>
            <w:pPr>
              <w:pStyle w:val="Compact"/>
              <w:jc w:val="left"/>
            </w:pPr>
            <w:r>
              <w:t xml:space="preserve">ATOM-USD</w:t>
            </w:r>
          </w:p>
        </w:tc>
        <w:tc>
          <w:tcPr/>
          <w:p>
            <w:pPr>
              <w:pStyle w:val="Compact"/>
              <w:jc w:val="left"/>
            </w:pPr>
            <w:r>
              <w:t xml:space="preserve">fractal_sr_bounce</w:t>
            </w:r>
          </w:p>
        </w:tc>
        <w:tc>
          <w:tcPr/>
          <w:p>
            <w:pPr>
              <w:pStyle w:val="Compact"/>
              <w:jc w:val="left"/>
            </w:pPr>
            <w:r>
              <w:t xml:space="preserve">QUALITY_GATE</w:t>
            </w:r>
          </w:p>
        </w:tc>
        <w:tc>
          <w:tcPr/>
          <w:p>
            <w:pPr>
              <w:pStyle w:val="Compact"/>
              <w:jc w:val="right"/>
            </w:pPr>
            <w:r>
              <w:t xml:space="preserve">0.70+</w:t>
            </w:r>
          </w:p>
        </w:tc>
        <w:tc>
          <w:tcPr/>
          <w:p>
            <w:pPr>
              <w:pStyle w:val="Compact"/>
              <w:jc w:val="right"/>
            </w:pPr>
            <w:r>
              <w:t xml:space="preserve">+1.98%</w:t>
            </w:r>
          </w:p>
        </w:tc>
        <w:tc>
          <w:tcPr/>
          <w:p>
            <w:pPr>
              <w:pStyle w:val="Compact"/>
              <w:jc w:val="left"/>
            </w:pPr>
            <w:r>
              <w:t xml:space="preserve">Yes</w:t>
            </w:r>
          </w:p>
        </w:tc>
      </w:tr>
    </w:tbl>
    <w:p>
      <w:pPr>
        <w:pStyle w:val="BodyText"/>
      </w:pPr>
      <w:r>
        <w:t xml:space="preserve">The concentration of damage in a handful of symbols and strategies is remarkable.</w:t>
      </w:r>
      <w:r>
        <w:t xml:space="preserve"> </w:t>
      </w:r>
      <w:r>
        <w:rPr>
          <w:bCs/>
          <w:b/>
        </w:rPr>
        <w:t xml:space="preserve">RNDR-USD alone accounts for +337.72% of killed alpha</w:t>
      </w:r>
      <w:r>
        <w:t xml:space="preserve"> </w:t>
      </w:r>
      <w:r>
        <w:t xml:space="preserve">— a single pick blocked by QUALITY_GATE that would have yielded more than triple the return of the entire year’s target</w:t>
      </w:r>
      <w:r>
        <w:rPr>
          <w:rStyle w:val="FootnoteReference"/>
        </w:rPr>
        <w:footnoteReference w:id="241"/>
      </w:r>
      <w:r>
        <w:t xml:space="preserve">. The</w:t>
      </w:r>
      <w:r>
        <w:t xml:space="preserve"> </w:t>
      </w:r>
      <w:r>
        <w:rPr>
          <w:rStyle w:val="VerbatimChar"/>
        </w:rPr>
        <w:t xml:space="preserve">stochastic_momentum_index</w:t>
      </w:r>
      <w:r>
        <w:t xml:space="preserve"> </w:t>
      </w:r>
      <w:r>
        <w:t xml:space="preserve">strategy, which generated this pick, shows a</w:t>
      </w:r>
      <w:r>
        <w:t xml:space="preserve"> </w:t>
      </w:r>
      <w:r>
        <w:rPr>
          <w:bCs/>
          <w:b/>
        </w:rPr>
        <w:t xml:space="preserve">66.7% kill rate</w:t>
      </w:r>
      <w:r>
        <w:t xml:space="preserve"> </w:t>
      </w:r>
      <w:r>
        <w:t xml:space="preserve">across all blocked instances, meaning two-thirds of its blocked picks were winners</w:t>
      </w:r>
      <w:r>
        <w:rPr>
          <w:rStyle w:val="FootnoteReference"/>
        </w:rPr>
        <w:footnoteReference w:id="242"/>
      </w:r>
      <w:r>
        <w:t xml:space="preserve">. Similarly, SHIB-USD contributes multiple entries to the top 10, with aggregate blocked PnL exceeding +90% across different strategies including stochrsi_oversold_bounce and bollinger_keltner_squeeze.</w:t>
      </w:r>
    </w:p>
    <w:p>
      <w:pPr>
        <w:pStyle w:val="BodyText"/>
      </w:pPr>
      <w:r>
        <w:t xml:space="preserve">The</w:t>
      </w:r>
      <w:r>
        <w:t xml:space="preserve"> </w:t>
      </w:r>
      <w:r>
        <w:rPr>
          <w:rStyle w:val="VerbatimChar"/>
        </w:rPr>
        <w:t xml:space="preserve">ml_score</w:t>
      </w:r>
      <w:r>
        <w:t xml:space="preserve"> </w:t>
      </w:r>
      <w:r>
        <w:t xml:space="preserve">column in Table 5.3 provides critical context. Every entry shows an ml_score of 0.70 or higher, with several exceeding 0.80 — precisely the range that other platform analyses identify as predictive of positive outcomes</w:t>
      </w:r>
      <w:r>
        <w:rPr>
          <w:rStyle w:val="FootnoteReference"/>
        </w:rPr>
        <w:footnoteReference w:id="243"/>
      </w:r>
      <w:r>
        <w:t xml:space="preserve">. The QUALITY_GATE does not incorporate ml_score into its decision logic; it relies exclusively on elite_score, which carries a</w:t>
      </w:r>
      <w:r>
        <w:t xml:space="preserve"> </w:t>
      </w:r>
      <w:r>
        <w:rPr>
          <w:bCs/>
          <w:b/>
        </w:rPr>
        <w:t xml:space="preserve">correlation of -0.17 with profitability</w:t>
      </w:r>
      <w:r>
        <w:t xml:space="preserve"> </w:t>
      </w:r>
      <w:r>
        <w:t xml:space="preserve">— weakly negative, meaning higher elite_score is associated with slightly</w:t>
      </w:r>
      <w:r>
        <w:t xml:space="preserve"> </w:t>
      </w:r>
      <w:r>
        <w:rPr>
          <w:iCs/>
          <w:i/>
        </w:rPr>
        <w:t xml:space="preserve">worse</w:t>
      </w:r>
      <w:r>
        <w:t xml:space="preserve"> </w:t>
      </w:r>
      <w:r>
        <w:t xml:space="preserve">performance</w:t>
      </w:r>
      <w:r>
        <w:rPr>
          <w:rStyle w:val="FootnoteReference"/>
        </w:rPr>
        <w:footnoteReference w:id="244"/>
      </w:r>
      <w:r>
        <w:t xml:space="preserve">. The paradox is now fully exposed: the gate uses a metric that is not merely uncorrelated with success but actually points in the wrong direction, while ignoring a superior signal (ml_score) that is readily available at decision time.</w:t>
      </w:r>
    </w:p>
    <w:p>
      <w:pPr>
        <w:pStyle w:val="BodyText"/>
      </w:pPr>
      <w:r>
        <w:t xml:space="preserve">The mechanism behind this paradox likely stems from the construction of</w:t>
      </w:r>
      <w:r>
        <w:t xml:space="preserve"> </w:t>
      </w:r>
      <w:r>
        <w:rPr>
          <w:rStyle w:val="VerbatimChar"/>
        </w:rPr>
        <w:t xml:space="preserve">elite_score</w:t>
      </w:r>
      <w:r>
        <w:t xml:space="preserve">. If the metric was engineered from historical features that captured past regime characteristics but failed to adapt to evolving market microstructure, it would naturally degrade as conditions shift. Crypto markets in particular exhibit rapid regime turnover, with signal half-lives estimated at 24–48 hours</w:t>
      </w:r>
      <w:r>
        <w:rPr>
          <w:rStyle w:val="FootnoteReference"/>
        </w:rPr>
        <w:footnoteReference w:id="245"/>
      </w:r>
      <w:r>
        <w:t xml:space="preserve">. A static threshold on a slowly adapting composite score will increasingly misclassify picks as market dynamics drift — which is exactly what the shadow log reveals.</w:t>
      </w:r>
    </w:p>
    <w:bookmarkEnd w:id="246"/>
    <w:bookmarkStart w:id="257" w:name="near-miss-pattern-detection"/>
    <w:p>
      <w:pPr>
        <w:pStyle w:val="Heading3"/>
      </w:pPr>
      <w:r>
        <w:t xml:space="preserve">5.4 Near-Miss Pattern Detection</w:t>
      </w:r>
    </w:p>
    <w:p>
      <w:pPr>
        <w:pStyle w:val="FirstParagraph"/>
      </w:pPr>
      <w:r>
        <w:t xml:space="preserve">Beyond individual gate failures, systematic patterns emerge among the blocked winners that point to actionable recalibration targets. The near-miss analysis identifies four distinct pattern clusters: ML score false negatives, R:R threshold strictness, symbol-specific bias, and temporal deterioration.</w:t>
      </w:r>
    </w:p>
    <w:p>
      <w:pPr>
        <w:pStyle w:val="BodyText"/>
      </w:pPr>
      <w:r>
        <w:rPr>
          <w:bCs/>
          <w:b/>
        </w:rPr>
        <w:t xml:space="preserve">ML Score False Negatives.</w:t>
      </w:r>
      <w:r>
        <w:t xml:space="preserve"> </w:t>
      </w:r>
      <w:r>
        <w:t xml:space="preserve">Picks with</w:t>
      </w:r>
      <w:r>
        <w:t xml:space="preserve"> </w:t>
      </w:r>
      <w:r>
        <w:rPr>
          <w:rStyle w:val="VerbatimChar"/>
        </w:rPr>
        <w:t xml:space="preserve">ml_score &gt;= 0.70</w:t>
      </w:r>
      <w:r>
        <w:t xml:space="preserve"> </w:t>
      </w:r>
      <w:r>
        <w:t xml:space="preserve">that were nonetheless blocked by QUALITY_GATE show a</w:t>
      </w:r>
      <w:r>
        <w:t xml:space="preserve"> </w:t>
      </w:r>
      <w:r>
        <w:rPr>
          <w:bCs/>
          <w:b/>
        </w:rPr>
        <w:t xml:space="preserve">51.4% WR</w:t>
      </w:r>
      <w:r>
        <w:t xml:space="preserve"> </w:t>
      </w:r>
      <w:r>
        <w:t xml:space="preserve">in the resolved sample</w:t>
      </w:r>
      <w:r>
        <w:rPr>
          <w:rStyle w:val="FootnoteReference"/>
        </w:rPr>
        <w:footnoteReference w:id="247"/>
      </w:r>
      <w:r>
        <w:t xml:space="preserve">. These are not marginal candidates — they are picks that passed a machine-learned quality assessment but were subsequently rejected by a heuristic gate using an inferior signal. The false negative rate in this band is substantial: 34 picks with ml_score &gt;= 0.70 were blocked, of which 20 were winners and 14 were losers, producing a</w:t>
      </w:r>
      <w:r>
        <w:t xml:space="preserve"> </w:t>
      </w:r>
      <w:r>
        <w:rPr>
          <w:bCs/>
          <w:b/>
        </w:rPr>
        <w:t xml:space="preserve">58.8% WR for the newly allowed set</w:t>
      </w:r>
      <w:r>
        <w:t xml:space="preserve"> </w:t>
      </w:r>
      <w:r>
        <w:t xml:space="preserve">under an alternative gating rule</w:t>
      </w:r>
      <w:r>
        <w:rPr>
          <w:rStyle w:val="FootnoteReference"/>
        </w:rPr>
        <w:footnoteReference w:id="248"/>
      </w:r>
      <w:r>
        <w:t xml:space="preserve">. The expected value of allowing these picks through is unambiguously positive.</w:t>
      </w:r>
    </w:p>
    <w:p>
      <w:pPr>
        <w:pStyle w:val="BodyText"/>
      </w:pPr>
      <w:r>
        <w:rPr>
          <w:bCs/>
          <w:b/>
        </w:rPr>
        <w:t xml:space="preserve">R:R Floor Strictness.</w:t>
      </w:r>
      <w:r>
        <w:t xml:space="preserve"> </w:t>
      </w:r>
      <w:r>
        <w:t xml:space="preserve">The</w:t>
      </w:r>
      <w:r>
        <w:t xml:space="preserve"> </w:t>
      </w:r>
      <w:r>
        <w:rPr>
          <w:rStyle w:val="VerbatimChar"/>
        </w:rPr>
        <w:t xml:space="preserve">R:R 1.25–1.5</w:t>
      </w:r>
      <w:r>
        <w:t xml:space="preserve"> </w:t>
      </w:r>
      <w:r>
        <w:t xml:space="preserve">band, which RR_GATE rejects entirely, contains picks with a</w:t>
      </w:r>
      <w:r>
        <w:t xml:space="preserve"> </w:t>
      </w:r>
      <w:r>
        <w:rPr>
          <w:bCs/>
          <w:b/>
        </w:rPr>
        <w:t xml:space="preserve">51.2% WR</w:t>
      </w:r>
      <w:r>
        <w:t xml:space="preserve"> </w:t>
      </w:r>
      <w:r>
        <w:t xml:space="preserve">and aggregate PnL potential of</w:t>
      </w:r>
      <w:r>
        <w:t xml:space="preserve"> </w:t>
      </w:r>
      <w:r>
        <w:rPr>
          <w:bCs/>
          <w:b/>
        </w:rPr>
        <w:t xml:space="preserve">+46.87%</w:t>
      </w:r>
      <w:r>
        <w:rPr>
          <w:rStyle w:val="FootnoteReference"/>
        </w:rPr>
        <w:footnoteReference w:id="249"/>
      </w:r>
      <w:r>
        <w:t xml:space="preserve">. The current floor of 1.5 was apparently set without validation against actual outcomes in this sub-threshold range. Lowering the floor to 1.25 would capture this edge while maintaining protection against genuinely poor risk-reward setups below 1.25. Notably,</w:t>
      </w:r>
      <w:r>
        <w:t xml:space="preserve"> </w:t>
      </w:r>
      <w:r>
        <w:rPr>
          <w:bCs/>
          <w:b/>
        </w:rPr>
        <w:t xml:space="preserve">3 picks blocked at exactly R:R = 1.50</w:t>
      </w:r>
      <w:r>
        <w:t xml:space="preserve"> </w:t>
      </w:r>
      <w:r>
        <w:t xml:space="preserve">were all KILLED_ALPHA, suggesting that the comparison operator itself (</w:t>
      </w:r>
      <w:r>
        <w:rPr>
          <w:rStyle w:val="VerbatimChar"/>
        </w:rPr>
        <w:t xml:space="preserve">&lt; 1.5</w:t>
      </w:r>
      <w:r>
        <w:t xml:space="preserve"> </w:t>
      </w:r>
      <w:r>
        <w:t xml:space="preserve">vs</w:t>
      </w:r>
      <w:r>
        <w:t xml:space="preserve"> </w:t>
      </w:r>
      <w:r>
        <w:rPr>
          <w:rStyle w:val="VerbatimChar"/>
        </w:rPr>
        <w:t xml:space="preserve">&lt;= 1.5</w:t>
      </w:r>
      <w:r>
        <w:t xml:space="preserve">) creates unnecessary edge-case losses</w:t>
      </w:r>
      <w:r>
        <w:rPr>
          <w:rStyle w:val="FootnoteReference"/>
        </w:rPr>
        <w:footnoteReference w:id="250"/>
      </w:r>
      <w:r>
        <w:t xml:space="preserve">.</w:t>
      </w:r>
    </w:p>
    <w:p>
      <w:pPr>
        <w:pStyle w:val="BodyText"/>
      </w:pPr>
      <w:r>
        <w:rPr>
          <w:bCs/>
          <w:b/>
        </w:rPr>
        <w:t xml:space="preserve">Symbol-Specific Bias.</w:t>
      </w:r>
      <w:r>
        <w:t xml:space="preserve"> </w:t>
      </w:r>
      <w:r>
        <w:t xml:space="preserve">Twelve symbols exhibit</w:t>
      </w:r>
      <w:r>
        <w:t xml:space="preserve"> </w:t>
      </w:r>
      <w:r>
        <w:rPr>
          <w:bCs/>
          <w:b/>
        </w:rPr>
        <w:t xml:space="preserve">100% kill rates</w:t>
      </w:r>
      <w:r>
        <w:t xml:space="preserve"> </w:t>
      </w:r>
      <w:r>
        <w:t xml:space="preserve">in the blocked sample — every blocked pick for these symbols was a winner</w:t>
      </w:r>
      <w:r>
        <w:rPr>
          <w:rStyle w:val="FootnoteReference"/>
        </w:rPr>
        <w:footnoteReference w:id="251"/>
      </w:r>
      <w:r>
        <w:t xml:space="preserve">. The most affected symbols, ranked by aggregate PnL impact, are SHIB-USD (9/9 killed, +25.47%), HYPE-USD (10/10 killed, +17.56%), ATOM-USD (6/6 killed, +23.82%), CAKE-USD (5/5 killed, +14.41%), ALGO-USD (4/4 killed, +8.27%), and BLUR-USD (3/3 killed, +22.58%)</w:t>
      </w:r>
      <w:r>
        <w:rPr>
          <w:rStyle w:val="FootnoteReference"/>
        </w:rPr>
        <w:footnoteReference w:id="252"/>
      </w:r>
      <w:r>
        <w:t xml:space="preserve">. The pattern is not random: meme coins (SHIB), alt-L1s (ATOM, ALGO), and high-beta tokens (HYPE, BLUR) are systematically penalized. The QUALITY_GATE appears to treat volatility as a proxy for low quality, but in crypto markets,</w:t>
      </w:r>
      <w:r>
        <w:t xml:space="preserve"> </w:t>
      </w:r>
      <w:r>
        <w:rPr>
          <w:bCs/>
          <w:b/>
        </w:rPr>
        <w:t xml:space="preserve">volatility is where alpha resides</w:t>
      </w:r>
      <w:r>
        <w:t xml:space="preserve">. The gate conflates risk with expected loss, a fundamental category error in multi-asset risk management.</w:t>
      </w:r>
    </w:p>
    <w:p>
      <w:pPr>
        <w:pStyle w:val="BodyText"/>
      </w:pPr>
      <w:r>
        <w:rPr>
          <w:bCs/>
          <w:b/>
        </w:rPr>
        <w:t xml:space="preserve">Table 5.4</w:t>
      </w:r>
      <w:r>
        <w:t xml:space="preserve"> </w:t>
      </w:r>
      <w:r>
        <w:t xml:space="preserve">synthesizes the pattern detection evidence with projected P&amp;L lift from recalibration.</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Pattern</w:t>
            </w:r>
          </w:p>
        </w:tc>
        <w:tc>
          <w:tcPr/>
          <w:p>
            <w:pPr>
              <w:pStyle w:val="Compact"/>
              <w:jc w:val="right"/>
            </w:pPr>
            <w:r>
              <w:t xml:space="preserve">Affected Picks</w:t>
            </w:r>
          </w:p>
        </w:tc>
        <w:tc>
          <w:tcPr/>
          <w:p>
            <w:pPr>
              <w:pStyle w:val="Compact"/>
              <w:jc w:val="right"/>
            </w:pPr>
            <w:r>
              <w:t xml:space="preserve">WR in Blocked Band</w:t>
            </w:r>
          </w:p>
        </w:tc>
        <w:tc>
          <w:tcPr/>
          <w:p>
            <w:pPr>
              <w:pStyle w:val="Compact"/>
              <w:jc w:val="right"/>
            </w:pPr>
            <w:r>
              <w:t xml:space="preserve">Projected PnL Lift</w:t>
            </w:r>
          </w:p>
        </w:tc>
        <w:tc>
          <w:tcPr/>
          <w:p>
            <w:pPr>
              <w:pStyle w:val="Compact"/>
              <w:jc w:val="right"/>
            </w:pPr>
            <w:r>
              <w:t xml:space="preserve">Dollar Lift (@$2K)</w:t>
            </w:r>
          </w:p>
        </w:tc>
        <w:tc>
          <w:tcPr/>
          <w:p>
            <w:pPr>
              <w:pStyle w:val="Compact"/>
              <w:jc w:val="left"/>
            </w:pPr>
            <w:r>
              <w:t xml:space="preserve">Recalibration Action</w:t>
            </w:r>
          </w:p>
        </w:tc>
      </w:tr>
      <w:tr>
        <w:tc>
          <w:tcPr/>
          <w:p>
            <w:pPr>
              <w:pStyle w:val="Compact"/>
              <w:jc w:val="left"/>
            </w:pPr>
            <w:r>
              <w:t xml:space="preserve">ml_score &gt;= 0.70 false negatives</w:t>
            </w:r>
          </w:p>
        </w:tc>
        <w:tc>
          <w:tcPr/>
          <w:p>
            <w:pPr>
              <w:pStyle w:val="Compact"/>
              <w:jc w:val="right"/>
            </w:pPr>
            <w:r>
              <w:t xml:space="preserve">34</w:t>
            </w:r>
          </w:p>
        </w:tc>
        <w:tc>
          <w:tcPr/>
          <w:p>
            <w:pPr>
              <w:pStyle w:val="Compact"/>
              <w:jc w:val="right"/>
            </w:pPr>
            <w:r>
              <w:t xml:space="preserve">58.8% (20W/14L)</w:t>
            </w:r>
          </w:p>
        </w:tc>
        <w:tc>
          <w:tcPr/>
          <w:p>
            <w:pPr>
              <w:pStyle w:val="Compact"/>
              <w:jc w:val="right"/>
            </w:pPr>
            <w:r>
              <w:t xml:space="preserve">+18.77%</w:t>
            </w:r>
          </w:p>
        </w:tc>
        <w:tc>
          <w:tcPr/>
          <w:p>
            <w:pPr>
              <w:pStyle w:val="Compact"/>
              <w:jc w:val="right"/>
            </w:pPr>
            <w:r>
              <w:t xml:space="preserve">+$375</w:t>
            </w:r>
          </w:p>
        </w:tc>
        <w:tc>
          <w:tcPr/>
          <w:p>
            <w:pPr>
              <w:pStyle w:val="Compact"/>
              <w:jc w:val="left"/>
            </w:pPr>
            <w:r>
              <w:t xml:space="preserve">Replace QUALITY_GATE with ml_score &gt;= 0.82 threshold</w:t>
            </w:r>
          </w:p>
        </w:tc>
      </w:tr>
      <w:tr>
        <w:tc>
          <w:tcPr/>
          <w:p>
            <w:pPr>
              <w:pStyle w:val="Compact"/>
              <w:jc w:val="left"/>
            </w:pPr>
            <w:r>
              <w:t xml:space="preserve">R:R 1.25–1.5 floor violation</w:t>
            </w:r>
          </w:p>
        </w:tc>
        <w:tc>
          <w:tcPr/>
          <w:p>
            <w:pPr>
              <w:pStyle w:val="Compact"/>
              <w:jc w:val="right"/>
            </w:pPr>
            <w:r>
              <w:t xml:space="preserve">41</w:t>
            </w:r>
          </w:p>
        </w:tc>
        <w:tc>
          <w:tcPr/>
          <w:p>
            <w:pPr>
              <w:pStyle w:val="Compact"/>
              <w:jc w:val="right"/>
            </w:pPr>
            <w:r>
              <w:t xml:space="preserve">51.2%</w:t>
            </w:r>
          </w:p>
        </w:tc>
        <w:tc>
          <w:tcPr/>
          <w:p>
            <w:pPr>
              <w:pStyle w:val="Compact"/>
              <w:jc w:val="right"/>
            </w:pPr>
            <w:r>
              <w:t xml:space="preserve">+46.87%</w:t>
            </w:r>
          </w:p>
        </w:tc>
        <w:tc>
          <w:tcPr/>
          <w:p>
            <w:pPr>
              <w:pStyle w:val="Compact"/>
              <w:jc w:val="right"/>
            </w:pPr>
            <w:r>
              <w:t xml:space="preserve">+$937</w:t>
            </w:r>
          </w:p>
        </w:tc>
        <w:tc>
          <w:tcPr/>
          <w:p>
            <w:pPr>
              <w:pStyle w:val="Compact"/>
              <w:jc w:val="left"/>
            </w:pPr>
            <w:r>
              <w:t xml:space="preserve">Lower RR_GATE floor from 1.50 to 1.25</w:t>
            </w:r>
          </w:p>
        </w:tc>
      </w:tr>
      <w:tr>
        <w:tc>
          <w:tcPr/>
          <w:p>
            <w:pPr>
              <w:pStyle w:val="Compact"/>
              <w:jc w:val="left"/>
            </w:pPr>
            <w:r>
              <w:t xml:space="preserve">WINNER_FILTER 100% kill rate</w:t>
            </w:r>
          </w:p>
        </w:tc>
        <w:tc>
          <w:tcPr/>
          <w:p>
            <w:pPr>
              <w:pStyle w:val="Compact"/>
              <w:jc w:val="right"/>
            </w:pPr>
            <w:r>
              <w:t xml:space="preserve">5</w:t>
            </w:r>
          </w:p>
        </w:tc>
        <w:tc>
          <w:tcPr/>
          <w:p>
            <w:pPr>
              <w:pStyle w:val="Compact"/>
              <w:jc w:val="right"/>
            </w:pPr>
            <w:r>
              <w:t xml:space="preserve">100.0% (5W/0L)</w:t>
            </w:r>
          </w:p>
        </w:tc>
        <w:tc>
          <w:tcPr/>
          <w:p>
            <w:pPr>
              <w:pStyle w:val="Compact"/>
              <w:jc w:val="right"/>
            </w:pPr>
            <w:r>
              <w:t xml:space="preserve">+29.40%</w:t>
            </w:r>
          </w:p>
        </w:tc>
        <w:tc>
          <w:tcPr/>
          <w:p>
            <w:pPr>
              <w:pStyle w:val="Compact"/>
              <w:jc w:val="right"/>
            </w:pPr>
            <w:r>
              <w:t xml:space="preserve">+$588</w:t>
            </w:r>
          </w:p>
        </w:tc>
        <w:tc>
          <w:tcPr/>
          <w:p>
            <w:pPr>
              <w:pStyle w:val="Compact"/>
              <w:jc w:val="left"/>
            </w:pPr>
            <w:r>
              <w:t xml:space="preserve">Abolish WINNER_FILTER entirely</w:t>
            </w:r>
          </w:p>
        </w:tc>
      </w:tr>
      <w:tr>
        <w:tc>
          <w:tcPr/>
          <w:p>
            <w:pPr>
              <w:pStyle w:val="Compact"/>
              <w:jc w:val="left"/>
            </w:pPr>
            <w:r>
              <w:t xml:space="preserve">Symbol-specific 100% kill rate</w:t>
            </w:r>
          </w:p>
        </w:tc>
        <w:tc>
          <w:tcPr/>
          <w:p>
            <w:pPr>
              <w:pStyle w:val="Compact"/>
              <w:jc w:val="right"/>
            </w:pPr>
            <w:r>
              <w:t xml:space="preserve">37+</w:t>
            </w:r>
          </w:p>
        </w:tc>
        <w:tc>
          <w:tcPr/>
          <w:p>
            <w:pPr>
              <w:pStyle w:val="Compact"/>
              <w:jc w:val="right"/>
            </w:pPr>
            <w:r>
              <w:t xml:space="preserve">100.0%</w:t>
            </w:r>
          </w:p>
        </w:tc>
        <w:tc>
          <w:tcPr/>
          <w:p>
            <w:pPr>
              <w:pStyle w:val="Compact"/>
              <w:jc w:val="right"/>
            </w:pPr>
            <w:r>
              <w:t xml:space="preserve">~+60.00%</w:t>
            </w:r>
          </w:p>
        </w:tc>
        <w:tc>
          <w:tcPr/>
          <w:p>
            <w:pPr>
              <w:pStyle w:val="Compact"/>
              <w:jc w:val="right"/>
            </w:pPr>
            <w:r>
              <w:t xml:space="preserve">~$1,200</w:t>
            </w:r>
          </w:p>
        </w:tc>
        <w:tc>
          <w:tcPr/>
          <w:p>
            <w:pPr>
              <w:pStyle w:val="Compact"/>
              <w:jc w:val="left"/>
            </w:pPr>
            <w:r>
              <w:t xml:space="preserve">Create allow-list for over-blocked symbols</w:t>
            </w:r>
          </w:p>
        </w:tc>
      </w:tr>
      <w:tr>
        <w:tc>
          <w:tcPr/>
          <w:p>
            <w:pPr>
              <w:pStyle w:val="Compact"/>
              <w:jc w:val="left"/>
            </w:pPr>
            <w:r>
              <w:t xml:space="preserve">Early UTC hour degradation</w:t>
            </w:r>
          </w:p>
        </w:tc>
        <w:tc>
          <w:tcPr/>
          <w:p>
            <w:pPr>
              <w:pStyle w:val="Compact"/>
              <w:jc w:val="right"/>
            </w:pPr>
            <w:r>
              <w:t xml:space="preserve">89</w:t>
            </w:r>
          </w:p>
        </w:tc>
        <w:tc>
          <w:tcPr/>
          <w:p>
            <w:pPr>
              <w:pStyle w:val="Compact"/>
              <w:jc w:val="right"/>
            </w:pPr>
            <w:r>
              <w:t xml:space="preserve">28.9–41.2% accuracy</w:t>
            </w:r>
          </w:p>
        </w:tc>
        <w:tc>
          <w:tcPr/>
          <w:p>
            <w:pPr>
              <w:pStyle w:val="Compact"/>
              <w:jc w:val="right"/>
            </w:pPr>
            <w:r>
              <w:t xml:space="preserve">~+15.00%</w:t>
            </w:r>
          </w:p>
        </w:tc>
        <w:tc>
          <w:tcPr/>
          <w:p>
            <w:pPr>
              <w:pStyle w:val="Compact"/>
              <w:jc w:val="right"/>
            </w:pPr>
            <w:r>
              <w:t xml:space="preserve">~$300</w:t>
            </w:r>
          </w:p>
        </w:tc>
        <w:tc>
          <w:tcPr/>
          <w:p>
            <w:pPr>
              <w:pStyle w:val="Compact"/>
              <w:jc w:val="left"/>
            </w:pPr>
            <w:r>
              <w:t xml:space="preserve">Reduce blocking aggressiveness 02:00–05:00 UTC</w:t>
            </w:r>
          </w:p>
        </w:tc>
      </w:tr>
      <w:tr>
        <w:tc>
          <w:tcPr/>
          <w:p>
            <w:pPr>
              <w:pStyle w:val="Compact"/>
              <w:jc w:val="left"/>
            </w:pPr>
            <w:r>
              <w:rPr>
                <w:bCs/>
                <w:b/>
              </w:rPr>
              <w:t xml:space="preserve">Combined (verified subset)</w:t>
            </w:r>
          </w:p>
        </w:tc>
        <w:tc>
          <w:tcPr/>
          <w:p>
            <w:pPr>
              <w:pStyle w:val="Compact"/>
              <w:jc w:val="right"/>
            </w:pPr>
            <w:r>
              <w:rPr>
                <w:bCs/>
                <w:b/>
              </w:rPr>
              <w:t xml:space="preserve">80</w:t>
            </w:r>
          </w:p>
        </w:tc>
        <w:tc>
          <w:tcPr/>
          <w:p>
            <w:pPr>
              <w:pStyle w:val="Compact"/>
              <w:jc w:val="right"/>
            </w:pPr>
            <w:r>
              <w:rPr>
                <w:bCs/>
                <w:b/>
              </w:rPr>
              <w:t xml:space="preserve">55%+</w:t>
            </w:r>
          </w:p>
        </w:tc>
        <w:tc>
          <w:tcPr/>
          <w:p>
            <w:pPr>
              <w:pStyle w:val="Compact"/>
              <w:jc w:val="right"/>
            </w:pPr>
            <w:r>
              <w:rPr>
                <w:bCs/>
                <w:b/>
              </w:rPr>
              <w:t xml:space="preserve">+95.04%</w:t>
            </w:r>
          </w:p>
        </w:tc>
        <w:tc>
          <w:tcPr/>
          <w:p>
            <w:pPr>
              <w:pStyle w:val="Compact"/>
              <w:jc w:val="right"/>
            </w:pPr>
            <w:r>
              <w:rPr>
                <w:bCs/>
                <w:b/>
              </w:rPr>
              <w:t xml:space="preserve">+$1,901</w:t>
            </w:r>
          </w:p>
        </w:tc>
        <w:tc>
          <w:tcPr/>
          <w:p>
            <w:pPr>
              <w:pStyle w:val="Compact"/>
              <w:jc w:val="left"/>
            </w:pPr>
            <w:r>
              <w:rPr>
                <w:bCs/>
                <w:b/>
              </w:rPr>
              <w:t xml:space="preserve">Phased implementation</w:t>
            </w:r>
          </w:p>
        </w:tc>
      </w:tr>
    </w:tbl>
    <w:p>
      <w:pPr>
        <w:pStyle w:val="BodyText"/>
      </w:pPr>
      <w:r>
        <w:t xml:space="preserve">The temporal pattern adds a further dimension of concern. Block accuracy during</w:t>
      </w:r>
      <w:r>
        <w:t xml:space="preserve"> </w:t>
      </w:r>
      <w:r>
        <w:rPr>
          <w:bCs/>
          <w:b/>
        </w:rPr>
        <w:t xml:space="preserve">early UTC hours (02:00–05:00)</w:t>
      </w:r>
      <w:r>
        <w:t xml:space="preserve"> </w:t>
      </w:r>
      <w:r>
        <w:t xml:space="preserve">drops to</w:t>
      </w:r>
      <w:r>
        <w:t xml:space="preserve"> </w:t>
      </w:r>
      <w:r>
        <w:rPr>
          <w:bCs/>
          <w:b/>
        </w:rPr>
        <w:t xml:space="preserve">28.9–41.2%</w:t>
      </w:r>
      <w:r>
        <w:t xml:space="preserve">, compared to</w:t>
      </w:r>
      <w:r>
        <w:t xml:space="preserve"> </w:t>
      </w:r>
      <w:r>
        <w:rPr>
          <w:bCs/>
          <w:b/>
        </w:rPr>
        <w:t xml:space="preserve">54.2–62.9%</w:t>
      </w:r>
      <w:r>
        <w:t xml:space="preserve"> </w:t>
      </w:r>
      <w:r>
        <w:t xml:space="preserve">during mid-day UTC hours (13:00, 16:00)</w:t>
      </w:r>
      <w:r>
        <w:rPr>
          <w:rStyle w:val="FootnoteReference"/>
        </w:rPr>
        <w:footnoteReference w:id="253"/>
      </w:r>
      <w:r>
        <w:t xml:space="preserve">. The gate performs worst precisely during the lowest-liquidity trading window, when bid-ask spreads widen and price discovery is noisy. Rather than compensating for low-liquidity conditions with more permissive filtering, the gates apply the same static thresholds — and in doing so, disproportionately destroy alpha during periods when the cost of false negatives is highest.</w:t>
      </w:r>
    </w:p>
    <w:p>
      <w:pPr>
        <w:pStyle w:val="BodyText"/>
      </w:pPr>
      <w:r>
        <w:t xml:space="preserve">The pattern detection evidence points to a consistent underlying failure mode:</w:t>
      </w:r>
      <w:r>
        <w:t xml:space="preserve"> </w:t>
      </w:r>
      <w:r>
        <w:rPr>
          <w:bCs/>
          <w:b/>
        </w:rPr>
        <w:t xml:space="preserve">static thresholds applied to dynamic markets</w:t>
      </w:r>
      <w:r>
        <w:t xml:space="preserve">. Whether the threshold is on elite_score, R:R, confidence, or time-of-day, the absence of adaptive recalibration produces systematic false negatives. The platform is not short of predictive signals — the ml_score, confidence bands, and symbol-specific performance data all contain actionable information. The problem is that the gating architecture uses the wrong signals, at the wrong thresholds, at the wrong times.</w:t>
      </w:r>
    </w:p>
    <w:p>
      <w:pPr>
        <w:pStyle w:val="CaptionedFigure"/>
      </w:pPr>
      <w:r>
        <w:drawing>
          <wp:inline>
            <wp:extent cx="5334000" cy="2755793"/>
            <wp:effectExtent b="0" l="0" r="0" t="0"/>
            <wp:docPr descr="Figure 5.2" title="" id="255" name="Picture"/>
            <a:graphic>
              <a:graphicData uri="http://schemas.openxmlformats.org/drawingml/2006/picture">
                <pic:pic>
                  <pic:nvPicPr>
                    <pic:cNvPr descr="killed_alpha_chart.png" id="256" name="Picture"/>
                    <pic:cNvPicPr>
                      <a:picLocks noChangeArrowheads="1" noChangeAspect="1"/>
                    </pic:cNvPicPr>
                  </pic:nvPicPr>
                  <pic:blipFill>
                    <a:blip r:embed="rId254"/>
                    <a:stretch>
                      <a:fillRect/>
                    </a:stretch>
                  </pic:blipFill>
                  <pic:spPr bwMode="auto">
                    <a:xfrm>
                      <a:off x="0" y="0"/>
                      <a:ext cx="5334000" cy="2755793"/>
                    </a:xfrm>
                    <a:prstGeom prst="rect">
                      <a:avLst/>
                    </a:prstGeom>
                    <a:noFill/>
                    <a:ln w="9525">
                      <a:noFill/>
                      <a:headEnd/>
                      <a:tailEnd/>
                    </a:ln>
                  </pic:spPr>
                </pic:pic>
              </a:graphicData>
            </a:graphic>
          </wp:inline>
        </w:drawing>
      </w:r>
    </w:p>
    <w:p>
      <w:pPr>
        <w:pStyle w:val="ImageCaption"/>
      </w:pPr>
      <w:r>
        <w:t xml:space="preserve">Figure 5.2</w:t>
      </w:r>
    </w:p>
    <w:p>
      <w:pPr>
        <w:pStyle w:val="BodyText"/>
      </w:pPr>
      <w:r>
        <w:rPr>
          <w:iCs/>
          <w:i/>
        </w:rPr>
        <w:t xml:space="preserve">Figure 5.2</w:t>
      </w:r>
      <w:r>
        <w:t xml:space="preserve"> </w:t>
      </w:r>
      <w:r>
        <w:t xml:space="preserve">decomposes the PnL impact and pick count by gate, illustrating the overwhelming contribution of QUALITY_GATE to both killed alpha and saved losses. Panel (a) shows that QUALITY_GATE’s +861.23% in killed alpha is partially offset by -938.25% in losses prevented, yielding a net of -77.0%. Panel (b) shows the pick count asymmetry: 113 killed versus 89 saved. The TOTAL column confirms that the aggregate system blocked 141 winners and 112 losers — a 55.7% kill rate that favors destruction over preservation.</w:t>
      </w:r>
    </w:p>
    <w:bookmarkEnd w:id="257"/>
    <w:bookmarkStart w:id="273" w:name="optimal-composite-score-proposal"/>
    <w:p>
      <w:pPr>
        <w:pStyle w:val="Heading3"/>
      </w:pPr>
      <w:r>
        <w:t xml:space="preserve">5.5 Optimal Composite Score Proposal</w:t>
      </w:r>
    </w:p>
    <w:p>
      <w:pPr>
        <w:pStyle w:val="FirstParagraph"/>
      </w:pPr>
      <w:r>
        <w:t xml:space="preserve">The evidence from Sections 5.1 through 5.4 points to a clear prescription: replace the backwards elite_score criterion with a metric that demonstrably predicts pick quality. ROC-AUC analysis across candidate predictors identifies</w:t>
      </w:r>
      <w:r>
        <w:t xml:space="preserve"> </w:t>
      </w:r>
      <w:r>
        <w:rPr>
          <w:rStyle w:val="VerbatimChar"/>
        </w:rPr>
        <w:t xml:space="preserve">ml_score</w:t>
      </w:r>
      <w:r>
        <w:t xml:space="preserve"> </w:t>
      </w:r>
      <w:r>
        <w:t xml:space="preserve">as the single best discriminator of block correctness.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Predictor</w:t>
            </w:r>
          </w:p>
        </w:tc>
        <w:tc>
          <w:tcPr/>
          <w:p>
            <w:pPr>
              <w:pStyle w:val="Compact"/>
              <w:jc w:val="right"/>
            </w:pPr>
            <w:r>
              <w:t xml:space="preserve">ROC-AUC</w:t>
            </w:r>
          </w:p>
        </w:tc>
        <w:tc>
          <w:tcPr/>
          <w:p>
            <w:pPr>
              <w:pStyle w:val="Compact"/>
              <w:jc w:val="right"/>
            </w:pPr>
            <w:r>
              <w:t xml:space="preserve">Improvement vs Random</w:t>
            </w:r>
          </w:p>
        </w:tc>
        <w:tc>
          <w:tcPr/>
          <w:p>
            <w:pPr>
              <w:pStyle w:val="Compact"/>
              <w:jc w:val="left"/>
            </w:pPr>
            <w:r>
              <w:t xml:space="preserve">Rank</w:t>
            </w:r>
          </w:p>
        </w:tc>
      </w:tr>
      <w:tr>
        <w:tc>
          <w:tcPr/>
          <w:p>
            <w:pPr>
              <w:pStyle w:val="Compact"/>
              <w:jc w:val="left"/>
            </w:pPr>
            <w:r>
              <w:t xml:space="preserve">ml_score (alone)</w:t>
            </w:r>
          </w:p>
        </w:tc>
        <w:tc>
          <w:tcPr/>
          <w:p>
            <w:pPr>
              <w:pStyle w:val="Compact"/>
              <w:jc w:val="right"/>
            </w:pPr>
            <w:r>
              <w:rPr>
                <w:bCs/>
                <w:b/>
              </w:rPr>
              <w:t xml:space="preserve">0.5785</w:t>
            </w:r>
          </w:p>
        </w:tc>
        <w:tc>
          <w:tcPr/>
          <w:p>
            <w:pPr>
              <w:pStyle w:val="Compact"/>
              <w:jc w:val="right"/>
            </w:pPr>
            <w:r>
              <w:t xml:space="preserve">+15.7%</w:t>
            </w:r>
          </w:p>
        </w:tc>
        <w:tc>
          <w:tcPr/>
          <w:p>
            <w:pPr>
              <w:pStyle w:val="Compact"/>
              <w:jc w:val="left"/>
            </w:pPr>
            <w:r>
              <w:t xml:space="preserve">1</w:t>
            </w:r>
          </w:p>
        </w:tc>
      </w:tr>
      <w:tr>
        <w:tc>
          <w:tcPr/>
          <w:p>
            <w:pPr>
              <w:pStyle w:val="Compact"/>
              <w:jc w:val="left"/>
            </w:pPr>
            <w:r>
              <w:t xml:space="preserve">ml80_conf20 (weighted blend)</w:t>
            </w:r>
          </w:p>
        </w:tc>
        <w:tc>
          <w:tcPr/>
          <w:p>
            <w:pPr>
              <w:pStyle w:val="Compact"/>
              <w:jc w:val="right"/>
            </w:pPr>
            <w:r>
              <w:t xml:space="preserve">0.5760</w:t>
            </w:r>
          </w:p>
        </w:tc>
        <w:tc>
          <w:tcPr/>
          <w:p>
            <w:pPr>
              <w:pStyle w:val="Compact"/>
              <w:jc w:val="right"/>
            </w:pPr>
            <w:r>
              <w:t xml:space="preserve">+15.2%</w:t>
            </w:r>
          </w:p>
        </w:tc>
        <w:tc>
          <w:tcPr/>
          <w:p>
            <w:pPr>
              <w:pStyle w:val="Compact"/>
              <w:jc w:val="left"/>
            </w:pPr>
            <w:r>
              <w:t xml:space="preserve">2</w:t>
            </w:r>
          </w:p>
        </w:tc>
      </w:tr>
      <w:tr>
        <w:tc>
          <w:tcPr/>
          <w:p>
            <w:pPr>
              <w:pStyle w:val="Compact"/>
              <w:jc w:val="left"/>
            </w:pPr>
            <w:r>
              <w:t xml:space="preserve">ml70_conf30 (weighted blend)</w:t>
            </w:r>
          </w:p>
        </w:tc>
        <w:tc>
          <w:tcPr/>
          <w:p>
            <w:pPr>
              <w:pStyle w:val="Compact"/>
              <w:jc w:val="right"/>
            </w:pPr>
            <w:r>
              <w:t xml:space="preserve">0.5737</w:t>
            </w:r>
          </w:p>
        </w:tc>
        <w:tc>
          <w:tcPr/>
          <w:p>
            <w:pPr>
              <w:pStyle w:val="Compact"/>
              <w:jc w:val="right"/>
            </w:pPr>
            <w:r>
              <w:t xml:space="preserve">+14.7%</w:t>
            </w:r>
          </w:p>
        </w:tc>
        <w:tc>
          <w:tcPr/>
          <w:p>
            <w:pPr>
              <w:pStyle w:val="Compact"/>
              <w:jc w:val="left"/>
            </w:pPr>
            <w:r>
              <w:t xml:space="preserve">3</w:t>
            </w:r>
          </w:p>
        </w:tc>
      </w:tr>
      <w:tr>
        <w:tc>
          <w:tcPr/>
          <w:p>
            <w:pPr>
              <w:pStyle w:val="Compact"/>
              <w:jc w:val="left"/>
            </w:pPr>
            <w:r>
              <w:t xml:space="preserve">ml60_conf40 (weighted blend)</w:t>
            </w:r>
          </w:p>
        </w:tc>
        <w:tc>
          <w:tcPr/>
          <w:p>
            <w:pPr>
              <w:pStyle w:val="Compact"/>
              <w:jc w:val="right"/>
            </w:pPr>
            <w:r>
              <w:t xml:space="preserve">0.5690</w:t>
            </w:r>
          </w:p>
        </w:tc>
        <w:tc>
          <w:tcPr/>
          <w:p>
            <w:pPr>
              <w:pStyle w:val="Compact"/>
              <w:jc w:val="right"/>
            </w:pPr>
            <w:r>
              <w:t xml:space="preserve">+13.8%</w:t>
            </w:r>
          </w:p>
        </w:tc>
        <w:tc>
          <w:tcPr/>
          <w:p>
            <w:pPr>
              <w:pStyle w:val="Compact"/>
              <w:jc w:val="left"/>
            </w:pPr>
            <w:r>
              <w:t xml:space="preserve">4</w:t>
            </w:r>
          </w:p>
        </w:tc>
      </w:tr>
      <w:tr>
        <w:tc>
          <w:tcPr/>
          <w:p>
            <w:pPr>
              <w:pStyle w:val="Compact"/>
              <w:jc w:val="left"/>
            </w:pPr>
            <w:r>
              <w:t xml:space="preserve">ml_score + confidence (average)</w:t>
            </w:r>
          </w:p>
        </w:tc>
        <w:tc>
          <w:tcPr/>
          <w:p>
            <w:pPr>
              <w:pStyle w:val="Compact"/>
              <w:jc w:val="right"/>
            </w:pPr>
            <w:r>
              <w:t xml:space="preserve">0.5664</w:t>
            </w:r>
          </w:p>
        </w:tc>
        <w:tc>
          <w:tcPr/>
          <w:p>
            <w:pPr>
              <w:pStyle w:val="Compact"/>
              <w:jc w:val="right"/>
            </w:pPr>
            <w:r>
              <w:t xml:space="preserve">+13.3%</w:t>
            </w:r>
          </w:p>
        </w:tc>
        <w:tc>
          <w:tcPr/>
          <w:p>
            <w:pPr>
              <w:pStyle w:val="Compact"/>
              <w:jc w:val="left"/>
            </w:pPr>
            <w:r>
              <w:t xml:space="preserve">5</w:t>
            </w:r>
          </w:p>
        </w:tc>
      </w:tr>
      <w:tr>
        <w:tc>
          <w:tcPr/>
          <w:p>
            <w:pPr>
              <w:pStyle w:val="Compact"/>
              <w:jc w:val="left"/>
            </w:pPr>
            <w:r>
              <w:t xml:space="preserve">ml_score × confidence (product)</w:t>
            </w:r>
          </w:p>
        </w:tc>
        <w:tc>
          <w:tcPr/>
          <w:p>
            <w:pPr>
              <w:pStyle w:val="Compact"/>
              <w:jc w:val="right"/>
            </w:pPr>
            <w:r>
              <w:t xml:space="preserve">0.5654</w:t>
            </w:r>
          </w:p>
        </w:tc>
        <w:tc>
          <w:tcPr/>
          <w:p>
            <w:pPr>
              <w:pStyle w:val="Compact"/>
              <w:jc w:val="right"/>
            </w:pPr>
            <w:r>
              <w:t xml:space="preserve">+13.1%</w:t>
            </w:r>
          </w:p>
        </w:tc>
        <w:tc>
          <w:tcPr/>
          <w:p>
            <w:pPr>
              <w:pStyle w:val="Compact"/>
              <w:jc w:val="left"/>
            </w:pPr>
            <w:r>
              <w:t xml:space="preserve">6</w:t>
            </w:r>
          </w:p>
        </w:tc>
      </w:tr>
      <w:tr>
        <w:tc>
          <w:tcPr/>
          <w:p>
            <w:pPr>
              <w:pStyle w:val="Compact"/>
              <w:jc w:val="left"/>
            </w:pPr>
            <w:r>
              <w:t xml:space="preserve">confidence (alone)</w:t>
            </w:r>
          </w:p>
        </w:tc>
        <w:tc>
          <w:tcPr/>
          <w:p>
            <w:pPr>
              <w:pStyle w:val="Compact"/>
              <w:jc w:val="right"/>
            </w:pPr>
            <w:r>
              <w:t xml:space="preserve">0.5642</w:t>
            </w:r>
          </w:p>
        </w:tc>
        <w:tc>
          <w:tcPr/>
          <w:p>
            <w:pPr>
              <w:pStyle w:val="Compact"/>
              <w:jc w:val="right"/>
            </w:pPr>
            <w:r>
              <w:t xml:space="preserve">+12.8%</w:t>
            </w:r>
          </w:p>
        </w:tc>
        <w:tc>
          <w:tcPr/>
          <w:p>
            <w:pPr>
              <w:pStyle w:val="Compact"/>
              <w:jc w:val="left"/>
            </w:pPr>
            <w:r>
              <w:t xml:space="preserve">7</w:t>
            </w:r>
          </w:p>
        </w:tc>
      </w:tr>
      <w:tr>
        <w:tc>
          <w:tcPr/>
          <w:p>
            <w:pPr>
              <w:pStyle w:val="Compact"/>
              <w:jc w:val="left"/>
            </w:pPr>
            <w:r>
              <w:rPr>
                <w:bCs/>
                <w:b/>
              </w:rPr>
              <w:t xml:space="preserve">elite_score (alone)</w:t>
            </w:r>
          </w:p>
        </w:tc>
        <w:tc>
          <w:tcPr/>
          <w:p>
            <w:pPr>
              <w:pStyle w:val="Compact"/>
              <w:jc w:val="right"/>
            </w:pPr>
            <w:r>
              <w:rPr>
                <w:bCs/>
                <w:b/>
              </w:rPr>
              <w:t xml:space="preserve">0.5458</w:t>
            </w:r>
          </w:p>
        </w:tc>
        <w:tc>
          <w:tcPr/>
          <w:p>
            <w:pPr>
              <w:pStyle w:val="Compact"/>
              <w:jc w:val="right"/>
            </w:pPr>
            <w:r>
              <w:rPr>
                <w:bCs/>
                <w:b/>
              </w:rPr>
              <w:t xml:space="preserve">+9.2%</w:t>
            </w:r>
          </w:p>
        </w:tc>
        <w:tc>
          <w:tcPr/>
          <w:p>
            <w:pPr>
              <w:pStyle w:val="Compact"/>
              <w:jc w:val="left"/>
            </w:pPr>
            <w:r>
              <w:rPr>
                <w:bCs/>
                <w:b/>
              </w:rPr>
              <w:t xml:space="preserve">8 (last)</w:t>
            </w:r>
          </w:p>
        </w:tc>
      </w:tr>
    </w:tbl>
    <w:p>
      <w:pPr>
        <w:pStyle w:val="BodyText"/>
      </w:pPr>
      <w:r>
        <w:t xml:space="preserve">The ROC-AUC table delivers an unambiguous verdict.</w:t>
      </w:r>
      <w:r>
        <w:t xml:space="preserve"> </w:t>
      </w:r>
      <w:r>
        <w:rPr>
          <w:rStyle w:val="VerbatimChar"/>
        </w:rPr>
        <w:t xml:space="preserve">ml_score</w:t>
      </w:r>
      <w:r>
        <w:t xml:space="preserve"> </w:t>
      </w:r>
      <w:r>
        <w:t xml:space="preserve">alone achieves</w:t>
      </w:r>
      <w:r>
        <w:t xml:space="preserve"> </w:t>
      </w:r>
      <w:r>
        <w:rPr>
          <w:bCs/>
          <w:b/>
        </w:rPr>
        <w:t xml:space="preserve">AUC = 0.5785</w:t>
      </w:r>
      <w:r>
        <w:t xml:space="preserve">, outperforming all composite formulations and substantially exceeding</w:t>
      </w:r>
      <w:r>
        <w:t xml:space="preserve"> </w:t>
      </w:r>
      <w:r>
        <w:rPr>
          <w:rStyle w:val="VerbatimChar"/>
        </w:rPr>
        <w:t xml:space="preserve">elite_score</w:t>
      </w:r>
      <w:r>
        <w:t xml:space="preserve"> </w:t>
      </w:r>
      <w:r>
        <w:t xml:space="preserve">at 0.5458</w:t>
      </w:r>
      <w:r>
        <w:rPr>
          <w:rStyle w:val="FootnoteReference"/>
        </w:rPr>
        <w:footnoteReference w:id="258"/>
      </w:r>
      <w:r>
        <w:t xml:space="preserve">. The gap of +2.7 percentage points in AUC, while modest in absolute terms, translates to meaningful P&amp;L improvement when applied across hundreds of picks. More importantly, adding confidence to ml_score in any weighted combination</w:t>
      </w:r>
      <w:r>
        <w:t xml:space="preserve"> </w:t>
      </w:r>
      <w:r>
        <w:rPr>
          <w:iCs/>
          <w:i/>
        </w:rPr>
        <w:t xml:space="preserve">degrades</w:t>
      </w:r>
      <w:r>
        <w:t xml:space="preserve"> </w:t>
      </w:r>
      <w:r>
        <w:t xml:space="preserve">performance relative to ml_score alone — there is no synergy between these signals for the block-correctness prediction task</w:t>
      </w:r>
      <w:r>
        <w:rPr>
          <w:rStyle w:val="FootnoteReference"/>
        </w:rPr>
        <w:footnoteReference w:id="259"/>
      </w:r>
      <w:r>
        <w:t xml:space="preserve">.</w:t>
      </w:r>
    </w:p>
    <w:p>
      <w:pPr>
        <w:pStyle w:val="BodyText"/>
      </w:pPr>
      <w:r>
        <w:t xml:space="preserve">The implication is that the optimal gating architecture should be simpler than the current design, not more complex. A single-threshold ml_score gate replaces the multi-factor elite_score with a cleaner, more predictive signal.</w:t>
      </w:r>
    </w:p>
    <w:p>
      <w:pPr>
        <w:pStyle w:val="BodyText"/>
      </w:pPr>
      <w:r>
        <w:t xml:space="preserve">Threshold optimization across the ml_score distribution identifies</w:t>
      </w:r>
      <w:r>
        <w:t xml:space="preserve"> </w:t>
      </w:r>
      <w:r>
        <w:rPr>
          <w:bCs/>
          <w:b/>
        </w:rPr>
        <w:t xml:space="preserve">0.82 as the optimal operating point</w:t>
      </w:r>
      <w:r>
        <w:rPr>
          <w:rStyle w:val="FootnoteReference"/>
        </w:rPr>
        <w:footnoteReference w:id="260"/>
      </w:r>
      <w:r>
        <w:t xml:space="preserve">:</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Threshold</w:t>
            </w:r>
          </w:p>
        </w:tc>
        <w:tc>
          <w:tcPr/>
          <w:p>
            <w:pPr>
              <w:pStyle w:val="Compact"/>
              <w:jc w:val="right"/>
            </w:pPr>
            <w:r>
              <w:t xml:space="preserve">Allowed</w:t>
            </w:r>
          </w:p>
        </w:tc>
        <w:tc>
          <w:tcPr/>
          <w:p>
            <w:pPr>
              <w:pStyle w:val="Compact"/>
              <w:jc w:val="right"/>
            </w:pPr>
            <w:r>
              <w:t xml:space="preserve">Blocked</w:t>
            </w:r>
          </w:p>
        </w:tc>
        <w:tc>
          <w:tcPr/>
          <w:p>
            <w:pPr>
              <w:pStyle w:val="Compact"/>
              <w:jc w:val="right"/>
            </w:pPr>
            <w:r>
              <w:t xml:space="preserve">Block Precision</w:t>
            </w:r>
          </w:p>
        </w:tc>
        <w:tc>
          <w:tcPr/>
          <w:p>
            <w:pPr>
              <w:pStyle w:val="Compact"/>
              <w:jc w:val="right"/>
            </w:pPr>
            <w:r>
              <w:t xml:space="preserve">Block Recall</w:t>
            </w:r>
          </w:p>
        </w:tc>
        <w:tc>
          <w:tcPr/>
          <w:p>
            <w:pPr>
              <w:pStyle w:val="Compact"/>
              <w:jc w:val="right"/>
            </w:pPr>
            <w:r>
              <w:t xml:space="preserve">Block F1</w:t>
            </w:r>
          </w:p>
        </w:tc>
        <w:tc>
          <w:tcPr/>
          <w:p>
            <w:pPr>
              <w:pStyle w:val="Compact"/>
              <w:jc w:val="right"/>
            </w:pPr>
            <w:r>
              <w:t xml:space="preserve">Pass Rate</w:t>
            </w:r>
          </w:p>
        </w:tc>
      </w:tr>
      <w:tr>
        <w:tc>
          <w:tcPr/>
          <w:p>
            <w:pPr>
              <w:pStyle w:val="Compact"/>
              <w:jc w:val="left"/>
            </w:pPr>
            <w:r>
              <w:t xml:space="preserve">0.50</w:t>
            </w:r>
          </w:p>
        </w:tc>
        <w:tc>
          <w:tcPr/>
          <w:p>
            <w:pPr>
              <w:pStyle w:val="Compact"/>
              <w:jc w:val="right"/>
            </w:pPr>
            <w:r>
              <w:t xml:space="preserve">155</w:t>
            </w:r>
          </w:p>
        </w:tc>
        <w:tc>
          <w:tcPr/>
          <w:p>
            <w:pPr>
              <w:pStyle w:val="Compact"/>
              <w:jc w:val="right"/>
            </w:pPr>
            <w:r>
              <w:t xml:space="preserve">47</w:t>
            </w:r>
          </w:p>
        </w:tc>
        <w:tc>
          <w:tcPr/>
          <w:p>
            <w:pPr>
              <w:pStyle w:val="Compact"/>
              <w:jc w:val="right"/>
            </w:pPr>
            <w:r>
              <w:t xml:space="preserve">38.3%</w:t>
            </w:r>
          </w:p>
        </w:tc>
        <w:tc>
          <w:tcPr/>
          <w:p>
            <w:pPr>
              <w:pStyle w:val="Compact"/>
              <w:jc w:val="right"/>
            </w:pPr>
            <w:r>
              <w:t xml:space="preserve">20.2%</w:t>
            </w:r>
          </w:p>
        </w:tc>
        <w:tc>
          <w:tcPr/>
          <w:p>
            <w:pPr>
              <w:pStyle w:val="Compact"/>
              <w:jc w:val="right"/>
            </w:pPr>
            <w:r>
              <w:t xml:space="preserve">0.265</w:t>
            </w:r>
          </w:p>
        </w:tc>
        <w:tc>
          <w:tcPr/>
          <w:p>
            <w:pPr>
              <w:pStyle w:val="Compact"/>
              <w:jc w:val="right"/>
            </w:pPr>
            <w:r>
              <w:t xml:space="preserve">76.7%</w:t>
            </w:r>
          </w:p>
        </w:tc>
      </w:tr>
      <w:tr>
        <w:tc>
          <w:tcPr/>
          <w:p>
            <w:pPr>
              <w:pStyle w:val="Compact"/>
              <w:jc w:val="left"/>
            </w:pPr>
            <w:r>
              <w:t xml:space="preserve">0.70</w:t>
            </w:r>
          </w:p>
        </w:tc>
        <w:tc>
          <w:tcPr/>
          <w:p>
            <w:pPr>
              <w:pStyle w:val="Compact"/>
              <w:jc w:val="right"/>
            </w:pPr>
            <w:r>
              <w:t xml:space="preserve">109</w:t>
            </w:r>
          </w:p>
        </w:tc>
        <w:tc>
          <w:tcPr/>
          <w:p>
            <w:pPr>
              <w:pStyle w:val="Compact"/>
              <w:jc w:val="right"/>
            </w:pPr>
            <w:r>
              <w:t xml:space="preserve">93</w:t>
            </w:r>
          </w:p>
        </w:tc>
        <w:tc>
          <w:tcPr/>
          <w:p>
            <w:pPr>
              <w:pStyle w:val="Compact"/>
              <w:jc w:val="right"/>
            </w:pPr>
            <w:r>
              <w:t xml:space="preserve">36.6%</w:t>
            </w:r>
          </w:p>
        </w:tc>
        <w:tc>
          <w:tcPr/>
          <w:p>
            <w:pPr>
              <w:pStyle w:val="Compact"/>
              <w:jc w:val="right"/>
            </w:pPr>
            <w:r>
              <w:t xml:space="preserve">38.2%</w:t>
            </w:r>
          </w:p>
        </w:tc>
        <w:tc>
          <w:tcPr/>
          <w:p>
            <w:pPr>
              <w:pStyle w:val="Compact"/>
              <w:jc w:val="right"/>
            </w:pPr>
            <w:r>
              <w:t xml:space="preserve">0.374</w:t>
            </w:r>
          </w:p>
        </w:tc>
        <w:tc>
          <w:tcPr/>
          <w:p>
            <w:pPr>
              <w:pStyle w:val="Compact"/>
              <w:jc w:val="right"/>
            </w:pPr>
            <w:r>
              <w:t xml:space="preserve">54.0%</w:t>
            </w:r>
          </w:p>
        </w:tc>
      </w:tr>
      <w:tr>
        <w:tc>
          <w:tcPr/>
          <w:p>
            <w:pPr>
              <w:pStyle w:val="Compact"/>
              <w:jc w:val="left"/>
            </w:pPr>
            <w:r>
              <w:rPr>
                <w:bCs/>
                <w:b/>
              </w:rPr>
              <w:t xml:space="preserve">0.82</w:t>
            </w:r>
          </w:p>
        </w:tc>
        <w:tc>
          <w:tcPr/>
          <w:p>
            <w:pPr>
              <w:pStyle w:val="Compact"/>
              <w:jc w:val="right"/>
            </w:pPr>
            <w:r>
              <w:rPr>
                <w:bCs/>
                <w:b/>
              </w:rPr>
              <w:t xml:space="preserve">34</w:t>
            </w:r>
          </w:p>
        </w:tc>
        <w:tc>
          <w:tcPr/>
          <w:p>
            <w:pPr>
              <w:pStyle w:val="Compact"/>
              <w:jc w:val="right"/>
            </w:pPr>
            <w:r>
              <w:rPr>
                <w:bCs/>
                <w:b/>
              </w:rPr>
              <w:t xml:space="preserve">168</w:t>
            </w:r>
          </w:p>
        </w:tc>
        <w:tc>
          <w:tcPr/>
          <w:p>
            <w:pPr>
              <w:pStyle w:val="Compact"/>
              <w:jc w:val="right"/>
            </w:pPr>
            <w:r>
              <w:rPr>
                <w:bCs/>
                <w:b/>
              </w:rPr>
              <w:t xml:space="preserve">44.6%</w:t>
            </w:r>
          </w:p>
        </w:tc>
        <w:tc>
          <w:tcPr/>
          <w:p>
            <w:pPr>
              <w:pStyle w:val="Compact"/>
              <w:jc w:val="right"/>
            </w:pPr>
            <w:r>
              <w:rPr>
                <w:bCs/>
                <w:b/>
              </w:rPr>
              <w:t xml:space="preserve">84.3%</w:t>
            </w:r>
          </w:p>
        </w:tc>
        <w:tc>
          <w:tcPr/>
          <w:p>
            <w:pPr>
              <w:pStyle w:val="Compact"/>
              <w:jc w:val="right"/>
            </w:pPr>
            <w:r>
              <w:rPr>
                <w:bCs/>
                <w:b/>
              </w:rPr>
              <w:t xml:space="preserve">0.584</w:t>
            </w:r>
          </w:p>
        </w:tc>
        <w:tc>
          <w:tcPr/>
          <w:p>
            <w:pPr>
              <w:pStyle w:val="Compact"/>
              <w:jc w:val="right"/>
            </w:pPr>
            <w:r>
              <w:rPr>
                <w:bCs/>
                <w:b/>
              </w:rPr>
              <w:t xml:space="preserve">16.8%</w:t>
            </w:r>
          </w:p>
        </w:tc>
      </w:tr>
      <w:tr>
        <w:tc>
          <w:tcPr/>
          <w:p>
            <w:pPr>
              <w:pStyle w:val="Compact"/>
              <w:jc w:val="left"/>
            </w:pPr>
            <w:r>
              <w:t xml:space="preserve">0.90</w:t>
            </w:r>
          </w:p>
        </w:tc>
        <w:tc>
          <w:tcPr/>
          <w:p>
            <w:pPr>
              <w:pStyle w:val="Compact"/>
              <w:jc w:val="right"/>
            </w:pPr>
            <w:r>
              <w:t xml:space="preserve">12</w:t>
            </w:r>
          </w:p>
        </w:tc>
        <w:tc>
          <w:tcPr/>
          <w:p>
            <w:pPr>
              <w:pStyle w:val="Compact"/>
              <w:jc w:val="right"/>
            </w:pPr>
            <w:r>
              <w:t xml:space="preserve">190</w:t>
            </w:r>
          </w:p>
        </w:tc>
        <w:tc>
          <w:tcPr/>
          <w:p>
            <w:pPr>
              <w:pStyle w:val="Compact"/>
              <w:jc w:val="right"/>
            </w:pPr>
            <w:r>
              <w:t xml:space="preserve">42.6%</w:t>
            </w:r>
          </w:p>
        </w:tc>
        <w:tc>
          <w:tcPr/>
          <w:p>
            <w:pPr>
              <w:pStyle w:val="Compact"/>
              <w:jc w:val="right"/>
            </w:pPr>
            <w:r>
              <w:t xml:space="preserve">91.0%</w:t>
            </w:r>
          </w:p>
        </w:tc>
        <w:tc>
          <w:tcPr/>
          <w:p>
            <w:pPr>
              <w:pStyle w:val="Compact"/>
              <w:jc w:val="right"/>
            </w:pPr>
            <w:r>
              <w:t xml:space="preserve">0.581</w:t>
            </w:r>
          </w:p>
        </w:tc>
        <w:tc>
          <w:tcPr/>
          <w:p>
            <w:pPr>
              <w:pStyle w:val="Compact"/>
              <w:jc w:val="right"/>
            </w:pPr>
            <w:r>
              <w:t xml:space="preserve">5.9%</w:t>
            </w:r>
          </w:p>
        </w:tc>
      </w:tr>
      <w:tr>
        <w:tc>
          <w:tcPr/>
          <w:p>
            <w:pPr>
              <w:pStyle w:val="Compact"/>
              <w:jc w:val="left"/>
            </w:pPr>
            <w:r>
              <w:t xml:space="preserve">0.94</w:t>
            </w:r>
          </w:p>
        </w:tc>
        <w:tc>
          <w:tcPr/>
          <w:p>
            <w:pPr>
              <w:pStyle w:val="Compact"/>
              <w:jc w:val="right"/>
            </w:pPr>
            <w:r>
              <w:t xml:space="preserve">7</w:t>
            </w:r>
          </w:p>
        </w:tc>
        <w:tc>
          <w:tcPr/>
          <w:p>
            <w:pPr>
              <w:pStyle w:val="Compact"/>
              <w:jc w:val="right"/>
            </w:pPr>
            <w:r>
              <w:t xml:space="preserve">195</w:t>
            </w:r>
          </w:p>
        </w:tc>
        <w:tc>
          <w:tcPr/>
          <w:p>
            <w:pPr>
              <w:pStyle w:val="Compact"/>
              <w:jc w:val="right"/>
            </w:pPr>
            <w:r>
              <w:t xml:space="preserve">43.6%</w:t>
            </w:r>
          </w:p>
        </w:tc>
        <w:tc>
          <w:tcPr/>
          <w:p>
            <w:pPr>
              <w:pStyle w:val="Compact"/>
              <w:jc w:val="right"/>
            </w:pPr>
            <w:r>
              <w:t xml:space="preserve">95.5%</w:t>
            </w:r>
          </w:p>
        </w:tc>
        <w:tc>
          <w:tcPr/>
          <w:p>
            <w:pPr>
              <w:pStyle w:val="Compact"/>
              <w:jc w:val="right"/>
            </w:pPr>
            <w:r>
              <w:t xml:space="preserve">0.599</w:t>
            </w:r>
          </w:p>
        </w:tc>
        <w:tc>
          <w:tcPr/>
          <w:p>
            <w:pPr>
              <w:pStyle w:val="Compact"/>
              <w:jc w:val="right"/>
            </w:pPr>
            <w:r>
              <w:t xml:space="preserve">3.5%</w:t>
            </w:r>
          </w:p>
        </w:tc>
      </w:tr>
    </w:tbl>
    <w:p>
      <w:pPr>
        <w:pStyle w:val="BodyText"/>
      </w:pPr>
      <w:r>
        <w:t xml:space="preserve">At</w:t>
      </w:r>
      <w:r>
        <w:t xml:space="preserve"> </w:t>
      </w:r>
      <w:r>
        <w:rPr>
          <w:rStyle w:val="VerbatimChar"/>
        </w:rPr>
        <w:t xml:space="preserve">ml_score &gt;= 0.82</w:t>
      </w:r>
      <w:r>
        <w:t xml:space="preserve">, the block F1 reaches</w:t>
      </w:r>
      <w:r>
        <w:t xml:space="preserve"> </w:t>
      </w:r>
      <w:r>
        <w:rPr>
          <w:bCs/>
          <w:b/>
        </w:rPr>
        <w:t xml:space="preserve">0.584</w:t>
      </w:r>
      <w:r>
        <w:t xml:space="preserve"> </w:t>
      </w:r>
      <w:r>
        <w:t xml:space="preserve">— a +14.0 percentage point improvement over the implied F1 of the current elite_score gate</w:t>
      </w:r>
      <w:r>
        <w:rPr>
          <w:rStyle w:val="FootnoteReference"/>
        </w:rPr>
        <w:footnoteReference w:id="261"/>
      </w:r>
      <w:r>
        <w:t xml:space="preserve">. Block precision rises to 44.6% from 44.1%, a marginal gain, but the real improvement comes from recall structure: at this threshold,</w:t>
      </w:r>
      <w:r>
        <w:t xml:space="preserve"> </w:t>
      </w:r>
      <w:r>
        <w:rPr>
          <w:bCs/>
          <w:b/>
        </w:rPr>
        <w:t xml:space="preserve">84.3% of true losers are still blocked</w:t>
      </w:r>
      <w:r>
        <w:t xml:space="preserve"> </w:t>
      </w:r>
      <w:r>
        <w:t xml:space="preserve">while the number of false positives (KILLED_ALPHA) drops dramatically. Of the 34 newly allowed picks, 20 were winners and 14 were losers, producing the 58.8% WR noted in Section 5.4</w:t>
      </w:r>
      <w:r>
        <w:rPr>
          <w:rStyle w:val="FootnoteReference"/>
        </w:rPr>
        <w:footnoteReference w:id="262"/>
      </w:r>
      <w:r>
        <w:t xml:space="preserve">.</w:t>
      </w:r>
    </w:p>
    <w:p>
      <w:pPr>
        <w:pStyle w:val="BodyText"/>
      </w:pPr>
      <w:r>
        <w:t xml:space="preserve">The expected P&amp;L lift from this single change is</w:t>
      </w:r>
      <w:r>
        <w:t xml:space="preserve"> </w:t>
      </w:r>
      <w:r>
        <w:rPr>
          <w:bCs/>
          <w:b/>
        </w:rPr>
        <w:t xml:space="preserve">+$375 per month</w:t>
      </w:r>
      <w:r>
        <w:t xml:space="preserve"> </w:t>
      </w:r>
      <w:r>
        <w:t xml:space="preserve">from QUALITY_GATE replacement alone</w:t>
      </w:r>
      <w:r>
        <w:rPr>
          <w:rStyle w:val="FootnoteReference"/>
        </w:rPr>
        <w:footnoteReference w:id="263"/>
      </w:r>
      <w:r>
        <w:t xml:space="preserve">. When combined with the RR_GATE recalibration (lower floor to 1.25, +$937) and WINNER_FILTER abolition (+$588), the</w:t>
      </w:r>
      <w:r>
        <w:t xml:space="preserve"> </w:t>
      </w:r>
      <w:r>
        <w:rPr>
          <w:bCs/>
          <w:b/>
        </w:rPr>
        <w:t xml:space="preserve">verified combined lift is +$1,901</w:t>
      </w:r>
      <w:r>
        <w:t xml:space="preserve"> </w:t>
      </w:r>
      <w:r>
        <w:t xml:space="preserve">on the resolved 253-pick sample</w:t>
      </w:r>
      <w:r>
        <w:rPr>
          <w:rStyle w:val="FootnoteReference"/>
        </w:rPr>
        <w:footnoteReference w:id="264"/>
      </w:r>
      <w:r>
        <w:t xml:space="preserve">. Extrapolated to the full 500-pick shadow log and ongoing production cycles, the annualized impact is projected at</w:t>
      </w:r>
      <w:r>
        <w:t xml:space="preserve"> </w:t>
      </w:r>
      <w:r>
        <w:rPr>
          <w:bCs/>
          <w:b/>
        </w:rPr>
        <w:t xml:space="preserve">$3,800–$7,600</w:t>
      </w:r>
      <w:r>
        <w:t xml:space="preserve"> </w:t>
      </w:r>
      <w:r>
        <w:t xml:space="preserve">assuming 2–4 similar trading cycles per month</w:t>
      </w:r>
      <w:r>
        <w:rPr>
          <w:rStyle w:val="FootnoteReference"/>
        </w:rPr>
        <w:footnoteReference w:id="265"/>
      </w:r>
      <w:r>
        <w:t xml:space="preserve">. On $506,000 notional deployed across the sample, this represents a</w:t>
      </w:r>
      <w:r>
        <w:t xml:space="preserve"> </w:t>
      </w:r>
      <w:r>
        <w:rPr>
          <w:bCs/>
          <w:b/>
        </w:rPr>
        <w:t xml:space="preserve">+0.38% portfolio lift</w:t>
      </w:r>
      <w:r>
        <w:t xml:space="preserve"> </w:t>
      </w:r>
      <w:r>
        <w:t xml:space="preserve">from near-miss recovery alone</w:t>
      </w:r>
      <w:r>
        <w:rPr>
          <w:rStyle w:val="FootnoteReference"/>
        </w:rPr>
        <w:footnoteReference w:id="266"/>
      </w:r>
      <w:r>
        <w:t xml:space="preserve">.</w:t>
      </w:r>
    </w:p>
    <w:p>
      <w:pPr>
        <w:pStyle w:val="BodyText"/>
      </w:pPr>
      <w:r>
        <w:t xml:space="preserve">The risk profile of these changes deserves explicit consideration. The ml_score &gt;= 0.82 threshold was validated on the same shadow-log sample used to identify the problem, creating potential for look-ahead bias. An out-of-sample validation framework is therefore essential: a 30-day paper trading period tracking all newly allowed picks, with abort criteria defined as any asset class PF falling below 0.80 for 5+ consecutive days</w:t>
      </w:r>
      <w:r>
        <w:rPr>
          <w:rStyle w:val="FootnoteReference"/>
        </w:rPr>
        <w:footnoteReference w:id="267"/>
      </w:r>
      <w:r>
        <w:t xml:space="preserve">. The ml_score signal itself carries an estimated 25% probability of degradation over time; maintaining elite_score as a fallback mechanism during an initial 60-day A/B test period mitigates this tail risk</w:t>
      </w:r>
      <w:r>
        <w:rPr>
          <w:rStyle w:val="FootnoteReference"/>
        </w:rPr>
        <w:footnoteReference w:id="268"/>
      </w:r>
      <w:r>
        <w:t xml:space="preserve">.</w:t>
      </w:r>
    </w:p>
    <w:p>
      <w:pPr>
        <w:pStyle w:val="BodyText"/>
      </w:pPr>
      <w:r>
        <w:t xml:space="preserve">For the RR_GATE adjustment, the 51.2% WR in the R:R 1.25–1.5 band derives from a relatively small sample (n ≈ 41 in the resolved shadow log), introducing sampling uncertainty around the expected value estimate. A 6-month backtest simulation comparing 1.25 and 1.50 floors on historical data would provide additional validation before deployment</w:t>
      </w:r>
      <w:r>
        <w:rPr>
          <w:rStyle w:val="FootnoteReference"/>
        </w:rPr>
        <w:footnoteReference w:id="269"/>
      </w:r>
      <w:r>
        <w:t xml:space="preserve">. The WINNER_FILTER abolition carries the lowest risk — removing a filter with 0% accuracy and 0% recall cannot worsen outcomes — and should be executed as an immediate hotfix.</w:t>
      </w:r>
    </w:p>
    <w:p>
      <w:pPr>
        <w:pStyle w:val="BodyText"/>
      </w:pPr>
      <w:r>
        <w:t xml:space="preserve">The composite score proposal does not end with ml_score. The broader gate optimization framework developed from this analysis envisions a</w:t>
      </w:r>
      <w:r>
        <w:t xml:space="preserve"> </w:t>
      </w:r>
      <w:r>
        <w:rPr>
          <w:bCs/>
          <w:b/>
        </w:rPr>
        <w:t xml:space="preserve">four-layer soft-gate architecture</w:t>
      </w:r>
      <w:r>
        <w:t xml:space="preserve">: (1) fast reject on absolute minimums (score &lt; 40, confidence &lt; 0.60); (2) matrix symbol gate for allow/block lists; (3) primary quality gate using ml_score with asset-class-specific thresholds; and (4) confidence-based position sizing modulation replacing hard thresholds with continuous risk gradients</w:t>
      </w:r>
      <w:r>
        <w:rPr>
          <w:rStyle w:val="FootnoteReference"/>
        </w:rPr>
        <w:footnoteReference w:id="270"/>
      </w:r>
      <w:r>
        <w:t xml:space="preserve">. Under this design, signals that currently receive binary rejections would instead pass through with scaled position sizes — for example, a signal in the confidence 0.75–0.80 band might trade at 0.60× rather than being blocked entirely. Expected outcomes include +72% more daily picks, -39% smaller average position size, and a portfolio-level PF improvement from 1.85 to 2.35</w:t>
      </w:r>
      <w:r>
        <w:rPr>
          <w:rStyle w:val="FootnoteReference"/>
        </w:rPr>
        <w:footnoteReference w:id="271"/>
      </w:r>
      <w:r>
        <w:t xml:space="preserve">.</w:t>
      </w:r>
    </w:p>
    <w:p>
      <w:pPr>
        <w:pStyle w:val="BodyText"/>
      </w:pPr>
      <w:r>
        <w:t xml:space="preserve">The killed alpha analysis ultimately reframes the platform’s central challenge. The system does not suffer from insufficient signal generation; the S-Tier crypto performance of</w:t>
      </w:r>
      <w:r>
        <w:t xml:space="preserve"> </w:t>
      </w:r>
      <w:r>
        <w:rPr>
          <w:bCs/>
          <w:b/>
        </w:rPr>
        <w:t xml:space="preserve">85.7% WR and PF 30.17</w:t>
      </w:r>
      <w:r>
        <w:t xml:space="preserve"> </w:t>
      </w:r>
      <w:r>
        <w:t xml:space="preserve">demonstrates that genuine edge exists</w:t>
      </w:r>
      <w:r>
        <w:rPr>
          <w:rStyle w:val="FootnoteReference"/>
        </w:rPr>
        <w:footnoteReference w:id="272"/>
      </w:r>
      <w:r>
        <w:t xml:space="preserve">. The problem is architectural: a gating system built on heuristics that are not merely unvalidated but actually inverted, destroying more alpha than they protect. Replacing these gates with empirically calibrated, ML-informed thresholds is projected to recover</w:t>
      </w:r>
      <w:r>
        <w:t xml:space="preserve"> </w:t>
      </w:r>
      <w:r>
        <w:rPr>
          <w:bCs/>
          <w:b/>
        </w:rPr>
        <w:t xml:space="preserve">+95% in cumulative PnL</w:t>
      </w:r>
      <w:r>
        <w:t xml:space="preserve"> </w:t>
      </w:r>
      <w:r>
        <w:t xml:space="preserve">from the verified near-miss subset alone — a transformation that would move the platform from alpha-starved to alpha-abundant without changing a single line of signal generation code.</w:t>
      </w:r>
    </w:p>
    <w:p>
      <w:r>
        <w:pict>
          <v:rect style="width:0;height:1.5pt" o:hralign="center" o:hrstd="t" o:hr="t"/>
        </w:pict>
      </w:r>
    </w:p>
    <w:bookmarkEnd w:id="273"/>
    <w:bookmarkEnd w:id="274"/>
    <w:bookmarkStart w:id="306" w:name="data-integrity-qa-audit"/>
    <w:p>
      <w:pPr>
        <w:pStyle w:val="Heading2"/>
      </w:pPr>
      <w:r>
        <w:t xml:space="preserve">6. Data Integrity &amp; QA Audit</w:t>
      </w:r>
    </w:p>
    <w:bookmarkStart w:id="289" w:name="X6c2cab34b4703dfde793c588375cdc1599e6df7"/>
    <w:p>
      <w:pPr>
        <w:pStyle w:val="Heading3"/>
      </w:pPr>
      <w:r>
        <w:t xml:space="preserve">6.1 Critical Issues: 37 Total (8 Critical, 12 High, 10 Medium, 7 Low)</w:t>
      </w:r>
    </w:p>
    <w:p>
      <w:pPr>
        <w:pStyle w:val="FirstParagraph"/>
      </w:pPr>
      <w:r>
        <w:t xml:space="preserve">A comprehensive audit of the trading signal pipeline, covering</w:t>
      </w:r>
      <w:r>
        <w:t xml:space="preserve"> </w:t>
      </w:r>
      <w:r>
        <w:rPr>
          <w:rStyle w:val="VerbatimChar"/>
        </w:rPr>
        <w:t xml:space="preserve">outcome_resolver.py</w:t>
      </w:r>
      <w:r>
        <w:t xml:space="preserve"> </w:t>
      </w:r>
      <w:r>
        <w:t xml:space="preserve">(1,800 lines),</w:t>
      </w:r>
      <w:r>
        <w:t xml:space="preserve"> </w:t>
      </w:r>
      <w:r>
        <w:rPr>
          <w:rStyle w:val="VerbatimChar"/>
        </w:rPr>
        <w:t xml:space="preserve">hc_filter.js</w:t>
      </w:r>
      <w:r>
        <w:t xml:space="preserve"> </w:t>
      </w:r>
      <w:r>
        <w:t xml:space="preserve">(510 lines),</w:t>
      </w:r>
      <w:r>
        <w:t xml:space="preserve"> </w:t>
      </w:r>
      <w:r>
        <w:rPr>
          <w:rStyle w:val="VerbatimChar"/>
        </w:rPr>
        <w:t xml:space="preserve">hedge_fund_quality_gate.py</w:t>
      </w:r>
      <w:r>
        <w:t xml:space="preserve"> </w:t>
      </w:r>
      <w:r>
        <w:t xml:space="preserve">(363 lines), and 500 shadow-blocked records, identified</w:t>
      </w:r>
      <w:r>
        <w:t xml:space="preserve"> </w:t>
      </w:r>
      <w:r>
        <w:rPr>
          <w:bCs/>
          <w:b/>
        </w:rPr>
        <w:t xml:space="preserve">37 distinct data quality issues</w:t>
      </w:r>
      <w:r>
        <w:t xml:space="preserve"> </w:t>
      </w:r>
      <w:r>
        <w:t xml:space="preserve">ranging from systemic data loss to documentation gaps</w:t>
      </w:r>
      <w:r>
        <w:t xml:space="preserve"> </w:t>
      </w:r>
      <w:r>
        <w:rPr>
          <w:rStyle w:val="FootnoteReference"/>
        </w:rPr>
        <w:footnoteReference w:id="275"/>
      </w:r>
      <w:r>
        <w:t xml:space="preserve">. The severity distribution reflects concentrated risk in data-loss and gate-logic categories: 8 Critical (21.6%), 12 High (32.4%), 10 Medium (27.0%), and 7 Low (18.9%). Figure 6.1 visualizes this distribution alongside the breakdown by functional impact category.</w:t>
      </w:r>
    </w:p>
    <w:p>
      <w:pPr>
        <w:pStyle w:val="BodyText"/>
      </w:pPr>
      <w:r>
        <w:drawing>
          <wp:inline>
            <wp:extent cx="5334000" cy="2064774"/>
            <wp:effectExtent b="0" l="0" r="0" t="0"/>
            <wp:docPr descr="Issue severity distribution" title="" id="277" name="Picture"/>
            <a:graphic>
              <a:graphicData uri="http://schemas.openxmlformats.org/drawingml/2006/picture">
                <pic:pic>
                  <pic:nvPicPr>
                    <pic:cNvPr descr="sec06_severity_distribution.png" id="278" name="Picture"/>
                    <pic:cNvPicPr>
                      <a:picLocks noChangeArrowheads="1" noChangeAspect="1"/>
                    </pic:cNvPicPr>
                  </pic:nvPicPr>
                  <pic:blipFill>
                    <a:blip r:embed="rId276"/>
                    <a:stretch>
                      <a:fillRect/>
                    </a:stretch>
                  </pic:blipFill>
                  <pic:spPr bwMode="auto">
                    <a:xfrm>
                      <a:off x="0" y="0"/>
                      <a:ext cx="5334000" cy="2064774"/>
                    </a:xfrm>
                    <a:prstGeom prst="rect">
                      <a:avLst/>
                    </a:prstGeom>
                    <a:noFill/>
                    <a:ln w="9525">
                      <a:noFill/>
                      <a:headEnd/>
                      <a:tailEnd/>
                    </a:ln>
                  </pic:spPr>
                </pic:pic>
              </a:graphicData>
            </a:graphic>
          </wp:inline>
        </w:drawing>
      </w:r>
      <w:r>
        <w:t xml:space="preserve"> </w:t>
      </w:r>
      <w:r>
        <w:rPr>
          <w:iCs/>
          <w:i/>
        </w:rPr>
        <w:t xml:space="preserve">Figure 6.1: Left — issue count by severity tier; Right — stacked distribution across four impact categories. Data Loss &amp; Mis-attribution concentrates 50% of all Critical issues. Source: QA audit, shadow_blocked.json (n=500), code review of outcome_resolver.py, hc_filter.js, hedge_fund_quality_gate.py.</w:t>
      </w:r>
    </w:p>
    <w:p>
      <w:pPr>
        <w:pStyle w:val="BodyText"/>
      </w:pPr>
      <w:r>
        <w:t xml:space="preserve">The full severity matrix, cataloguing all 37 issues with root-cause attribution and recommended fix locations, is presented in Table 6.1. Each issue is cross-referenced to the specific file and, where applicable, the line number responsible.</w:t>
      </w:r>
    </w:p>
    <w:tbl>
      <w:tblPr>
        <w:tblStyle w:val="Table"/>
        <w:tblW w:type="pct" w:w="5000"/>
        <w:tblLook w:firstRow="1" w:lastRow="0" w:firstColumn="0" w:lastColumn="0" w:noHBand="0" w:noVBand="0" w:val="0020"/>
      </w:tblPr>
      <w:tblGrid>
        <w:gridCol w:w="842"/>
        <w:gridCol w:w="1179"/>
        <w:gridCol w:w="1685"/>
        <w:gridCol w:w="2022"/>
        <w:gridCol w:w="2190"/>
      </w:tblGrid>
      <w:tr>
        <w:trPr>
          <w:tblHeader w:val="true"/>
        </w:trPr>
        <w:tc>
          <w:tcPr/>
          <w:p>
            <w:pPr>
              <w:pStyle w:val="Compact"/>
              <w:jc w:val="center"/>
            </w:pPr>
            <w:r>
              <w:t xml:space="preserve">ID</w:t>
            </w:r>
          </w:p>
        </w:tc>
        <w:tc>
          <w:tcPr/>
          <w:p>
            <w:pPr>
              <w:pStyle w:val="Compact"/>
              <w:jc w:val="left"/>
            </w:pPr>
            <w:r>
              <w:t xml:space="preserve">Issue</w:t>
            </w:r>
          </w:p>
        </w:tc>
        <w:tc>
          <w:tcPr/>
          <w:p>
            <w:pPr>
              <w:pStyle w:val="Compact"/>
              <w:jc w:val="center"/>
            </w:pPr>
            <w:r>
              <w:t xml:space="preserve">Severity</w:t>
            </w:r>
          </w:p>
        </w:tc>
        <w:tc>
          <w:tcPr/>
          <w:p>
            <w:pPr>
              <w:pStyle w:val="Compact"/>
              <w:jc w:val="left"/>
            </w:pPr>
            <w:r>
              <w:t xml:space="preserve">Root Cause</w:t>
            </w:r>
          </w:p>
        </w:tc>
        <w:tc>
          <w:tcPr/>
          <w:p>
            <w:pPr>
              <w:pStyle w:val="Compact"/>
              <w:jc w:val="left"/>
            </w:pPr>
            <w:r>
              <w:t xml:space="preserve">Fix Location</w:t>
            </w:r>
          </w:p>
        </w:tc>
      </w:tr>
      <w:tr>
        <w:tc>
          <w:tcPr/>
          <w:p>
            <w:pPr>
              <w:pStyle w:val="Compact"/>
              <w:jc w:val="center"/>
            </w:pPr>
            <w:r>
              <w:t xml:space="preserve">1</w:t>
            </w:r>
          </w:p>
        </w:tc>
        <w:tc>
          <w:tcPr/>
          <w:p>
            <w:pPr>
              <w:pStyle w:val="Compact"/>
              <w:jc w:val="left"/>
            </w:pPr>
            <w:r>
              <w:t xml:space="preserve">FWD WR% calculated at strategy level, not strategy-symbol-direction</w:t>
            </w:r>
          </w:p>
        </w:tc>
        <w:tc>
          <w:tcPr/>
          <w:p>
            <w:pPr>
              <w:pStyle w:val="Compact"/>
              <w:jc w:val="center"/>
            </w:pPr>
            <w:r>
              <w:t xml:space="preserve">Critical</w:t>
            </w:r>
          </w:p>
        </w:tc>
        <w:tc>
          <w:tcPr/>
          <w:p>
            <w:pPr>
              <w:pStyle w:val="Compact"/>
              <w:jc w:val="left"/>
            </w:pPr>
            <w:r>
              <w:rPr>
                <w:rStyle w:val="VerbatimChar"/>
              </w:rPr>
              <w:t xml:space="preserve">hc_filter.js</w:t>
            </w:r>
            <w:r>
              <w:t xml:space="preserve"> </w:t>
            </w:r>
            <w:r>
              <w:t xml:space="preserve">reads</w:t>
            </w:r>
            <w:r>
              <w:t xml:space="preserve"> </w:t>
            </w:r>
            <w:r>
              <w:rPr>
                <w:rStyle w:val="VerbatimChar"/>
              </w:rPr>
              <w:t xml:space="preserve">strat_fwd_wr</w:t>
            </w:r>
            <w:r>
              <w:t xml:space="preserve"> </w:t>
            </w:r>
            <w:r>
              <w:t xml:space="preserve">— a single strategy-level value — and applies it to all picks regardless of symbol or direction</w:t>
            </w:r>
          </w:p>
        </w:tc>
        <w:tc>
          <w:tcPr/>
          <w:p>
            <w:pPr>
              <w:pStyle w:val="Compact"/>
              <w:jc w:val="left"/>
            </w:pPr>
            <w:r>
              <w:t xml:space="preserve">Add</w:t>
            </w:r>
            <w:r>
              <w:t xml:space="preserve"> </w:t>
            </w:r>
            <w:r>
              <w:rPr>
                <w:rStyle w:val="VerbatimChar"/>
              </w:rPr>
              <w:t xml:space="preserve">track_calculator.py</w:t>
            </w:r>
            <w:r>
              <w:t xml:space="preserve">; replace with</w:t>
            </w:r>
            <w:r>
              <w:t xml:space="preserve"> </w:t>
            </w:r>
            <w:r>
              <w:rPr>
                <w:rStyle w:val="VerbatimChar"/>
              </w:rPr>
              <w:t xml:space="preserve">p.track_wr</w:t>
            </w:r>
          </w:p>
        </w:tc>
      </w:tr>
      <w:tr>
        <w:tc>
          <w:tcPr/>
          <w:p>
            <w:pPr>
              <w:pStyle w:val="Compact"/>
              <w:jc w:val="center"/>
            </w:pPr>
            <w:r>
              <w:t xml:space="preserve">2</w:t>
            </w:r>
          </w:p>
        </w:tc>
        <w:tc>
          <w:tcPr/>
          <w:p>
            <w:pPr>
              <w:pStyle w:val="Compact"/>
              <w:jc w:val="left"/>
            </w:pPr>
            <w:r>
              <w:rPr>
                <w:rStyle w:val="VerbatimChar"/>
              </w:rPr>
              <w:t xml:space="preserve">elite_score</w:t>
            </w:r>
            <w:r>
              <w:t xml:space="preserve"> </w:t>
            </w:r>
            <w:r>
              <w:t xml:space="preserve">gate has negative correlation (-0.17) with profitability; blocks 113 profitable picks (+861% PnL)</w:t>
            </w:r>
          </w:p>
        </w:tc>
        <w:tc>
          <w:tcPr/>
          <w:p>
            <w:pPr>
              <w:pStyle w:val="Compact"/>
              <w:jc w:val="center"/>
            </w:pPr>
            <w:r>
              <w:t xml:space="preserve">Critical</w:t>
            </w:r>
          </w:p>
        </w:tc>
        <w:tc>
          <w:tcPr/>
          <w:p>
            <w:pPr>
              <w:pStyle w:val="Compact"/>
              <w:jc w:val="left"/>
            </w:pPr>
            <w:r>
              <w:t xml:space="preserve">Threshold</w:t>
            </w:r>
            <w:r>
              <w:t xml:space="preserve"> </w:t>
            </w:r>
            <w:r>
              <w:rPr>
                <w:rStyle w:val="VerbatimChar"/>
              </w:rPr>
              <w:t xml:space="preserve">elite_score &lt; 30</w:t>
            </w:r>
            <w:r>
              <w:t xml:space="preserve"> </w:t>
            </w:r>
            <w:r>
              <w:t xml:space="preserve">is always true because 90.7% of values are negative; gate is non-discriminatory</w:t>
            </w:r>
          </w:p>
        </w:tc>
        <w:tc>
          <w:tcPr/>
          <w:p>
            <w:pPr>
              <w:pStyle w:val="Compact"/>
              <w:jc w:val="left"/>
            </w:pPr>
            <w:r>
              <w:rPr>
                <w:rStyle w:val="VerbatimChar"/>
              </w:rPr>
              <w:t xml:space="preserve">hedge_fund_quality_gate.py</w:t>
            </w:r>
            <w:r>
              <w:t xml:space="preserve"> </w:t>
            </w:r>
            <w:r>
              <w:t xml:space="preserve">~L21: replace with</w:t>
            </w:r>
            <w:r>
              <w:t xml:space="preserve"> </w:t>
            </w:r>
            <w:r>
              <w:rPr>
                <w:rStyle w:val="VerbatimChar"/>
              </w:rPr>
              <w:t xml:space="preserve">ml_score &lt; 0.60 &amp;&amp; confidence &lt; 0.70</w:t>
            </w:r>
          </w:p>
        </w:tc>
      </w:tr>
      <w:tr>
        <w:tc>
          <w:tcPr/>
          <w:p>
            <w:pPr>
              <w:pStyle w:val="Compact"/>
              <w:jc w:val="center"/>
            </w:pPr>
            <w:r>
              <w:t xml:space="preserve">3</w:t>
            </w:r>
          </w:p>
        </w:tc>
        <w:tc>
          <w:tcPr/>
          <w:p>
            <w:pPr>
              <w:pStyle w:val="Compact"/>
              <w:jc w:val="left"/>
            </w:pPr>
            <w:r>
              <w:rPr>
                <w:rStyle w:val="VerbatimChar"/>
              </w:rPr>
              <w:t xml:space="preserve">forward_wr</w:t>
            </w:r>
            <w:r>
              <w:t xml:space="preserve"> </w:t>
            </w:r>
            <w:r>
              <w:t xml:space="preserve">/</w:t>
            </w:r>
            <w:r>
              <w:t xml:space="preserve"> </w:t>
            </w:r>
            <w:r>
              <w:rPr>
                <w:rStyle w:val="VerbatimChar"/>
              </w:rPr>
              <w:t xml:space="preserve">strat_fwd_wr</w:t>
            </w:r>
            <w:r>
              <w:t xml:space="preserve"> </w:t>
            </w:r>
            <w:r>
              <w:t xml:space="preserve">NEVER produced by</w:t>
            </w:r>
            <w:r>
              <w:t xml:space="preserve"> </w:t>
            </w:r>
            <w:r>
              <w:rPr>
                <w:rStyle w:val="VerbatimChar"/>
              </w:rPr>
              <w:t xml:space="preserve">outcome_resolver.py</w:t>
            </w:r>
            <w:r>
              <w:t xml:space="preserve"> </w:t>
            </w:r>
            <w:r>
              <w:t xml:space="preserve">but consumed by</w:t>
            </w:r>
            <w:r>
              <w:t xml:space="preserve"> </w:t>
            </w:r>
            <w:r>
              <w:rPr>
                <w:rStyle w:val="VerbatimChar"/>
              </w:rPr>
              <w:t xml:space="preserve">hc_filter.js</w:t>
            </w:r>
          </w:p>
        </w:tc>
        <w:tc>
          <w:tcPr/>
          <w:p>
            <w:pPr>
              <w:pStyle w:val="Compact"/>
              <w:jc w:val="center"/>
            </w:pPr>
            <w:r>
              <w:t xml:space="preserve">Critical</w:t>
            </w:r>
          </w:p>
        </w:tc>
        <w:tc>
          <w:tcPr/>
          <w:p>
            <w:pPr>
              <w:pStyle w:val="Compact"/>
              <w:jc w:val="left"/>
            </w:pPr>
            <w:r>
              <w:t xml:space="preserve">Resolver has zero references to</w:t>
            </w:r>
            <w:r>
              <w:t xml:space="preserve"> </w:t>
            </w:r>
            <w:r>
              <w:rPr>
                <w:rStyle w:val="VerbatimChar"/>
              </w:rPr>
              <w:t xml:space="preserve">forward_wr</w:t>
            </w:r>
            <w:r>
              <w:t xml:space="preserve">,</w:t>
            </w:r>
            <w:r>
              <w:t xml:space="preserve"> </w:t>
            </w:r>
            <w:r>
              <w:rPr>
                <w:rStyle w:val="VerbatimChar"/>
              </w:rPr>
              <w:t xml:space="preserve">forward_trades</w:t>
            </w:r>
            <w:r>
              <w:t xml:space="preserve">,</w:t>
            </w:r>
            <w:r>
              <w:t xml:space="preserve"> </w:t>
            </w:r>
            <w:r>
              <w:rPr>
                <w:rStyle w:val="VerbatimChar"/>
              </w:rPr>
              <w:t xml:space="preserve">strat_fwd_wr</w:t>
            </w:r>
            <w:r>
              <w:t xml:space="preserve">, or</w:t>
            </w:r>
            <w:r>
              <w:t xml:space="preserve"> </w:t>
            </w:r>
            <w:r>
              <w:rPr>
                <w:rStyle w:val="VerbatimChar"/>
              </w:rPr>
              <w:t xml:space="preserve">strat_fwd_trades</w:t>
            </w:r>
          </w:p>
        </w:tc>
        <w:tc>
          <w:tcPr/>
          <w:p>
            <w:pPr>
              <w:pStyle w:val="Compact"/>
              <w:jc w:val="left"/>
            </w:pPr>
            <w:r>
              <w:rPr>
                <w:rStyle w:val="VerbatimChar"/>
              </w:rPr>
              <w:t xml:space="preserve">outcome_resolver.py</w:t>
            </w:r>
            <w:r>
              <w:t xml:space="preserve">: add track aggregation post-resolution</w:t>
            </w:r>
          </w:p>
        </w:tc>
      </w:tr>
      <w:tr>
        <w:tc>
          <w:tcPr/>
          <w:p>
            <w:pPr>
              <w:pStyle w:val="Compact"/>
              <w:jc w:val="center"/>
            </w:pPr>
            <w:r>
              <w:t xml:space="preserve">4</w:t>
            </w:r>
          </w:p>
        </w:tc>
        <w:tc>
          <w:tcPr/>
          <w:p>
            <w:pPr>
              <w:pStyle w:val="Compact"/>
              <w:jc w:val="left"/>
            </w:pPr>
            <w:r>
              <w:t xml:space="preserve">159 of 500 shadow picks (31.8%) never resolved to outcome</w:t>
            </w:r>
          </w:p>
        </w:tc>
        <w:tc>
          <w:tcPr/>
          <w:p>
            <w:pPr>
              <w:pStyle w:val="Compact"/>
              <w:jc w:val="center"/>
            </w:pPr>
            <w:r>
              <w:t xml:space="preserve">Critical</w:t>
            </w:r>
          </w:p>
        </w:tc>
        <w:tc>
          <w:tcPr/>
          <w:p>
            <w:pPr>
              <w:pStyle w:val="Compact"/>
              <w:jc w:val="left"/>
            </w:pPr>
            <w:r>
              <w:t xml:space="preserve">Price fetch failures (FOREX/COMMODITY yfinance timeouts); MAX_RESOLVE_RETRIES exhausts without forced closure</w:t>
            </w:r>
          </w:p>
        </w:tc>
        <w:tc>
          <w:tcPr/>
          <w:p>
            <w:pPr>
              <w:pStyle w:val="Compact"/>
              <w:jc w:val="left"/>
            </w:pPr>
            <w:r>
              <w:rPr>
                <w:rStyle w:val="VerbatimChar"/>
              </w:rPr>
              <w:t xml:space="preserve">outcome_resolver.py</w:t>
            </w:r>
            <w:r>
              <w:t xml:space="preserve"> </w:t>
            </w:r>
            <w:r>
              <w:t xml:space="preserve">L608-631: force FLAT closure at max retries</w:t>
            </w:r>
          </w:p>
        </w:tc>
      </w:tr>
      <w:tr>
        <w:tc>
          <w:tcPr/>
          <w:p>
            <w:pPr>
              <w:pStyle w:val="Compact"/>
              <w:jc w:val="center"/>
            </w:pPr>
            <w:r>
              <w:t xml:space="preserve">5</w:t>
            </w:r>
          </w:p>
        </w:tc>
        <w:tc>
          <w:tcPr/>
          <w:p>
            <w:pPr>
              <w:pStyle w:val="Compact"/>
              <w:jc w:val="left"/>
            </w:pPr>
            <w:r>
              <w:t xml:space="preserve">82 floating-point precision errors in</w:t>
            </w:r>
            <w:r>
              <w:t xml:space="preserve"> </w:t>
            </w:r>
            <w:r>
              <w:rPr>
                <w:rStyle w:val="VerbatimChar"/>
              </w:rPr>
              <w:t xml:space="preserve">elite_score</w:t>
            </w:r>
            <w:r>
              <w:t xml:space="preserve"> </w:t>
            </w:r>
            <w:r>
              <w:t xml:space="preserve">(16.4%)</w:t>
            </w:r>
          </w:p>
        </w:tc>
        <w:tc>
          <w:tcPr/>
          <w:p>
            <w:pPr>
              <w:pStyle w:val="Compact"/>
              <w:jc w:val="center"/>
            </w:pPr>
            <w:r>
              <w:t xml:space="preserve">High</w:t>
            </w:r>
          </w:p>
        </w:tc>
        <w:tc>
          <w:tcPr/>
          <w:p>
            <w:pPr>
              <w:pStyle w:val="Compact"/>
              <w:jc w:val="left"/>
            </w:pPr>
            <w:r>
              <w:t xml:space="preserve">No rounding before storage; values like</w:t>
            </w:r>
            <w:r>
              <w:t xml:space="preserve"> </w:t>
            </w:r>
            <w:r>
              <w:rPr>
                <w:rStyle w:val="VerbatimChar"/>
              </w:rPr>
              <w:t xml:space="preserve">-5.199999999999999</w:t>
            </w:r>
            <w:r>
              <w:t xml:space="preserve"> </w:t>
            </w:r>
            <w:r>
              <w:t xml:space="preserve">instead of</w:t>
            </w:r>
            <w:r>
              <w:t xml:space="preserve"> </w:t>
            </w:r>
            <w:r>
              <w:rPr>
                <w:rStyle w:val="VerbatimChar"/>
              </w:rPr>
              <w:t xml:space="preserve">-5.2</w:t>
            </w:r>
          </w:p>
        </w:tc>
        <w:tc>
          <w:tcPr/>
          <w:p>
            <w:pPr>
              <w:pStyle w:val="Compact"/>
              <w:jc w:val="left"/>
            </w:pPr>
            <w:r>
              <w:rPr>
                <w:rStyle w:val="VerbatimChar"/>
              </w:rPr>
              <w:t xml:space="preserve">hedge_fund_quality_gate.py</w:t>
            </w:r>
            <w:r>
              <w:t xml:space="preserve">: add</w:t>
            </w:r>
            <w:r>
              <w:t xml:space="preserve"> </w:t>
            </w:r>
            <w:r>
              <w:rPr>
                <w:rStyle w:val="VerbatimChar"/>
              </w:rPr>
              <w:t xml:space="preserve">round(elite_score, 2)</w:t>
            </w:r>
          </w:p>
        </w:tc>
      </w:tr>
      <w:tr>
        <w:tc>
          <w:tcPr/>
          <w:p>
            <w:pPr>
              <w:pStyle w:val="Compact"/>
              <w:jc w:val="center"/>
            </w:pPr>
            <w:r>
              <w:t xml:space="preserve">6</w:t>
            </w:r>
          </w:p>
        </w:tc>
        <w:tc>
          <w:tcPr/>
          <w:p>
            <w:pPr>
              <w:pStyle w:val="Compact"/>
              <w:jc w:val="left"/>
            </w:pPr>
            <w:r>
              <w:t xml:space="preserve">Empty strategy field on 24 picks (4.8%)</w:t>
            </w:r>
          </w:p>
        </w:tc>
        <w:tc>
          <w:tcPr/>
          <w:p>
            <w:pPr>
              <w:pStyle w:val="Compact"/>
              <w:jc w:val="center"/>
            </w:pPr>
            <w:r>
              <w:t xml:space="preserve">Critical</w:t>
            </w:r>
          </w:p>
        </w:tc>
        <w:tc>
          <w:tcPr/>
          <w:p>
            <w:pPr>
              <w:pStyle w:val="Compact"/>
              <w:jc w:val="left"/>
            </w:pPr>
            <w:r>
              <w:t xml:space="preserve">Upstream source systems omit strategy; no ingestion validation</w:t>
            </w:r>
          </w:p>
        </w:tc>
        <w:tc>
          <w:tcPr/>
          <w:p>
            <w:pPr>
              <w:pStyle w:val="Compact"/>
              <w:jc w:val="left"/>
            </w:pPr>
            <w:r>
              <w:t xml:space="preserve">Source system validation: reject picks without strategy</w:t>
            </w:r>
          </w:p>
        </w:tc>
      </w:tr>
      <w:tr>
        <w:tc>
          <w:tcPr/>
          <w:p>
            <w:pPr>
              <w:pStyle w:val="Compact"/>
              <w:jc w:val="center"/>
            </w:pPr>
            <w:r>
              <w:t xml:space="preserve">7</w:t>
            </w:r>
          </w:p>
        </w:tc>
        <w:tc>
          <w:tcPr/>
          <w:p>
            <w:pPr>
              <w:pStyle w:val="Compact"/>
              <w:jc w:val="left"/>
            </w:pPr>
            <w:r>
              <w:t xml:space="preserve">Asset class alias map incomplete; ETF symbols inferred as EQUITY</w:t>
            </w:r>
          </w:p>
        </w:tc>
        <w:tc>
          <w:tcPr/>
          <w:p>
            <w:pPr>
              <w:pStyle w:val="Compact"/>
              <w:jc w:val="center"/>
            </w:pPr>
            <w:r>
              <w:t xml:space="preserve">Critical</w:t>
            </w:r>
          </w:p>
        </w:tc>
        <w:tc>
          <w:tcPr/>
          <w:p>
            <w:pPr>
              <w:pStyle w:val="Compact"/>
              <w:jc w:val="left"/>
            </w:pPr>
            <w:r>
              <w:t xml:space="preserve">Missing</w:t>
            </w:r>
            <w:r>
              <w:t xml:space="preserve"> </w:t>
            </w:r>
            <w:r>
              <w:t xml:space="preserve">“</w:t>
            </w:r>
            <w:r>
              <w:t xml:space="preserve">ETF</w:t>
            </w:r>
            <w:r>
              <w:t xml:space="preserve">”</w:t>
            </w:r>
            <w:r>
              <w:t xml:space="preserve"> </w:t>
            </w:r>
            <w:r>
              <w:t xml:space="preserve">alias;</w:t>
            </w:r>
            <w:r>
              <w:t xml:space="preserve"> </w:t>
            </w:r>
            <w:r>
              <w:rPr>
                <w:rStyle w:val="VerbatimChar"/>
              </w:rPr>
              <w:t xml:space="preserve">INDEX</w:t>
            </w:r>
            <w:r>
              <w:t xml:space="preserve"> </w:t>
            </w:r>
            <w:r>
              <w:t xml:space="preserve">falls through; GLD/USO inferred as EQUITY not ETF</w:t>
            </w:r>
          </w:p>
        </w:tc>
        <w:tc>
          <w:tcPr/>
          <w:p>
            <w:pPr>
              <w:pStyle w:val="Compact"/>
              <w:jc w:val="left"/>
            </w:pPr>
            <w:r>
              <w:rPr>
                <w:rStyle w:val="VerbatimChar"/>
              </w:rPr>
              <w:t xml:space="preserve">outcome_resolver.py</w:t>
            </w:r>
            <w:r>
              <w:t xml:space="preserve"> </w:t>
            </w:r>
            <w:r>
              <w:t xml:space="preserve">L563: expand alias map, add known-ETF symbol list</w:t>
            </w:r>
          </w:p>
        </w:tc>
      </w:tr>
      <w:tr>
        <w:tc>
          <w:tcPr/>
          <w:p>
            <w:pPr>
              <w:pStyle w:val="Compact"/>
              <w:jc w:val="center"/>
            </w:pPr>
            <w:r>
              <w:t xml:space="preserve">8</w:t>
            </w:r>
          </w:p>
        </w:tc>
        <w:tc>
          <w:tcPr/>
          <w:p>
            <w:pPr>
              <w:pStyle w:val="Compact"/>
              <w:jc w:val="left"/>
            </w:pPr>
            <w:r>
              <w:rPr>
                <w:rStyle w:val="VerbatimChar"/>
              </w:rPr>
              <w:t xml:space="preserve">closed_picks.json</w:t>
            </w:r>
            <w:r>
              <w:t xml:space="preserve"> </w:t>
            </w:r>
            <w:r>
              <w:t xml:space="preserve">export contains 0 records despite dashboard showing 3,429</w:t>
            </w:r>
          </w:p>
        </w:tc>
        <w:tc>
          <w:tcPr/>
          <w:p>
            <w:pPr>
              <w:pStyle w:val="Compact"/>
              <w:jc w:val="center"/>
            </w:pPr>
            <w:r>
              <w:t xml:space="preserve">Critical</w:t>
            </w:r>
          </w:p>
        </w:tc>
        <w:tc>
          <w:tcPr/>
          <w:p>
            <w:pPr>
              <w:pStyle w:val="Compact"/>
              <w:jc w:val="left"/>
            </w:pPr>
            <w:r>
              <w:t xml:space="preserve">Export pipeline desync;</w:t>
            </w:r>
            <w:r>
              <w:t xml:space="preserve"> </w:t>
            </w:r>
            <w:r>
              <w:rPr>
                <w:rStyle w:val="VerbatimChar"/>
              </w:rPr>
              <w:t xml:space="preserve">trading_audit_structured_data.json</w:t>
            </w:r>
            <w:r>
              <w:t xml:space="preserve"> </w:t>
            </w:r>
            <w:r>
              <w:t xml:space="preserve">not populated</w:t>
            </w:r>
          </w:p>
        </w:tc>
        <w:tc>
          <w:tcPr/>
          <w:p>
            <w:pPr>
              <w:pStyle w:val="Compact"/>
              <w:jc w:val="left"/>
            </w:pPr>
            <w:r>
              <w:t xml:space="preserve">Fix export job to populate</w:t>
            </w:r>
            <w:r>
              <w:t xml:space="preserve"> </w:t>
            </w:r>
            <w:r>
              <w:rPr>
                <w:rStyle w:val="VerbatimChar"/>
              </w:rPr>
              <w:t xml:space="preserve">closed_picks</w:t>
            </w:r>
            <w:r>
              <w:t xml:space="preserve"> </w:t>
            </w:r>
            <w:r>
              <w:t xml:space="preserve">array</w:t>
            </w:r>
          </w:p>
        </w:tc>
      </w:tr>
      <w:tr>
        <w:tc>
          <w:tcPr/>
          <w:p>
            <w:pPr>
              <w:pStyle w:val="Compact"/>
              <w:jc w:val="center"/>
            </w:pPr>
            <w:r>
              <w:t xml:space="preserve">9</w:t>
            </w:r>
          </w:p>
        </w:tc>
        <w:tc>
          <w:tcPr/>
          <w:p>
            <w:pPr>
              <w:pStyle w:val="Compact"/>
              <w:jc w:val="left"/>
            </w:pPr>
            <w:r>
              <w:t xml:space="preserve">Gate decisions (pass/fail per gate) not recorded in shadow_blocked</w:t>
            </w:r>
          </w:p>
        </w:tc>
        <w:tc>
          <w:tcPr/>
          <w:p>
            <w:pPr>
              <w:pStyle w:val="Compact"/>
              <w:jc w:val="center"/>
            </w:pPr>
            <w:r>
              <w:t xml:space="preserve">High</w:t>
            </w:r>
          </w:p>
        </w:tc>
        <w:tc>
          <w:tcPr/>
          <w:p>
            <w:pPr>
              <w:pStyle w:val="Compact"/>
              <w:jc w:val="left"/>
            </w:pPr>
            <w:r>
              <w:t xml:space="preserve">Only</w:t>
            </w:r>
            <w:r>
              <w:t xml:space="preserve"> </w:t>
            </w:r>
            <w:r>
              <w:rPr>
                <w:rStyle w:val="VerbatimChar"/>
              </w:rPr>
              <w:t xml:space="preserve">gate_name</w:t>
            </w:r>
            <w:r>
              <w:t xml:space="preserve"> </w:t>
            </w:r>
            <w:r>
              <w:t xml:space="preserve">stored; individual gate outcomes lost</w:t>
            </w:r>
          </w:p>
        </w:tc>
        <w:tc>
          <w:tcPr/>
          <w:p>
            <w:pPr>
              <w:pStyle w:val="Compact"/>
              <w:jc w:val="left"/>
            </w:pPr>
            <w:r>
              <w:rPr>
                <w:rStyle w:val="VerbatimChar"/>
              </w:rPr>
              <w:t xml:space="preserve">hc_filter.js</w:t>
            </w:r>
            <w:r>
              <w:t xml:space="preserve"> </w:t>
            </w:r>
            <w:r>
              <w:t xml:space="preserve">L298-420: add</w:t>
            </w:r>
            <w:r>
              <w:t xml:space="preserve"> </w:t>
            </w:r>
            <w:r>
              <w:rPr>
                <w:rStyle w:val="VerbatimChar"/>
              </w:rPr>
              <w:t xml:space="preserve">_gate_decisions</w:t>
            </w:r>
            <w:r>
              <w:t xml:space="preserve"> </w:t>
            </w:r>
            <w:r>
              <w:t xml:space="preserve">JSON field</w:t>
            </w:r>
          </w:p>
        </w:tc>
      </w:tr>
      <w:tr>
        <w:tc>
          <w:tcPr/>
          <w:p>
            <w:pPr>
              <w:pStyle w:val="Compact"/>
              <w:jc w:val="center"/>
            </w:pPr>
            <w:r>
              <w:t xml:space="preserve">10</w:t>
            </w:r>
          </w:p>
        </w:tc>
        <w:tc>
          <w:tcPr/>
          <w:p>
            <w:pPr>
              <w:pStyle w:val="Compact"/>
              <w:jc w:val="left"/>
            </w:pPr>
            <w:r>
              <w:t xml:space="preserve">No MySQL sync status tracking</w:t>
            </w:r>
          </w:p>
        </w:tc>
        <w:tc>
          <w:tcPr/>
          <w:p>
            <w:pPr>
              <w:pStyle w:val="Compact"/>
              <w:jc w:val="center"/>
            </w:pPr>
            <w:r>
              <w:t xml:space="preserve">High</w:t>
            </w:r>
          </w:p>
        </w:tc>
        <w:tc>
          <w:tcPr/>
          <w:p>
            <w:pPr>
              <w:pStyle w:val="Compact"/>
              <w:jc w:val="left"/>
            </w:pPr>
            <w:r>
              <w:rPr>
                <w:rStyle w:val="VerbatimChar"/>
              </w:rPr>
              <w:t xml:space="preserve">_sync_resolved_to_mysql_trading_picks()</w:t>
            </w:r>
            <w:r>
              <w:t xml:space="preserve"> </w:t>
            </w:r>
            <w:r>
              <w:t xml:space="preserve">runs without audit fields</w:t>
            </w:r>
          </w:p>
        </w:tc>
        <w:tc>
          <w:tcPr/>
          <w:p>
            <w:pPr>
              <w:pStyle w:val="Compact"/>
              <w:jc w:val="left"/>
            </w:pPr>
            <w:r>
              <w:t xml:space="preserve">Add</w:t>
            </w:r>
            <w:r>
              <w:t xml:space="preserve"> </w:t>
            </w:r>
            <w:r>
              <w:rPr>
                <w:rStyle w:val="VerbatimChar"/>
              </w:rPr>
              <w:t xml:space="preserve">mysql_sync_status</w:t>
            </w:r>
            <w:r>
              <w:t xml:space="preserve">,</w:t>
            </w:r>
            <w:r>
              <w:t xml:space="preserve"> </w:t>
            </w:r>
            <w:r>
              <w:rPr>
                <w:rStyle w:val="VerbatimChar"/>
              </w:rPr>
              <w:t xml:space="preserve">last_synced_at</w:t>
            </w:r>
            <w:r>
              <w:t xml:space="preserve"> </w:t>
            </w:r>
            <w:r>
              <w:t xml:space="preserve">fields</w:t>
            </w:r>
          </w:p>
        </w:tc>
      </w:tr>
      <w:tr>
        <w:tc>
          <w:tcPr/>
          <w:p>
            <w:pPr>
              <w:pStyle w:val="Compact"/>
              <w:jc w:val="center"/>
            </w:pPr>
            <w:r>
              <w:t xml:space="preserve">11</w:t>
            </w:r>
          </w:p>
        </w:tc>
        <w:tc>
          <w:tcPr/>
          <w:p>
            <w:pPr>
              <w:pStyle w:val="Compact"/>
              <w:jc w:val="left"/>
            </w:pPr>
            <w:r>
              <w:t xml:space="preserve">BUY/LONG not normalized at ingestion</w:t>
            </w:r>
          </w:p>
        </w:tc>
        <w:tc>
          <w:tcPr/>
          <w:p>
            <w:pPr>
              <w:pStyle w:val="Compact"/>
              <w:jc w:val="center"/>
            </w:pPr>
            <w:r>
              <w:t xml:space="preserve">High</w:t>
            </w:r>
          </w:p>
        </w:tc>
        <w:tc>
          <w:tcPr/>
          <w:p>
            <w:pPr>
              <w:pStyle w:val="Compact"/>
              <w:jc w:val="left"/>
            </w:pPr>
            <w:r>
              <w:rPr>
                <w:rStyle w:val="VerbatimChar"/>
              </w:rPr>
              <w:t xml:space="preserve">_infer_direction()</w:t>
            </w:r>
            <w:r>
              <w:t xml:space="preserve"> </w:t>
            </w:r>
            <w:r>
              <w:t xml:space="preserve">merges BUY→LONG, SELL→SHORT without flagging</w:t>
            </w:r>
          </w:p>
        </w:tc>
        <w:tc>
          <w:tcPr/>
          <w:p>
            <w:pPr>
              <w:pStyle w:val="Compact"/>
              <w:jc w:val="left"/>
            </w:pPr>
            <w:r>
              <w:rPr>
                <w:rStyle w:val="VerbatimChar"/>
              </w:rPr>
              <w:t xml:space="preserve">outcome_resolver.py</w:t>
            </w:r>
            <w:r>
              <w:t xml:space="preserve"> </w:t>
            </w:r>
            <w:r>
              <w:t xml:space="preserve">L576-590: standardize before gate evaluation</w:t>
            </w:r>
          </w:p>
        </w:tc>
      </w:tr>
      <w:tr>
        <w:tc>
          <w:tcPr/>
          <w:p>
            <w:pPr>
              <w:pStyle w:val="Compact"/>
              <w:jc w:val="center"/>
            </w:pPr>
            <w:r>
              <w:t xml:space="preserve">12</w:t>
            </w:r>
          </w:p>
        </w:tc>
        <w:tc>
          <w:tcPr/>
          <w:p>
            <w:pPr>
              <w:pStyle w:val="Compact"/>
              <w:jc w:val="left"/>
            </w:pPr>
            <w:r>
              <w:t xml:space="preserve">22% FOREX price unavailability</w:t>
            </w:r>
          </w:p>
        </w:tc>
        <w:tc>
          <w:tcPr/>
          <w:p>
            <w:pPr>
              <w:pStyle w:val="Compact"/>
              <w:jc w:val="center"/>
            </w:pPr>
            <w:r>
              <w:t xml:space="preserve">High</w:t>
            </w:r>
          </w:p>
        </w:tc>
        <w:tc>
          <w:tcPr/>
          <w:p>
            <w:pPr>
              <w:pStyle w:val="Compact"/>
              <w:jc w:val="left"/>
            </w:pPr>
            <w:r>
              <w:t xml:space="preserve">yfinance single source; no fallback for forex pairs</w:t>
            </w:r>
          </w:p>
        </w:tc>
        <w:tc>
          <w:tcPr/>
          <w:p>
            <w:pPr>
              <w:pStyle w:val="Compact"/>
              <w:jc w:val="left"/>
            </w:pPr>
            <w:r>
              <w:t xml:space="preserve">Add ECB or Fixer.io alternate source</w:t>
            </w:r>
          </w:p>
        </w:tc>
      </w:tr>
      <w:tr>
        <w:tc>
          <w:tcPr/>
          <w:p>
            <w:pPr>
              <w:pStyle w:val="Compact"/>
              <w:jc w:val="center"/>
            </w:pPr>
            <w:r>
              <w:t xml:space="preserve">13</w:t>
            </w:r>
          </w:p>
        </w:tc>
        <w:tc>
          <w:tcPr/>
          <w:p>
            <w:pPr>
              <w:pStyle w:val="Compact"/>
              <w:jc w:val="left"/>
            </w:pPr>
            <w:r>
              <w:t xml:space="preserve">No direction breakdown in dashboard Strategy Leaderboard</w:t>
            </w:r>
          </w:p>
        </w:tc>
        <w:tc>
          <w:tcPr/>
          <w:p>
            <w:pPr>
              <w:pStyle w:val="Compact"/>
              <w:jc w:val="center"/>
            </w:pPr>
            <w:r>
              <w:t xml:space="preserve">High</w:t>
            </w:r>
          </w:p>
        </w:tc>
        <w:tc>
          <w:tcPr/>
          <w:p>
            <w:pPr>
              <w:pStyle w:val="Compact"/>
              <w:jc w:val="left"/>
            </w:pPr>
            <w:r>
              <w:t xml:space="preserve">FWD WR aggregated across LONG/SHORT at strategy level</w:t>
            </w:r>
          </w:p>
        </w:tc>
        <w:tc>
          <w:tcPr/>
          <w:p>
            <w:pPr>
              <w:pStyle w:val="Compact"/>
              <w:jc w:val="left"/>
            </w:pPr>
            <w:r>
              <w:t xml:space="preserve">Add LONG/SHORT toggle to strategy detail view</w:t>
            </w:r>
          </w:p>
        </w:tc>
      </w:tr>
      <w:tr>
        <w:tc>
          <w:tcPr/>
          <w:p>
            <w:pPr>
              <w:pStyle w:val="Compact"/>
              <w:jc w:val="center"/>
            </w:pPr>
            <w:r>
              <w:t xml:space="preserve">14</w:t>
            </w:r>
          </w:p>
        </w:tc>
        <w:tc>
          <w:tcPr/>
          <w:p>
            <w:pPr>
              <w:pStyle w:val="Compact"/>
              <w:jc w:val="left"/>
            </w:pPr>
            <w:r>
              <w:rPr>
                <w:rStyle w:val="VerbatimChar"/>
              </w:rPr>
              <w:t xml:space="preserve">trust_score</w:t>
            </w:r>
            <w:r>
              <w:t xml:space="preserve"> </w:t>
            </w:r>
            <w:r>
              <w:t xml:space="preserve">/</w:t>
            </w:r>
            <w:r>
              <w:t xml:space="preserve"> </w:t>
            </w:r>
            <w:r>
              <w:rPr>
                <w:rStyle w:val="VerbatimChar"/>
              </w:rPr>
              <w:t xml:space="preserve">trust_tier</w:t>
            </w:r>
            <w:r>
              <w:t xml:space="preserve"> </w:t>
            </w:r>
            <w:r>
              <w:t xml:space="preserve">not in shadow_blocked</w:t>
            </w:r>
          </w:p>
        </w:tc>
        <w:tc>
          <w:tcPr/>
          <w:p>
            <w:pPr>
              <w:pStyle w:val="Compact"/>
              <w:jc w:val="center"/>
            </w:pPr>
            <w:r>
              <w:t xml:space="preserve">High</w:t>
            </w:r>
          </w:p>
        </w:tc>
        <w:tc>
          <w:tcPr/>
          <w:p>
            <w:pPr>
              <w:pStyle w:val="Compact"/>
              <w:jc w:val="left"/>
            </w:pPr>
            <w:r>
              <w:t xml:space="preserve">Schema omits HF tier fields; tier contract unverifiable post-hoc</w:t>
            </w:r>
          </w:p>
        </w:tc>
        <w:tc>
          <w:tcPr/>
          <w:p>
            <w:pPr>
              <w:pStyle w:val="Compact"/>
              <w:jc w:val="left"/>
            </w:pPr>
            <w:r>
              <w:t xml:space="preserve">Add fields to shadow_blocked schema</w:t>
            </w:r>
          </w:p>
        </w:tc>
      </w:tr>
      <w:tr>
        <w:tc>
          <w:tcPr/>
          <w:p>
            <w:pPr>
              <w:pStyle w:val="Compact"/>
              <w:jc w:val="center"/>
            </w:pPr>
            <w:r>
              <w:t xml:space="preserve">15</w:t>
            </w:r>
          </w:p>
        </w:tc>
        <w:tc>
          <w:tcPr/>
          <w:p>
            <w:pPr>
              <w:pStyle w:val="Compact"/>
              <w:jc w:val="left"/>
            </w:pPr>
            <w:r>
              <w:t xml:space="preserve">Direction field aliasing (</w:t>
            </w:r>
            <w:r>
              <w:rPr>
                <w:rStyle w:val="VerbatimChar"/>
              </w:rPr>
              <w:t xml:space="preserve">direction</w:t>
            </w:r>
            <w:r>
              <w:t xml:space="preserve">/</w:t>
            </w:r>
            <w:r>
              <w:rPr>
                <w:rStyle w:val="VerbatimChar"/>
              </w:rPr>
              <w:t xml:space="preserve">signal_type</w:t>
            </w:r>
            <w:r>
              <w:t xml:space="preserve">/</w:t>
            </w:r>
            <w:r>
              <w:rPr>
                <w:rStyle w:val="VerbatimChar"/>
              </w:rPr>
              <w:t xml:space="preserve">signal</w:t>
            </w:r>
            <w:r>
              <w:t xml:space="preserve">/</w:t>
            </w:r>
            <w:r>
              <w:rPr>
                <w:rStyle w:val="VerbatimChar"/>
              </w:rPr>
              <w:t xml:space="preserve">action</w:t>
            </w:r>
            <w:r>
              <w:t xml:space="preserve">)</w:t>
            </w:r>
          </w:p>
        </w:tc>
        <w:tc>
          <w:tcPr/>
          <w:p>
            <w:pPr>
              <w:pStyle w:val="Compact"/>
              <w:jc w:val="center"/>
            </w:pPr>
            <w:r>
              <w:t xml:space="preserve">High</w:t>
            </w:r>
          </w:p>
        </w:tc>
        <w:tc>
          <w:tcPr/>
          <w:p>
            <w:pPr>
              <w:pStyle w:val="Compact"/>
              <w:jc w:val="left"/>
            </w:pPr>
            <w:r>
              <w:t xml:space="preserve">No canonical field name; downstream reads wrong field</w:t>
            </w:r>
          </w:p>
        </w:tc>
        <w:tc>
          <w:tcPr/>
          <w:p>
            <w:pPr>
              <w:pStyle w:val="Compact"/>
              <w:jc w:val="left"/>
            </w:pPr>
            <w:r>
              <w:t xml:space="preserve">Standardize on</w:t>
            </w:r>
            <w:r>
              <w:t xml:space="preserve"> </w:t>
            </w:r>
            <w:r>
              <w:rPr>
                <w:rStyle w:val="VerbatimChar"/>
              </w:rPr>
              <w:t xml:space="preserve">direction</w:t>
            </w:r>
            <w:r>
              <w:t xml:space="preserve">; reject aliases at ingestion</w:t>
            </w:r>
          </w:p>
        </w:tc>
      </w:tr>
      <w:tr>
        <w:tc>
          <w:tcPr/>
          <w:p>
            <w:pPr>
              <w:pStyle w:val="Compact"/>
              <w:jc w:val="center"/>
            </w:pPr>
            <w:r>
              <w:t xml:space="preserve">16</w:t>
            </w:r>
          </w:p>
        </w:tc>
        <w:tc>
          <w:tcPr/>
          <w:p>
            <w:pPr>
              <w:pStyle w:val="Compact"/>
              <w:jc w:val="left"/>
            </w:pPr>
            <w:r>
              <w:t xml:space="preserve">Resolver writes only</w:t>
            </w:r>
            <w:r>
              <w:t xml:space="preserve"> </w:t>
            </w:r>
            <w:r>
              <w:rPr>
                <w:rStyle w:val="VerbatimChar"/>
              </w:rPr>
              <w:t xml:space="preserve">take_profit</w:t>
            </w:r>
            <w:r>
              <w:t xml:space="preserve"> </w:t>
            </w:r>
            <w:r>
              <w:t xml:space="preserve">/</w:t>
            </w:r>
            <w:r>
              <w:t xml:space="preserve"> </w:t>
            </w:r>
            <w:r>
              <w:rPr>
                <w:rStyle w:val="VerbatimChar"/>
              </w:rPr>
              <w:t xml:space="preserve">stop_loss</w:t>
            </w:r>
            <w:r>
              <w:t xml:space="preserve">, reads many aliases</w:t>
            </w:r>
          </w:p>
        </w:tc>
        <w:tc>
          <w:tcPr/>
          <w:p>
            <w:pPr>
              <w:pStyle w:val="Compact"/>
              <w:jc w:val="center"/>
            </w:pPr>
            <w:r>
              <w:t xml:space="preserve">High</w:t>
            </w:r>
          </w:p>
        </w:tc>
        <w:tc>
          <w:tcPr/>
          <w:p>
            <w:pPr>
              <w:pStyle w:val="Compact"/>
              <w:jc w:val="left"/>
            </w:pPr>
            <w:r>
              <w:t xml:space="preserve">Downstream consumers expecting</w:t>
            </w:r>
            <w:r>
              <w:t xml:space="preserve"> </w:t>
            </w:r>
            <w:r>
              <w:rPr>
                <w:rStyle w:val="VerbatimChar"/>
              </w:rPr>
              <w:t xml:space="preserve">tp</w:t>
            </w:r>
            <w:r>
              <w:t xml:space="preserve"> </w:t>
            </w:r>
            <w:r>
              <w:t xml:space="preserve">or</w:t>
            </w:r>
            <w:r>
              <w:t xml:space="preserve"> </w:t>
            </w:r>
            <w:r>
              <w:rPr>
                <w:rStyle w:val="VerbatimChar"/>
              </w:rPr>
              <w:t xml:space="preserve">sl_price</w:t>
            </w:r>
            <w:r>
              <w:t xml:space="preserve"> </w:t>
            </w:r>
            <w:r>
              <w:t xml:space="preserve">see stale data</w:t>
            </w:r>
          </w:p>
        </w:tc>
        <w:tc>
          <w:tcPr/>
          <w:p>
            <w:pPr>
              <w:pStyle w:val="Compact"/>
              <w:jc w:val="left"/>
            </w:pPr>
            <w:r>
              <w:t xml:space="preserve">Write to standard fields only; add validation layer</w:t>
            </w:r>
          </w:p>
        </w:tc>
      </w:tr>
      <w:tr>
        <w:tc>
          <w:tcPr/>
          <w:p>
            <w:pPr>
              <w:pStyle w:val="Compact"/>
              <w:jc w:val="center"/>
            </w:pPr>
            <w:r>
              <w:t xml:space="preserve">17</w:t>
            </w:r>
          </w:p>
        </w:tc>
        <w:tc>
          <w:tcPr/>
          <w:p>
            <w:pPr>
              <w:pStyle w:val="Compact"/>
              <w:jc w:val="left"/>
            </w:pPr>
            <w:r>
              <w:t xml:space="preserve">No</w:t>
            </w:r>
            <w:r>
              <w:t xml:space="preserve"> </w:t>
            </w:r>
            <w:r>
              <w:rPr>
                <w:rStyle w:val="VerbatimChar"/>
              </w:rPr>
              <w:t xml:space="preserve">pick_id</w:t>
            </w:r>
            <w:r>
              <w:t xml:space="preserve"> </w:t>
            </w:r>
            <w:r>
              <w:t xml:space="preserve">for deduplication</w:t>
            </w:r>
          </w:p>
        </w:tc>
        <w:tc>
          <w:tcPr/>
          <w:p>
            <w:pPr>
              <w:pStyle w:val="Compact"/>
              <w:jc w:val="center"/>
            </w:pPr>
            <w:r>
              <w:t xml:space="preserve">High</w:t>
            </w:r>
          </w:p>
        </w:tc>
        <w:tc>
          <w:tcPr/>
          <w:p>
            <w:pPr>
              <w:pStyle w:val="Compact"/>
              <w:jc w:val="left"/>
            </w:pPr>
            <w:r>
              <w:t xml:space="preserve">Shadow records lack unique identifier</w:t>
            </w:r>
          </w:p>
        </w:tc>
        <w:tc>
          <w:tcPr/>
          <w:p>
            <w:pPr>
              <w:pStyle w:val="Compact"/>
              <w:jc w:val="left"/>
            </w:pPr>
            <w:r>
              <w:t xml:space="preserve">Add UUID</w:t>
            </w:r>
            <w:r>
              <w:t xml:space="preserve"> </w:t>
            </w:r>
            <w:r>
              <w:rPr>
                <w:rStyle w:val="VerbatimChar"/>
              </w:rPr>
              <w:t xml:space="preserve">pick_id</w:t>
            </w:r>
            <w:r>
              <w:t xml:space="preserve"> </w:t>
            </w:r>
            <w:r>
              <w:t xml:space="preserve">at source emission</w:t>
            </w:r>
          </w:p>
        </w:tc>
      </w:tr>
      <w:tr>
        <w:tc>
          <w:tcPr/>
          <w:p>
            <w:pPr>
              <w:pStyle w:val="Compact"/>
              <w:jc w:val="center"/>
            </w:pPr>
            <w:r>
              <w:t xml:space="preserve">18</w:t>
            </w:r>
          </w:p>
        </w:tc>
        <w:tc>
          <w:tcPr/>
          <w:p>
            <w:pPr>
              <w:pStyle w:val="Compact"/>
              <w:jc w:val="left"/>
            </w:pPr>
            <w:r>
              <w:rPr>
                <w:rStyle w:val="VerbatimChar"/>
              </w:rPr>
              <w:t xml:space="preserve">entry_date</w:t>
            </w:r>
            <w:r>
              <w:t xml:space="preserve"> </w:t>
            </w:r>
            <w:r>
              <w:t xml:space="preserve">not stored in shadow_blocked</w:t>
            </w:r>
          </w:p>
        </w:tc>
        <w:tc>
          <w:tcPr/>
          <w:p>
            <w:pPr>
              <w:pStyle w:val="Compact"/>
              <w:jc w:val="center"/>
            </w:pPr>
            <w:r>
              <w:t xml:space="preserve">Medium</w:t>
            </w:r>
          </w:p>
        </w:tc>
        <w:tc>
          <w:tcPr/>
          <w:p>
            <w:pPr>
              <w:pStyle w:val="Compact"/>
              <w:jc w:val="left"/>
            </w:pPr>
            <w:r>
              <w:t xml:space="preserve">Only</w:t>
            </w:r>
            <w:r>
              <w:t xml:space="preserve"> </w:t>
            </w:r>
            <w:r>
              <w:rPr>
                <w:rStyle w:val="VerbatimChar"/>
              </w:rPr>
              <w:t xml:space="preserve">blocked_at</w:t>
            </w:r>
            <w:r>
              <w:t xml:space="preserve"> </w:t>
            </w:r>
            <w:r>
              <w:t xml:space="preserve">(gate timestamp) exists; entry time unknown</w:t>
            </w:r>
          </w:p>
        </w:tc>
        <w:tc>
          <w:tcPr/>
          <w:p>
            <w:pPr>
              <w:pStyle w:val="Compact"/>
              <w:jc w:val="left"/>
            </w:pPr>
            <w:r>
              <w:t xml:space="preserve">Add</w:t>
            </w:r>
            <w:r>
              <w:t xml:space="preserve"> </w:t>
            </w:r>
            <w:r>
              <w:rPr>
                <w:rStyle w:val="VerbatimChar"/>
              </w:rPr>
              <w:t xml:space="preserve">entry_date</w:t>
            </w:r>
            <w:r>
              <w:t xml:space="preserve"> </w:t>
            </w:r>
            <w:r>
              <w:t xml:space="preserve">field</w:t>
            </w:r>
          </w:p>
        </w:tc>
      </w:tr>
      <w:tr>
        <w:tc>
          <w:tcPr/>
          <w:p>
            <w:pPr>
              <w:pStyle w:val="Compact"/>
              <w:jc w:val="center"/>
            </w:pPr>
            <w:r>
              <w:t xml:space="preserve">19</w:t>
            </w:r>
          </w:p>
        </w:tc>
        <w:tc>
          <w:tcPr/>
          <w:p>
            <w:pPr>
              <w:pStyle w:val="Compact"/>
              <w:jc w:val="left"/>
            </w:pPr>
            <w:r>
              <w:rPr>
                <w:rStyle w:val="VerbatimChar"/>
              </w:rPr>
              <w:t xml:space="preserve">exit_date</w:t>
            </w:r>
            <w:r>
              <w:t xml:space="preserve"> </w:t>
            </w:r>
            <w:r>
              <w:t xml:space="preserve">not stored in shadow_blocked</w:t>
            </w:r>
          </w:p>
        </w:tc>
        <w:tc>
          <w:tcPr/>
          <w:p>
            <w:pPr>
              <w:pStyle w:val="Compact"/>
              <w:jc w:val="center"/>
            </w:pPr>
            <w:r>
              <w:t xml:space="preserve">Medium</w:t>
            </w:r>
          </w:p>
        </w:tc>
        <w:tc>
          <w:tcPr/>
          <w:p>
            <w:pPr>
              <w:pStyle w:val="Compact"/>
              <w:jc w:val="left"/>
            </w:pPr>
            <w:r>
              <w:t xml:space="preserve">Only</w:t>
            </w:r>
            <w:r>
              <w:t xml:space="preserve"> </w:t>
            </w:r>
            <w:r>
              <w:rPr>
                <w:rStyle w:val="VerbatimChar"/>
              </w:rPr>
              <w:t xml:space="preserve">resolved_at</w:t>
            </w:r>
            <w:r>
              <w:t xml:space="preserve"> </w:t>
            </w:r>
            <w:r>
              <w:t xml:space="preserve">exists (for 50.6% of picks)</w:t>
            </w:r>
          </w:p>
        </w:tc>
        <w:tc>
          <w:tcPr/>
          <w:p>
            <w:pPr>
              <w:pStyle w:val="Compact"/>
              <w:jc w:val="left"/>
            </w:pPr>
            <w:r>
              <w:t xml:space="preserve">Add</w:t>
            </w:r>
            <w:r>
              <w:t xml:space="preserve"> </w:t>
            </w:r>
            <w:r>
              <w:rPr>
                <w:rStyle w:val="VerbatimChar"/>
              </w:rPr>
              <w:t xml:space="preserve">exit_date</w:t>
            </w:r>
            <w:r>
              <w:t xml:space="preserve"> </w:t>
            </w:r>
            <w:r>
              <w:t xml:space="preserve">field</w:t>
            </w:r>
          </w:p>
        </w:tc>
      </w:tr>
      <w:tr>
        <w:tc>
          <w:tcPr/>
          <w:p>
            <w:pPr>
              <w:pStyle w:val="Compact"/>
              <w:jc w:val="center"/>
            </w:pPr>
            <w:r>
              <w:t xml:space="preserve">20</w:t>
            </w:r>
          </w:p>
        </w:tc>
        <w:tc>
          <w:tcPr/>
          <w:p>
            <w:pPr>
              <w:pStyle w:val="Compact"/>
              <w:jc w:val="left"/>
            </w:pPr>
            <w:r>
              <w:rPr>
                <w:rStyle w:val="VerbatimChar"/>
              </w:rPr>
              <w:t xml:space="preserve">_resolve_retry_count</w:t>
            </w:r>
            <w:r>
              <w:t xml:space="preserve"> </w:t>
            </w:r>
            <w:r>
              <w:t xml:space="preserve">not in shadow_blocked</w:t>
            </w:r>
          </w:p>
        </w:tc>
        <w:tc>
          <w:tcPr/>
          <w:p>
            <w:pPr>
              <w:pStyle w:val="Compact"/>
              <w:jc w:val="center"/>
            </w:pPr>
            <w:r>
              <w:t xml:space="preserve">Medium</w:t>
            </w:r>
          </w:p>
        </w:tc>
        <w:tc>
          <w:tcPr/>
          <w:p>
            <w:pPr>
              <w:pStyle w:val="Compact"/>
              <w:jc w:val="left"/>
            </w:pPr>
            <w:r>
              <w:t xml:space="preserve">Retry audit invisible for blocked picks</w:t>
            </w:r>
          </w:p>
        </w:tc>
        <w:tc>
          <w:tcPr/>
          <w:p>
            <w:pPr>
              <w:pStyle w:val="Compact"/>
              <w:jc w:val="left"/>
            </w:pPr>
            <w:r>
              <w:t xml:space="preserve">Add retry count for debugging retry storms</w:t>
            </w:r>
          </w:p>
        </w:tc>
      </w:tr>
      <w:tr>
        <w:tc>
          <w:tcPr/>
          <w:p>
            <w:pPr>
              <w:pStyle w:val="Compact"/>
              <w:jc w:val="center"/>
            </w:pPr>
            <w:r>
              <w:t xml:space="preserve">21</w:t>
            </w:r>
          </w:p>
        </w:tc>
        <w:tc>
          <w:tcPr/>
          <w:p>
            <w:pPr>
              <w:pStyle w:val="Compact"/>
              <w:jc w:val="left"/>
            </w:pPr>
            <w:r>
              <w:t xml:space="preserve">No confidence-band adjustment for small samples</w:t>
            </w:r>
          </w:p>
        </w:tc>
        <w:tc>
          <w:tcPr/>
          <w:p>
            <w:pPr>
              <w:pStyle w:val="Compact"/>
              <w:jc w:val="center"/>
            </w:pPr>
            <w:r>
              <w:t xml:space="preserve">Medium</w:t>
            </w:r>
          </w:p>
        </w:tc>
        <w:tc>
          <w:tcPr/>
          <w:p>
            <w:pPr>
              <w:pStyle w:val="Compact"/>
              <w:jc w:val="left"/>
            </w:pPr>
            <w:r>
              <w:rPr>
                <w:rStyle w:val="VerbatimChar"/>
              </w:rPr>
              <w:t xml:space="preserve">fwdN &lt; 30</w:t>
            </w:r>
            <w:r>
              <w:t xml:space="preserve"> </w:t>
            </w:r>
            <w:r>
              <w:t xml:space="preserve">still evaluated at full floor</w:t>
            </w:r>
          </w:p>
        </w:tc>
        <w:tc>
          <w:tcPr/>
          <w:p>
            <w:pPr>
              <w:pStyle w:val="Compact"/>
              <w:jc w:val="left"/>
            </w:pPr>
            <w:r>
              <w:t xml:space="preserve">Lower thresholds when sample size insufficient</w:t>
            </w:r>
          </w:p>
        </w:tc>
      </w:tr>
      <w:tr>
        <w:tc>
          <w:tcPr/>
          <w:p>
            <w:pPr>
              <w:pStyle w:val="Compact"/>
              <w:jc w:val="center"/>
            </w:pPr>
            <w:r>
              <w:t xml:space="preserve">22</w:t>
            </w:r>
          </w:p>
        </w:tc>
        <w:tc>
          <w:tcPr/>
          <w:p>
            <w:pPr>
              <w:pStyle w:val="Compact"/>
              <w:jc w:val="left"/>
            </w:pPr>
            <w:r>
              <w:t xml:space="preserve">FOREX_GATE hardcoded 30% WR floor</w:t>
            </w:r>
          </w:p>
        </w:tc>
        <w:tc>
          <w:tcPr/>
          <w:p>
            <w:pPr>
              <w:pStyle w:val="Compact"/>
              <w:jc w:val="center"/>
            </w:pPr>
            <w:r>
              <w:t xml:space="preserve">Medium</w:t>
            </w:r>
          </w:p>
        </w:tc>
        <w:tc>
          <w:tcPr/>
          <w:p>
            <w:pPr>
              <w:pStyle w:val="Compact"/>
              <w:jc w:val="left"/>
            </w:pPr>
            <w:r>
              <w:t xml:space="preserve">Not configurable per asset class</w:t>
            </w:r>
          </w:p>
        </w:tc>
        <w:tc>
          <w:tcPr/>
          <w:p>
            <w:pPr>
              <w:pStyle w:val="Compact"/>
              <w:jc w:val="left"/>
            </w:pPr>
            <w:r>
              <w:t xml:space="preserve">Make</w:t>
            </w:r>
            <w:r>
              <w:t xml:space="preserve"> </w:t>
            </w:r>
            <w:r>
              <w:rPr>
                <w:rStyle w:val="VerbatimChar"/>
              </w:rPr>
              <w:t xml:space="preserve">hf_quality_gates.json</w:t>
            </w:r>
            <w:r>
              <w:t xml:space="preserve"> </w:t>
            </w:r>
            <w:r>
              <w:t xml:space="preserve">configurable</w:t>
            </w:r>
          </w:p>
        </w:tc>
      </w:tr>
      <w:tr>
        <w:tc>
          <w:tcPr/>
          <w:p>
            <w:pPr>
              <w:pStyle w:val="Compact"/>
              <w:jc w:val="center"/>
            </w:pPr>
            <w:r>
              <w:t xml:space="preserve">23</w:t>
            </w:r>
          </w:p>
        </w:tc>
        <w:tc>
          <w:tcPr/>
          <w:p>
            <w:pPr>
              <w:pStyle w:val="Compact"/>
              <w:jc w:val="left"/>
            </w:pPr>
            <w:r>
              <w:t xml:space="preserve">No data quality score per pick</w:t>
            </w:r>
          </w:p>
        </w:tc>
        <w:tc>
          <w:tcPr/>
          <w:p>
            <w:pPr>
              <w:pStyle w:val="Compact"/>
              <w:jc w:val="center"/>
            </w:pPr>
            <w:r>
              <w:t xml:space="preserve">Medium</w:t>
            </w:r>
          </w:p>
        </w:tc>
        <w:tc>
          <w:tcPr/>
          <w:p>
            <w:pPr>
              <w:pStyle w:val="Compact"/>
              <w:jc w:val="left"/>
            </w:pPr>
            <w:r>
              <w:t xml:space="preserve">Completeness/validity not quantified</w:t>
            </w:r>
          </w:p>
        </w:tc>
        <w:tc>
          <w:tcPr/>
          <w:p>
            <w:pPr>
              <w:pStyle w:val="Compact"/>
              <w:jc w:val="left"/>
            </w:pPr>
            <w:r>
              <w:t xml:space="preserve">Add computed DQ score (0-100)</w:t>
            </w:r>
          </w:p>
        </w:tc>
      </w:tr>
      <w:tr>
        <w:tc>
          <w:tcPr/>
          <w:p>
            <w:pPr>
              <w:pStyle w:val="Compact"/>
              <w:jc w:val="center"/>
            </w:pPr>
            <w:r>
              <w:t xml:space="preserve">24</w:t>
            </w:r>
          </w:p>
        </w:tc>
        <w:tc>
          <w:tcPr/>
          <w:p>
            <w:pPr>
              <w:pStyle w:val="Compact"/>
              <w:jc w:val="left"/>
            </w:pPr>
            <w:r>
              <w:t xml:space="preserve">No schema versioning on JSON exports</w:t>
            </w:r>
          </w:p>
        </w:tc>
        <w:tc>
          <w:tcPr/>
          <w:p>
            <w:pPr>
              <w:pStyle w:val="Compact"/>
              <w:jc w:val="center"/>
            </w:pPr>
            <w:r>
              <w:t xml:space="preserve">Medium</w:t>
            </w:r>
          </w:p>
        </w:tc>
        <w:tc>
          <w:tcPr/>
          <w:p>
            <w:pPr>
              <w:pStyle w:val="Compact"/>
              <w:jc w:val="left"/>
            </w:pPr>
            <w:r>
              <w:t xml:space="preserve">Breaking changes untraceable</w:t>
            </w:r>
          </w:p>
        </w:tc>
        <w:tc>
          <w:tcPr/>
          <w:p>
            <w:pPr>
              <w:pStyle w:val="Compact"/>
              <w:jc w:val="left"/>
            </w:pPr>
            <w:r>
              <w:t xml:space="preserve">Add</w:t>
            </w:r>
            <w:r>
              <w:t xml:space="preserve"> </w:t>
            </w:r>
            <w:r>
              <w:rPr>
                <w:rStyle w:val="VerbatimChar"/>
              </w:rPr>
              <w:t xml:space="preserve">_schema_version</w:t>
            </w:r>
            <w:r>
              <w:t xml:space="preserve"> </w:t>
            </w:r>
            <w:r>
              <w:t xml:space="preserve">field</w:t>
            </w:r>
          </w:p>
        </w:tc>
      </w:tr>
      <w:tr>
        <w:tc>
          <w:tcPr/>
          <w:p>
            <w:pPr>
              <w:pStyle w:val="Compact"/>
              <w:jc w:val="center"/>
            </w:pPr>
            <w:r>
              <w:t xml:space="preserve">25</w:t>
            </w:r>
          </w:p>
        </w:tc>
        <w:tc>
          <w:tcPr/>
          <w:p>
            <w:pPr>
              <w:pStyle w:val="Compact"/>
              <w:jc w:val="left"/>
            </w:pPr>
            <w:r>
              <w:t xml:space="preserve">WINNER_FILTER threshold (0.85) may block optimal zone</w:t>
            </w:r>
          </w:p>
        </w:tc>
        <w:tc>
          <w:tcPr/>
          <w:p>
            <w:pPr>
              <w:pStyle w:val="Compact"/>
              <w:jc w:val="center"/>
            </w:pPr>
            <w:r>
              <w:t xml:space="preserve">Medium</w:t>
            </w:r>
          </w:p>
        </w:tc>
        <w:tc>
          <w:tcPr/>
          <w:p>
            <w:pPr>
              <w:pStyle w:val="Compact"/>
              <w:jc w:val="left"/>
            </w:pPr>
            <w:r>
              <w:t xml:space="preserve">Per-user evidence of 82% WR in higher band</w:t>
            </w:r>
          </w:p>
        </w:tc>
        <w:tc>
          <w:tcPr/>
          <w:p>
            <w:pPr>
              <w:pStyle w:val="Compact"/>
              <w:jc w:val="left"/>
            </w:pPr>
            <w:r>
              <w:t xml:space="preserve">Raise to 0.90 pending calibration</w:t>
            </w:r>
          </w:p>
        </w:tc>
      </w:tr>
      <w:tr>
        <w:tc>
          <w:tcPr/>
          <w:p>
            <w:pPr>
              <w:pStyle w:val="Compact"/>
              <w:jc w:val="center"/>
            </w:pPr>
            <w:r>
              <w:t xml:space="preserve">26</w:t>
            </w:r>
          </w:p>
        </w:tc>
        <w:tc>
          <w:tcPr/>
          <w:p>
            <w:pPr>
              <w:pStyle w:val="Compact"/>
              <w:jc w:val="left"/>
            </w:pPr>
            <w:r>
              <w:t xml:space="preserve">24 empty-strategy picks invisible to leaderboard</w:t>
            </w:r>
          </w:p>
        </w:tc>
        <w:tc>
          <w:tcPr/>
          <w:p>
            <w:pPr>
              <w:pStyle w:val="Compact"/>
              <w:jc w:val="center"/>
            </w:pPr>
            <w:r>
              <w:t xml:space="preserve">Medium</w:t>
            </w:r>
          </w:p>
        </w:tc>
        <w:tc>
          <w:tcPr/>
          <w:p>
            <w:pPr>
              <w:pStyle w:val="Compact"/>
              <w:jc w:val="left"/>
            </w:pPr>
            <w:r>
              <w:t xml:space="preserve">No strategy key → excluded from FWD WR calc</w:t>
            </w:r>
          </w:p>
        </w:tc>
        <w:tc>
          <w:tcPr/>
          <w:p>
            <w:pPr>
              <w:pStyle w:val="Compact"/>
              <w:jc w:val="left"/>
            </w:pPr>
            <w:r>
              <w:t xml:space="preserve">Reject or assign default strategy at ingestion</w:t>
            </w:r>
          </w:p>
        </w:tc>
      </w:tr>
      <w:tr>
        <w:tc>
          <w:tcPr/>
          <w:p>
            <w:pPr>
              <w:pStyle w:val="Compact"/>
              <w:jc w:val="center"/>
            </w:pPr>
            <w:r>
              <w:t xml:space="preserve">27</w:t>
            </w:r>
          </w:p>
        </w:tc>
        <w:tc>
          <w:tcPr/>
          <w:p>
            <w:pPr>
              <w:pStyle w:val="Compact"/>
              <w:jc w:val="left"/>
            </w:pPr>
            <w:r>
              <w:t xml:space="preserve">Resolver comments reference non-existent report files</w:t>
            </w:r>
          </w:p>
        </w:tc>
        <w:tc>
          <w:tcPr/>
          <w:p>
            <w:pPr>
              <w:pStyle w:val="Compact"/>
              <w:jc w:val="center"/>
            </w:pPr>
            <w:r>
              <w:t xml:space="preserve">Low</w:t>
            </w:r>
          </w:p>
        </w:tc>
        <w:tc>
          <w:tcPr/>
          <w:p>
            <w:pPr>
              <w:pStyle w:val="Compact"/>
              <w:jc w:val="left"/>
            </w:pPr>
            <w:r>
              <w:t xml:space="preserve">Documentation drift</w:t>
            </w:r>
          </w:p>
        </w:tc>
        <w:tc>
          <w:tcPr/>
          <w:p>
            <w:pPr>
              <w:pStyle w:val="Compact"/>
              <w:jc w:val="left"/>
            </w:pPr>
            <w:r>
              <w:t xml:space="preserve">Verify and correct report file paths</w:t>
            </w:r>
          </w:p>
        </w:tc>
      </w:tr>
      <w:tr>
        <w:tc>
          <w:tcPr/>
          <w:p>
            <w:pPr>
              <w:pStyle w:val="Compact"/>
              <w:jc w:val="center"/>
            </w:pPr>
            <w:r>
              <w:t xml:space="preserve">28</w:t>
            </w:r>
          </w:p>
        </w:tc>
        <w:tc>
          <w:tcPr/>
          <w:p>
            <w:pPr>
              <w:pStyle w:val="Compact"/>
              <w:jc w:val="left"/>
            </w:pPr>
            <w:r>
              <w:t xml:space="preserve">No kill-switch for track data staleness</w:t>
            </w:r>
          </w:p>
        </w:tc>
        <w:tc>
          <w:tcPr/>
          <w:p>
            <w:pPr>
              <w:pStyle w:val="Compact"/>
              <w:jc w:val="center"/>
            </w:pPr>
            <w:r>
              <w:t xml:space="preserve">Low</w:t>
            </w:r>
          </w:p>
        </w:tc>
        <w:tc>
          <w:tcPr/>
          <w:p>
            <w:pPr>
              <w:pStyle w:val="Compact"/>
              <w:jc w:val="left"/>
            </w:pPr>
            <w:r>
              <w:rPr>
                <w:rStyle w:val="VerbatimChar"/>
              </w:rPr>
              <w:t xml:space="preserve">track_wr</w:t>
            </w:r>
            <w:r>
              <w:t xml:space="preserve"> </w:t>
            </w:r>
            <w:r>
              <w:t xml:space="preserve">could be weeks old without alert</w:t>
            </w:r>
          </w:p>
        </w:tc>
        <w:tc>
          <w:tcPr/>
          <w:p>
            <w:pPr>
              <w:pStyle w:val="Compact"/>
              <w:jc w:val="left"/>
            </w:pPr>
            <w:r>
              <w:t xml:space="preserve">Alert when</w:t>
            </w:r>
            <w:r>
              <w:t xml:space="preserve"> </w:t>
            </w:r>
            <w:r>
              <w:rPr>
                <w:rStyle w:val="VerbatimChar"/>
              </w:rPr>
              <w:t xml:space="preserve">track_wr</w:t>
            </w:r>
            <w:r>
              <w:t xml:space="preserve"> </w:t>
            </w:r>
            <w:r>
              <w:t xml:space="preserve">older than 7 days</w:t>
            </w:r>
          </w:p>
        </w:tc>
      </w:tr>
      <w:tr>
        <w:tc>
          <w:tcPr/>
          <w:p>
            <w:pPr>
              <w:pStyle w:val="Compact"/>
              <w:jc w:val="center"/>
            </w:pPr>
            <w:r>
              <w:t xml:space="preserve">29</w:t>
            </w:r>
          </w:p>
        </w:tc>
        <w:tc>
          <w:tcPr/>
          <w:p>
            <w:pPr>
              <w:pStyle w:val="Compact"/>
              <w:jc w:val="left"/>
            </w:pPr>
            <w:r>
              <w:t xml:space="preserve">Dashboard disclaimer buried in UI</w:t>
            </w:r>
          </w:p>
        </w:tc>
        <w:tc>
          <w:tcPr/>
          <w:p>
            <w:pPr>
              <w:pStyle w:val="Compact"/>
              <w:jc w:val="center"/>
            </w:pPr>
            <w:r>
              <w:t xml:space="preserve">Low</w:t>
            </w:r>
          </w:p>
        </w:tc>
        <w:tc>
          <w:tcPr/>
          <w:p>
            <w:pPr>
              <w:pStyle w:val="Compact"/>
              <w:jc w:val="left"/>
            </w:pPr>
            <w:r>
              <w:t xml:space="preserve">Risk disclosure not prominently placed</w:t>
            </w:r>
          </w:p>
        </w:tc>
        <w:tc>
          <w:tcPr/>
          <w:p>
            <w:pPr>
              <w:pStyle w:val="Compact"/>
              <w:jc w:val="left"/>
            </w:pPr>
            <w:r>
              <w:t xml:space="preserve">Move to visible position</w:t>
            </w:r>
          </w:p>
        </w:tc>
      </w:tr>
      <w:tr>
        <w:tc>
          <w:tcPr/>
          <w:p>
            <w:pPr>
              <w:pStyle w:val="Compact"/>
              <w:jc w:val="center"/>
            </w:pPr>
            <w:r>
              <w:t xml:space="preserve">30</w:t>
            </w:r>
          </w:p>
        </w:tc>
        <w:tc>
          <w:tcPr/>
          <w:p>
            <w:pPr>
              <w:pStyle w:val="Compact"/>
              <w:jc w:val="left"/>
            </w:pPr>
            <w:r>
              <w:t xml:space="preserve">JSON export has no</w:t>
            </w:r>
            <w:r>
              <w:t xml:space="preserve"> </w:t>
            </w:r>
            <w:r>
              <w:rPr>
                <w:rStyle w:val="VerbatimChar"/>
              </w:rPr>
              <w:t xml:space="preserve">exported_at</w:t>
            </w:r>
            <w:r>
              <w:t xml:space="preserve"> </w:t>
            </w:r>
            <w:r>
              <w:t xml:space="preserve">timestamp</w:t>
            </w:r>
          </w:p>
        </w:tc>
        <w:tc>
          <w:tcPr/>
          <w:p>
            <w:pPr>
              <w:pStyle w:val="Compact"/>
              <w:jc w:val="center"/>
            </w:pPr>
            <w:r>
              <w:t xml:space="preserve">Low</w:t>
            </w:r>
          </w:p>
        </w:tc>
        <w:tc>
          <w:tcPr/>
          <w:p>
            <w:pPr>
              <w:pStyle w:val="Compact"/>
              <w:jc w:val="left"/>
            </w:pPr>
            <w:r>
              <w:t xml:space="preserve">Export freshness unverifiable</w:t>
            </w:r>
          </w:p>
        </w:tc>
        <w:tc>
          <w:tcPr/>
          <w:p>
            <w:pPr>
              <w:pStyle w:val="Compact"/>
              <w:jc w:val="left"/>
            </w:pPr>
            <w:r>
              <w:t xml:space="preserve">Add timestamp field</w:t>
            </w:r>
          </w:p>
        </w:tc>
      </w:tr>
      <w:tr>
        <w:tc>
          <w:tcPr/>
          <w:p>
            <w:pPr>
              <w:pStyle w:val="Compact"/>
              <w:jc w:val="center"/>
            </w:pPr>
            <w:r>
              <w:t xml:space="preserve">31</w:t>
            </w:r>
          </w:p>
        </w:tc>
        <w:tc>
          <w:tcPr/>
          <w:p>
            <w:pPr>
              <w:pStyle w:val="Compact"/>
              <w:jc w:val="left"/>
            </w:pPr>
            <w:r>
              <w:t xml:space="preserve">No diff tracking on</w:t>
            </w:r>
            <w:r>
              <w:t xml:space="preserve"> </w:t>
            </w:r>
            <w:r>
              <w:rPr>
                <w:rStyle w:val="VerbatimChar"/>
              </w:rPr>
              <w:t xml:space="preserve">hf_quality_gates.json</w:t>
            </w:r>
            <w:r>
              <w:t xml:space="preserve"> </w:t>
            </w:r>
            <w:r>
              <w:t xml:space="preserve">changes</w:t>
            </w:r>
          </w:p>
        </w:tc>
        <w:tc>
          <w:tcPr/>
          <w:p>
            <w:pPr>
              <w:pStyle w:val="Compact"/>
              <w:jc w:val="center"/>
            </w:pPr>
            <w:r>
              <w:t xml:space="preserve">Low</w:t>
            </w:r>
          </w:p>
        </w:tc>
        <w:tc>
          <w:tcPr/>
          <w:p>
            <w:pPr>
              <w:pStyle w:val="Compact"/>
              <w:jc w:val="left"/>
            </w:pPr>
            <w:r>
              <w:t xml:space="preserve">Gate threshold changes not logged</w:t>
            </w:r>
          </w:p>
        </w:tc>
        <w:tc>
          <w:tcPr/>
          <w:p>
            <w:pPr>
              <w:pStyle w:val="Compact"/>
              <w:jc w:val="left"/>
            </w:pPr>
            <w:r>
              <w:t xml:space="preserve">Add configuration change log</w:t>
            </w:r>
          </w:p>
        </w:tc>
      </w:tr>
      <w:tr>
        <w:tc>
          <w:tcPr/>
          <w:p>
            <w:pPr>
              <w:pStyle w:val="Compact"/>
              <w:jc w:val="center"/>
            </w:pPr>
            <w:r>
              <w:t xml:space="preserve">32</w:t>
            </w:r>
          </w:p>
        </w:tc>
        <w:tc>
          <w:tcPr/>
          <w:p>
            <w:pPr>
              <w:pStyle w:val="Compact"/>
              <w:jc w:val="left"/>
            </w:pPr>
            <w:r>
              <w:t xml:space="preserve">Test coverage claims 94% but no test files audited</w:t>
            </w:r>
          </w:p>
        </w:tc>
        <w:tc>
          <w:tcPr/>
          <w:p>
            <w:pPr>
              <w:pStyle w:val="Compact"/>
              <w:jc w:val="center"/>
            </w:pPr>
            <w:r>
              <w:t xml:space="preserve">Low</w:t>
            </w:r>
          </w:p>
        </w:tc>
        <w:tc>
          <w:tcPr/>
          <w:p>
            <w:pPr>
              <w:pStyle w:val="Compact"/>
              <w:jc w:val="left"/>
            </w:pPr>
            <w:r>
              <w:t xml:space="preserve">Unclear what tests cover</w:t>
            </w:r>
          </w:p>
        </w:tc>
        <w:tc>
          <w:tcPr/>
          <w:p>
            <w:pPr>
              <w:pStyle w:val="Compact"/>
              <w:jc w:val="left"/>
            </w:pPr>
            <w:r>
              <w:t xml:space="preserve">Verify test file existence and coverage scope</w:t>
            </w:r>
          </w:p>
        </w:tc>
      </w:tr>
      <w:tr>
        <w:tc>
          <w:tcPr/>
          <w:p>
            <w:pPr>
              <w:pStyle w:val="Compact"/>
              <w:jc w:val="center"/>
            </w:pPr>
            <w:r>
              <w:t xml:space="preserve">33</w:t>
            </w:r>
          </w:p>
        </w:tc>
        <w:tc>
          <w:tcPr/>
          <w:p>
            <w:pPr>
              <w:pStyle w:val="Compact"/>
              <w:jc w:val="left"/>
            </w:pPr>
            <w:r>
              <w:t xml:space="preserve">Non-crypto check uses hardcoded symbol list</w:t>
            </w:r>
          </w:p>
        </w:tc>
        <w:tc>
          <w:tcPr/>
          <w:p>
            <w:pPr>
              <w:pStyle w:val="Compact"/>
              <w:jc w:val="center"/>
            </w:pPr>
            <w:r>
              <w:t xml:space="preserve">Low</w:t>
            </w:r>
          </w:p>
        </w:tc>
        <w:tc>
          <w:tcPr/>
          <w:p>
            <w:pPr>
              <w:pStyle w:val="Compact"/>
              <w:jc w:val="left"/>
            </w:pPr>
            <w:r>
              <w:rPr>
                <w:rStyle w:val="VerbatimChar"/>
              </w:rPr>
              <w:t xml:space="preserve">_EQUITY_SYMBOLS</w:t>
            </w:r>
            <w:r>
              <w:t xml:space="preserve"> </w:t>
            </w:r>
            <w:r>
              <w:t xml:space="preserve">set is static</w:t>
            </w:r>
          </w:p>
        </w:tc>
        <w:tc>
          <w:tcPr/>
          <w:p>
            <w:pPr>
              <w:pStyle w:val="Compact"/>
              <w:jc w:val="left"/>
            </w:pPr>
            <w:r>
              <w:t xml:space="preserve">Make configurable in</w:t>
            </w:r>
            <w:r>
              <w:t xml:space="preserve"> </w:t>
            </w:r>
            <w:r>
              <w:rPr>
                <w:rStyle w:val="VerbatimChar"/>
              </w:rPr>
              <w:t xml:space="preserve">hf_quality_gates.json</w:t>
            </w:r>
          </w:p>
        </w:tc>
      </w:tr>
      <w:tr>
        <w:tc>
          <w:tcPr/>
          <w:p>
            <w:pPr>
              <w:pStyle w:val="Compact"/>
              <w:jc w:val="center"/>
            </w:pPr>
            <w:r>
              <w:t xml:space="preserve">34</w:t>
            </w:r>
          </w:p>
        </w:tc>
        <w:tc>
          <w:tcPr/>
          <w:p>
            <w:pPr>
              <w:pStyle w:val="Compact"/>
              <w:jc w:val="left"/>
            </w:pPr>
            <w:r>
              <w:t xml:space="preserve">Direction inference from TP/entry can be wrong</w:t>
            </w:r>
          </w:p>
        </w:tc>
        <w:tc>
          <w:tcPr/>
          <w:p>
            <w:pPr>
              <w:pStyle w:val="Compact"/>
              <w:jc w:val="center"/>
            </w:pPr>
            <w:r>
              <w:t xml:space="preserve">Low</w:t>
            </w:r>
          </w:p>
        </w:tc>
        <w:tc>
          <w:tcPr/>
          <w:p>
            <w:pPr>
              <w:pStyle w:val="Compact"/>
              <w:jc w:val="left"/>
            </w:pPr>
            <w:r>
              <w:rPr>
                <w:rStyle w:val="VerbatimChar"/>
              </w:rPr>
              <w:t xml:space="preserve">tp &gt; entry ? LONG : SHORT</w:t>
            </w:r>
            <w:r>
              <w:t xml:space="preserve"> </w:t>
            </w:r>
            <w:r>
              <w:t xml:space="preserve">fails for exotic setups</w:t>
            </w:r>
          </w:p>
        </w:tc>
        <w:tc>
          <w:tcPr/>
          <w:p>
            <w:pPr>
              <w:pStyle w:val="Compact"/>
              <w:jc w:val="left"/>
            </w:pPr>
            <w:r>
              <w:t xml:space="preserve">Require explicit</w:t>
            </w:r>
            <w:r>
              <w:t xml:space="preserve"> </w:t>
            </w:r>
            <w:r>
              <w:rPr>
                <w:rStyle w:val="VerbatimChar"/>
              </w:rPr>
              <w:t xml:space="preserve">direction</w:t>
            </w:r>
            <w:r>
              <w:t xml:space="preserve"> </w:t>
            </w:r>
            <w:r>
              <w:t xml:space="preserve">field</w:t>
            </w:r>
          </w:p>
        </w:tc>
      </w:tr>
      <w:tr>
        <w:tc>
          <w:tcPr/>
          <w:p>
            <w:pPr>
              <w:pStyle w:val="Compact"/>
              <w:jc w:val="center"/>
            </w:pPr>
            <w:r>
              <w:t xml:space="preserve">35</w:t>
            </w:r>
          </w:p>
        </w:tc>
        <w:tc>
          <w:tcPr/>
          <w:p>
            <w:pPr>
              <w:pStyle w:val="Compact"/>
              <w:jc w:val="left"/>
            </w:pPr>
            <w:r>
              <w:t xml:space="preserve">SL can exceed TP for LONG picks</w:t>
            </w:r>
          </w:p>
        </w:tc>
        <w:tc>
          <w:tcPr/>
          <w:p>
            <w:pPr>
              <w:pStyle w:val="Compact"/>
              <w:jc w:val="center"/>
            </w:pPr>
            <w:r>
              <w:t xml:space="preserve">Low</w:t>
            </w:r>
          </w:p>
        </w:tc>
        <w:tc>
          <w:tcPr/>
          <w:p>
            <w:pPr>
              <w:pStyle w:val="Compact"/>
              <w:jc w:val="left"/>
            </w:pPr>
            <w:r>
              <w:t xml:space="preserve">No R:R validation at ingestion</w:t>
            </w:r>
          </w:p>
        </w:tc>
        <w:tc>
          <w:tcPr/>
          <w:p>
            <w:pPr>
              <w:pStyle w:val="Compact"/>
              <w:jc w:val="left"/>
            </w:pPr>
            <w:r>
              <w:t xml:space="preserve">Add</w:t>
            </w:r>
            <w:r>
              <w:t xml:space="preserve"> </w:t>
            </w:r>
            <w:r>
              <w:rPr>
                <w:rStyle w:val="VerbatimChar"/>
              </w:rPr>
              <w:t xml:space="preserve">TP &gt; entry &gt; SL</w:t>
            </w:r>
            <w:r>
              <w:t xml:space="preserve"> </w:t>
            </w:r>
            <w:r>
              <w:t xml:space="preserve">validation for LONG</w:t>
            </w:r>
          </w:p>
        </w:tc>
      </w:tr>
      <w:tr>
        <w:tc>
          <w:tcPr/>
          <w:p>
            <w:pPr>
              <w:pStyle w:val="Compact"/>
              <w:jc w:val="center"/>
            </w:pPr>
            <w:r>
              <w:t xml:space="preserve">36</w:t>
            </w:r>
          </w:p>
        </w:tc>
        <w:tc>
          <w:tcPr/>
          <w:p>
            <w:pPr>
              <w:pStyle w:val="Compact"/>
              <w:jc w:val="left"/>
            </w:pPr>
            <w:r>
              <w:t xml:space="preserve">No SHA-256 checksum on</w:t>
            </w:r>
            <w:r>
              <w:t xml:space="preserve"> </w:t>
            </w:r>
            <w:r>
              <w:rPr>
                <w:rStyle w:val="VerbatimChar"/>
              </w:rPr>
              <w:t xml:space="preserve">shadow_blocked.json</w:t>
            </w:r>
          </w:p>
        </w:tc>
        <w:tc>
          <w:tcPr/>
          <w:p>
            <w:pPr>
              <w:pStyle w:val="Compact"/>
              <w:jc w:val="center"/>
            </w:pPr>
            <w:r>
              <w:t xml:space="preserve">Low</w:t>
            </w:r>
          </w:p>
        </w:tc>
        <w:tc>
          <w:tcPr/>
          <w:p>
            <w:pPr>
              <w:pStyle w:val="Compact"/>
              <w:jc w:val="left"/>
            </w:pPr>
            <w:r>
              <w:t xml:space="preserve">Integrity not cryptographically verifiable</w:t>
            </w:r>
          </w:p>
        </w:tc>
        <w:tc>
          <w:tcPr/>
          <w:p>
            <w:pPr>
              <w:pStyle w:val="Compact"/>
              <w:jc w:val="left"/>
            </w:pPr>
            <w:r>
              <w:t xml:space="preserve">Add checksum on write</w:t>
            </w:r>
          </w:p>
        </w:tc>
      </w:tr>
    </w:tbl>
    <w:p>
      <w:pPr>
        <w:pStyle w:val="BodyText"/>
      </w:pPr>
      <w:r>
        <w:rPr>
          <w:iCs/>
          <w:i/>
        </w:rPr>
        <w:t xml:space="preserve">Table 6.1: 37-Issue Severity Matrix with root-cause attribution and recommended fix locations. Severity classifications follow standard QA conventions: Critical = immediate financial or data-integrity risk; High = significant operational impact within one week; Medium = moderate impact within two weeks; Low = minor, fix when convenient. Source: comprehensive QA audit of outcome_resolver.py, hc_filter.js, hedge_fund_quality_gate.py, shadow_blocked.json, and dashboard_payload.json.</w:t>
      </w:r>
    </w:p>
    <w:p>
      <w:pPr>
        <w:pStyle w:val="BodyText"/>
      </w:pPr>
      <w:r>
        <w:t xml:space="preserve">The concentration of Critical issues in the</w:t>
      </w:r>
      <w:r>
        <w:t xml:space="preserve"> </w:t>
      </w:r>
      <w:r>
        <w:t xml:space="preserve">“</w:t>
      </w:r>
      <w:r>
        <w:t xml:space="preserve">Data Loss &amp; Mis-attribution</w:t>
      </w:r>
      <w:r>
        <w:t xml:space="preserve">”</w:t>
      </w:r>
      <w:r>
        <w:t xml:space="preserve"> </w:t>
      </w:r>
      <w:r>
        <w:t xml:space="preserve">category demands immediate attention. Four of the eight Critical issues (IDs 1, 3, 4, 8) involve data that is either never produced, never persisted, or persisted at the wrong granularity. The remaining four Critical issues (IDs 2, 5, 6, 7) involve gate logic failures, precision contamination, and schema aliasing that propagate through downstream filters. The High-severity tier is dominated by observability gaps (IDs 9-10, 14, 16, 18-20) and normalization failures (IDs 11, 15), which collectively prevent post-hoc audit and reproduction of filtering decisions.</w:t>
      </w:r>
    </w:p>
    <w:p>
      <w:pPr>
        <w:pStyle w:val="BodyText"/>
      </w:pPr>
      <w:r>
        <w:rPr>
          <w:bCs/>
          <w:b/>
        </w:rPr>
        <w:t xml:space="preserve">CRITICAL-1: TRK% vs FWD WR% granularity mis-attribution.</w:t>
      </w:r>
      <w:r>
        <w:t xml:space="preserve"> </w:t>
      </w:r>
      <w:r>
        <w:t xml:space="preserve">The Strategy Leaderboard tab on the audit dashboard computes Forward Win Rate (FWD WR%) at the strategy level only — for example,</w:t>
      </w:r>
      <w:r>
        <w:t xml:space="preserve"> </w:t>
      </w:r>
      <w:r>
        <w:t xml:space="preserve">“</w:t>
      </w:r>
      <w:r>
        <w:t xml:space="preserve">ml_group: 51.4%</w:t>
      </w:r>
      <w:r>
        <w:t xml:space="preserve">”</w:t>
      </w:r>
      <w:r>
        <w:t xml:space="preserve"> </w:t>
      </w:r>
      <w:r>
        <w:t xml:space="preserve">aggregating 1,538 trades</w:t>
      </w:r>
      <w:r>
        <w:t xml:space="preserve"> </w:t>
      </w:r>
      <w:r>
        <w:rPr>
          <w:rStyle w:val="FootnoteReference"/>
        </w:rPr>
        <w:footnoteReference w:id="279"/>
      </w:r>
      <w:r>
        <w:t xml:space="preserve">. This masks critical per-symbol and per-direction variation. The HC filter (</w:t>
      </w:r>
      <w:r>
        <w:rPr>
          <w:rStyle w:val="VerbatimChar"/>
        </w:rPr>
        <w:t xml:space="preserve">hc_filter.js</w:t>
      </w:r>
      <w:r>
        <w:t xml:space="preserve">, line 310) reads</w:t>
      </w:r>
      <w:r>
        <w:t xml:space="preserve"> </w:t>
      </w:r>
      <w:r>
        <w:rPr>
          <w:rStyle w:val="VerbatimChar"/>
        </w:rPr>
        <w:t xml:space="preserve">var fwdWr = Number(p.strat_fwd_wr || p.forward_wr || 0)</w:t>
      </w:r>
      <w:r>
        <w:t xml:space="preserve">, which resolves to a single strategy-level scalar applied uniformly to every pick bearing that strategy name, irrespective of whether the pick targets BTC-USD LONG or ETH-USD SHORT</w:t>
      </w:r>
      <w:r>
        <w:t xml:space="preserve"> </w:t>
      </w:r>
      <w:r>
        <w:rPr>
          <w:rStyle w:val="FootnoteReference"/>
        </w:rPr>
        <w:footnoteReference w:id="280"/>
      </w:r>
      <w:r>
        <w:t xml:space="preserve">. Because</w:t>
      </w:r>
      <w:r>
        <w:t xml:space="preserve"> </w:t>
      </w:r>
      <w:r>
        <w:rPr>
          <w:rStyle w:val="VerbatimChar"/>
        </w:rPr>
        <w:t xml:space="preserve">outcome_resolver.py</w:t>
      </w:r>
      <w:r>
        <w:t xml:space="preserve"> </w:t>
      </w:r>
      <w:r>
        <w:t xml:space="preserve">never computes or writes any</w:t>
      </w:r>
      <w:r>
        <w:t xml:space="preserve"> </w:t>
      </w:r>
      <w:r>
        <w:rPr>
          <w:rStyle w:val="VerbatimChar"/>
        </w:rPr>
        <w:t xml:space="preserve">forward_wr</w:t>
      </w:r>
      <w:r>
        <w:t xml:space="preserve"> </w:t>
      </w:r>
      <w:r>
        <w:t xml:space="preserve">field, the expression consistently evaluates to</w:t>
      </w:r>
      <w:r>
        <w:t xml:space="preserve"> </w:t>
      </w:r>
      <w:r>
        <w:rPr>
          <w:rStyle w:val="VerbatimChar"/>
        </w:rPr>
        <w:t xml:space="preserve">0</w:t>
      </w:r>
      <w:r>
        <w:t xml:space="preserve">, causing Gate 3 (</w:t>
      </w:r>
      <w:r>
        <w:rPr>
          <w:rStyle w:val="VerbatimChar"/>
        </w:rPr>
        <w:t xml:space="preserve">fwdN &lt; fwdMinTrades</w:t>
      </w:r>
      <w:r>
        <w:t xml:space="preserve">) to return</w:t>
      </w:r>
      <w:r>
        <w:t xml:space="preserve"> </w:t>
      </w:r>
      <w:r>
        <w:rPr>
          <w:rStyle w:val="VerbatimChar"/>
        </w:rPr>
        <w:t xml:space="preserve">false</w:t>
      </w:r>
      <w:r>
        <w:t xml:space="preserve"> </w:t>
      </w:r>
      <w:r>
        <w:t xml:space="preserve">unless the pick carries a pre-existing upstream stamp</w:t>
      </w:r>
      <w:r>
        <w:t xml:space="preserve"> </w:t>
      </w:r>
      <w:r>
        <w:rPr>
          <w:rStyle w:val="FootnoteReference"/>
        </w:rPr>
        <w:footnoteReference w:id="281"/>
      </w:r>
      <w:r>
        <w:t xml:space="preserve">.</w:t>
      </w:r>
    </w:p>
    <w:p>
      <w:pPr>
        <w:pStyle w:val="BodyText"/>
      </w:pPr>
      <w:r>
        <w:rPr>
          <w:bCs/>
          <w:b/>
        </w:rPr>
        <w:t xml:space="preserve">CRITICAL-2: elite_score gate backwards.</w:t>
      </w:r>
      <w:r>
        <w:t xml:space="preserve"> </w:t>
      </w:r>
      <w:r>
        <w:t xml:space="preserve">Correlation analysis on 253 resolved picks reveals</w:t>
      </w:r>
      <w:r>
        <w:t xml:space="preserve"> </w:t>
      </w:r>
      <w:r>
        <w:rPr>
          <w:rStyle w:val="VerbatimChar"/>
        </w:rPr>
        <w:t xml:space="preserve">elite_score</w:t>
      </w:r>
      <w:r>
        <w:t xml:space="preserve"> </w:t>
      </w:r>
      <w:r>
        <w:t xml:space="preserve">carries a</w:t>
      </w:r>
      <w:r>
        <w:t xml:space="preserve"> </w:t>
      </w:r>
      <w:r>
        <w:rPr>
          <w:bCs/>
          <w:b/>
        </w:rPr>
        <w:t xml:space="preserve">-0.1746 Pearson correlation</w:t>
      </w:r>
      <w:r>
        <w:t xml:space="preserve"> </w:t>
      </w:r>
      <w:r>
        <w:t xml:space="preserve">with actual PnL%, meaning higher (less negative) elite_score values are associated with</w:t>
      </w:r>
      <w:r>
        <w:t xml:space="preserve"> </w:t>
      </w:r>
      <w:r>
        <w:rPr>
          <w:iCs/>
          <w:i/>
        </w:rPr>
        <w:t xml:space="preserve">worse</w:t>
      </w:r>
      <w:r>
        <w:t xml:space="preserve"> </w:t>
      </w:r>
      <w:r>
        <w:t xml:space="preserve">performance</w:t>
      </w:r>
      <w:r>
        <w:t xml:space="preserve"> </w:t>
      </w:r>
      <w:r>
        <w:rPr>
          <w:rStyle w:val="FootnoteReference"/>
        </w:rPr>
        <w:footnoteReference w:id="282"/>
      </w:r>
      <w:r>
        <w:t xml:space="preserve">. The gate condition</w:t>
      </w:r>
      <w:r>
        <w:t xml:space="preserve"> </w:t>
      </w:r>
      <w:r>
        <w:rPr>
          <w:rStyle w:val="VerbatimChar"/>
        </w:rPr>
        <w:t xml:space="preserve">elite_score &lt; 30</w:t>
      </w:r>
      <w:r>
        <w:t xml:space="preserve"> </w:t>
      </w:r>
      <w:r>
        <w:t xml:space="preserve">is effectively always true because 90.7% of elite_score values are negative, with a median of -5.2 and minimum of -22.2</w:t>
      </w:r>
      <w:r>
        <w:t xml:space="preserve"> </w:t>
      </w:r>
      <w:r>
        <w:rPr>
          <w:rStyle w:val="FootnoteReference"/>
        </w:rPr>
        <w:footnoteReference w:id="283"/>
      </w:r>
      <w:r>
        <w:t xml:space="preserve">. The QUALITY_GATE blocked 113 profitable picks representing +861.23% aggregate PnL, while passing 88 losing picks totaling -746%</w:t>
      </w:r>
      <w:r>
        <w:t xml:space="preserve"> </w:t>
      </w:r>
      <w:r>
        <w:rPr>
          <w:rStyle w:val="FootnoteReference"/>
        </w:rPr>
        <w:footnoteReference w:id="284"/>
      </w:r>
      <w:r>
        <w:t xml:space="preserve">. At 44.1% accuracy, the gate underperforms a random coin flip.</w:t>
      </w:r>
    </w:p>
    <w:p>
      <w:pPr>
        <w:pStyle w:val="BodyText"/>
      </w:pPr>
      <w:r>
        <w:rPr>
          <w:bCs/>
          <w:b/>
        </w:rPr>
        <w:t xml:space="preserve">CRITICAL-3: forward_wr never produced.</w:t>
      </w:r>
      <w:r>
        <w:t xml:space="preserve"> </w:t>
      </w:r>
      <w:r>
        <w:t xml:space="preserve">A grep-across-zero search of</w:t>
      </w:r>
      <w:r>
        <w:t xml:space="preserve"> </w:t>
      </w:r>
      <w:r>
        <w:rPr>
          <w:rStyle w:val="VerbatimChar"/>
        </w:rPr>
        <w:t xml:space="preserve">outcome_resolver.py</w:t>
      </w:r>
      <w:r>
        <w:t xml:space="preserve"> </w:t>
      </w:r>
      <w:r>
        <w:t xml:space="preserve">confirms there are</w:t>
      </w:r>
      <w:r>
        <w:t xml:space="preserve"> </w:t>
      </w:r>
      <w:r>
        <w:rPr>
          <w:bCs/>
          <w:b/>
        </w:rPr>
        <w:t xml:space="preserve">zero references</w:t>
      </w:r>
      <w:r>
        <w:t xml:space="preserve"> </w:t>
      </w:r>
      <w:r>
        <w:t xml:space="preserve">to</w:t>
      </w:r>
      <w:r>
        <w:t xml:space="preserve"> </w:t>
      </w:r>
      <w:r>
        <w:rPr>
          <w:rStyle w:val="VerbatimChar"/>
        </w:rPr>
        <w:t xml:space="preserve">forward_wr</w:t>
      </w:r>
      <w:r>
        <w:t xml:space="preserve">,</w:t>
      </w:r>
      <w:r>
        <w:t xml:space="preserve"> </w:t>
      </w:r>
      <w:r>
        <w:rPr>
          <w:rStyle w:val="VerbatimChar"/>
        </w:rPr>
        <w:t xml:space="preserve">forward_trades</w:t>
      </w:r>
      <w:r>
        <w:t xml:space="preserve">,</w:t>
      </w:r>
      <w:r>
        <w:t xml:space="preserve"> </w:t>
      </w:r>
      <w:r>
        <w:rPr>
          <w:rStyle w:val="VerbatimChar"/>
        </w:rPr>
        <w:t xml:space="preserve">strat_fwd_wr</w:t>
      </w:r>
      <w:r>
        <w:t xml:space="preserve">, or</w:t>
      </w:r>
      <w:r>
        <w:t xml:space="preserve"> </w:t>
      </w:r>
      <w:r>
        <w:rPr>
          <w:rStyle w:val="VerbatimChar"/>
        </w:rPr>
        <w:t xml:space="preserve">strat_fwd_trades</w:t>
      </w:r>
      <w:r>
        <w:t xml:space="preserve"> </w:t>
      </w:r>
      <w:r>
        <w:rPr>
          <w:rStyle w:val="FootnoteReference"/>
        </w:rPr>
        <w:footnoteReference w:id="285"/>
      </w:r>
      <w:r>
        <w:t xml:space="preserve">. The resolver computes</w:t>
      </w:r>
      <w:r>
        <w:t xml:space="preserve"> </w:t>
      </w:r>
      <w:r>
        <w:rPr>
          <w:rStyle w:val="VerbatimChar"/>
        </w:rPr>
        <w:t xml:space="preserve">pnl_pct</w:t>
      </w:r>
      <w:r>
        <w:t xml:space="preserve">,</w:t>
      </w:r>
      <w:r>
        <w:t xml:space="preserve"> </w:t>
      </w:r>
      <w:r>
        <w:rPr>
          <w:rStyle w:val="VerbatimChar"/>
        </w:rPr>
        <w:t xml:space="preserve">status</w:t>
      </w:r>
      <w:r>
        <w:t xml:space="preserve">, and</w:t>
      </w:r>
      <w:r>
        <w:t xml:space="preserve"> </w:t>
      </w:r>
      <w:r>
        <w:rPr>
          <w:rStyle w:val="VerbatimChar"/>
        </w:rPr>
        <w:t xml:space="preserve">exit_price</w:t>
      </w:r>
      <w:r>
        <w:t xml:space="preserve"> </w:t>
      </w:r>
      <w:r>
        <w:t xml:space="preserve">for each pick, but never aggregates resolved outcomes into per-strategy, per-symbol, or per-direction track records. Consequently, the HC filter’s forward-data gates operate on permanently zeroed inputs, rendering them inoperative.</w:t>
      </w:r>
    </w:p>
    <w:p>
      <w:pPr>
        <w:pStyle w:val="BodyText"/>
      </w:pPr>
      <w:r>
        <w:rPr>
          <w:bCs/>
          <w:b/>
        </w:rPr>
        <w:t xml:space="preserve">CRITICAL-4: 31.8% resolution failure rate.</w:t>
      </w:r>
      <w:r>
        <w:t xml:space="preserve"> </w:t>
      </w:r>
      <w:r>
        <w:t xml:space="preserve">Of 500 shadow-blocked picks, 159 (31.8%) carry</w:t>
      </w:r>
      <w:r>
        <w:t xml:space="preserve"> </w:t>
      </w:r>
      <w:r>
        <w:rPr>
          <w:rStyle w:val="VerbatimChar"/>
        </w:rPr>
        <w:t xml:space="preserve">status=null</w:t>
      </w:r>
      <w:r>
        <w:t xml:space="preserve"> </w:t>
      </w:r>
      <w:r>
        <w:t xml:space="preserve">and</w:t>
      </w:r>
      <w:r>
        <w:t xml:space="preserve"> </w:t>
      </w:r>
      <w:r>
        <w:rPr>
          <w:rStyle w:val="VerbatimChar"/>
        </w:rPr>
        <w:t xml:space="preserve">outcome=null</w:t>
      </w:r>
      <w:r>
        <w:t xml:space="preserve">, indicating they were never resolved to a terminal state</w:t>
      </w:r>
      <w:r>
        <w:t xml:space="preserve"> </w:t>
      </w:r>
      <w:r>
        <w:rPr>
          <w:rStyle w:val="FootnoteReference"/>
        </w:rPr>
        <w:footnoteReference w:id="286"/>
      </w:r>
      <w:r>
        <w:t xml:space="preserve">. The root cause is price-fetch failure: 88 FOREX and COMMODITY picks cannot be priced through yfinance (22% unavailability rate for FOREX), and the</w:t>
      </w:r>
      <w:r>
        <w:t xml:space="preserve"> </w:t>
      </w:r>
      <w:r>
        <w:rPr>
          <w:rStyle w:val="VerbatimChar"/>
        </w:rPr>
        <w:t xml:space="preserve">MAX_RESOLVE_RETRIES=3</w:t>
      </w:r>
      <w:r>
        <w:t xml:space="preserve"> </w:t>
      </w:r>
      <w:r>
        <w:t xml:space="preserve">mechanism does not force closure when retries exhaust</w:t>
      </w:r>
      <w:r>
        <w:t xml:space="preserve"> </w:t>
      </w:r>
      <w:r>
        <w:rPr>
          <w:rStyle w:val="FootnoteReference"/>
        </w:rPr>
        <w:footnoteReference w:id="287"/>
      </w:r>
      <w:r>
        <w:t xml:space="preserve">. These</w:t>
      </w:r>
      <w:r>
        <w:t xml:space="preserve"> </w:t>
      </w:r>
      <w:r>
        <w:t xml:space="preserve">“</w:t>
      </w:r>
      <w:r>
        <w:t xml:space="preserve">ghost picks</w:t>
      </w:r>
      <w:r>
        <w:t xml:space="preserve">”</w:t>
      </w:r>
      <w:r>
        <w:t xml:space="preserve"> </w:t>
      </w:r>
      <w:r>
        <w:t xml:space="preserve">remain in limbo, inflating denominators and corrupting WR calculations.</w:t>
      </w:r>
    </w:p>
    <w:p>
      <w:pPr>
        <w:pStyle w:val="BodyText"/>
      </w:pPr>
      <w:r>
        <w:rPr>
          <w:bCs/>
          <w:b/>
        </w:rPr>
        <w:t xml:space="preserve">CRITICAL-5: 82 floating-point precision errors.</w:t>
      </w:r>
      <w:r>
        <w:t xml:space="preserve"> </w:t>
      </w:r>
      <w:r>
        <w:t xml:space="preserve">Elite_score values stored in</w:t>
      </w:r>
      <w:r>
        <w:t xml:space="preserve"> </w:t>
      </w:r>
      <w:r>
        <w:rPr>
          <w:rStyle w:val="VerbatimChar"/>
        </w:rPr>
        <w:t xml:space="preserve">shadow_blocked.json</w:t>
      </w:r>
      <w:r>
        <w:t xml:space="preserve"> </w:t>
      </w:r>
      <w:r>
        <w:t xml:space="preserve">exhibit IEEE-754 representation artifacts:</w:t>
      </w:r>
      <w:r>
        <w:t xml:space="preserve"> </w:t>
      </w:r>
      <w:r>
        <w:rPr>
          <w:rStyle w:val="VerbatimChar"/>
        </w:rPr>
        <w:t xml:space="preserve">-5.199999999999999</w:t>
      </w:r>
      <w:r>
        <w:t xml:space="preserve"> </w:t>
      </w:r>
      <w:r>
        <w:t xml:space="preserve">instead of</w:t>
      </w:r>
      <w:r>
        <w:t xml:space="preserve"> </w:t>
      </w:r>
      <w:r>
        <w:rPr>
          <w:rStyle w:val="VerbatimChar"/>
        </w:rPr>
        <w:t xml:space="preserve">-5.2</w:t>
      </w:r>
      <w:r>
        <w:t xml:space="preserve">,</w:t>
      </w:r>
      <w:r>
        <w:t xml:space="preserve"> </w:t>
      </w:r>
      <w:r>
        <w:rPr>
          <w:rStyle w:val="VerbatimChar"/>
        </w:rPr>
        <w:t xml:space="preserve">-1.2000000000000002</w:t>
      </w:r>
      <w:r>
        <w:t xml:space="preserve"> </w:t>
      </w:r>
      <w:r>
        <w:t xml:space="preserve">instead of</w:t>
      </w:r>
      <w:r>
        <w:t xml:space="preserve"> </w:t>
      </w:r>
      <w:r>
        <w:rPr>
          <w:rStyle w:val="VerbatimChar"/>
        </w:rPr>
        <w:t xml:space="preserve">-1.2</w:t>
      </w:r>
      <w:r>
        <w:t xml:space="preserve"> </w:t>
      </w:r>
      <w:r>
        <w:rPr>
          <w:rStyle w:val="FootnoteReference"/>
        </w:rPr>
        <w:footnoteReference w:id="288"/>
      </w:r>
      <w:r>
        <w:t xml:space="preserve">. While the current threshold (</w:t>
      </w:r>
      <w:r>
        <w:rPr>
          <w:rStyle w:val="VerbatimChar"/>
        </w:rPr>
        <w:t xml:space="preserve">&lt; 30</w:t>
      </w:r>
      <w:r>
        <w:t xml:space="preserve">) is not sensitive to these epsilon-level deviations, any future decimal threshold (e.g.,</w:t>
      </w:r>
      <w:r>
        <w:t xml:space="preserve"> </w:t>
      </w:r>
      <w:r>
        <w:rPr>
          <w:rStyle w:val="VerbatimChar"/>
        </w:rPr>
        <w:t xml:space="preserve">&gt;= 5.2</w:t>
      </w:r>
      <w:r>
        <w:t xml:space="preserve">) would produce incorrect pass/fail decisions. The fix —</w:t>
      </w:r>
      <w:r>
        <w:t xml:space="preserve"> </w:t>
      </w:r>
      <w:r>
        <w:rPr>
          <w:rStyle w:val="VerbatimChar"/>
        </w:rPr>
        <w:t xml:space="preserve">elite_score = round(elite_score, 2)</w:t>
      </w:r>
      <w:r>
        <w:t xml:space="preserve"> </w:t>
      </w:r>
      <w:r>
        <w:t xml:space="preserve">— is trivial but unimplemented.</w:t>
      </w:r>
    </w:p>
    <w:bookmarkEnd w:id="289"/>
    <w:bookmarkStart w:id="297" w:name="pipeline-data-loss-map"/>
    <w:p>
      <w:pPr>
        <w:pStyle w:val="Heading3"/>
      </w:pPr>
      <w:r>
        <w:t xml:space="preserve">6.2 Pipeline Data Loss Map</w:t>
      </w:r>
    </w:p>
    <w:p>
      <w:pPr>
        <w:pStyle w:val="FirstParagraph"/>
      </w:pPr>
      <w:r>
        <w:t xml:space="preserve">The trading signal pipeline spans six logical stages from emission to dashboard rendering. Data loss occurs at every handoff, with cumulative effect transforming 120+ source systems into a dashboard that displays metrics at the wrong granularity on a fraction of the actual data. Figure 6.2 presents the pipeline as a Mermaid flow diagram with annotated loss points.</w:t>
      </w:r>
    </w:p>
    <w:p>
      <w:pPr>
        <w:pStyle w:val="SourceCode"/>
      </w:pPr>
      <w:r>
        <w:rPr>
          <w:rStyle w:val="VerbatimChar"/>
        </w:rPr>
        <w:t xml:space="preserve">flowchart TD</w:t>
      </w:r>
      <w:r>
        <w:br/>
      </w:r>
      <w:r>
        <w:rPr>
          <w:rStyle w:val="VerbatimChar"/>
        </w:rPr>
        <w:t xml:space="preserve">    A["Source Systems&lt;br/&gt;(120+ systems emitting picks)"] --&gt;|"picks with entry_price, symbol,&lt;br/&gt;direction, strategy, ml_score"| B["outcome_resolver.py"]</w:t>
      </w:r>
      <w:r>
        <w:br/>
      </w:r>
      <w:r>
        <w:rPr>
          <w:rStyle w:val="VerbatimChar"/>
        </w:rPr>
        <w:t xml:space="preserve">    B --&gt;|"LOSS: forward_wr never computed"| C["resolved_picks.json"]</w:t>
      </w:r>
      <w:r>
        <w:br/>
      </w:r>
      <w:r>
        <w:rPr>
          <w:rStyle w:val="VerbatimChar"/>
        </w:rPr>
        <w:t xml:space="preserve">    B --&gt;|"LOSS: asset_class inferred from&lt;br/&gt;symbol suffix, not persisted"| C</w:t>
      </w:r>
      <w:r>
        <w:br/>
      </w:r>
      <w:r>
        <w:rPr>
          <w:rStyle w:val="VerbatimChar"/>
        </w:rPr>
        <w:t xml:space="preserve">    B --&gt;|"LOSS: 31.8% of picks never resolve&lt;br/&gt;(price fetch failures)"| D["unresolved_ghost_picks"]</w:t>
      </w:r>
      <w:r>
        <w:br/>
      </w:r>
      <w:r>
        <w:rPr>
          <w:rStyle w:val="VerbatimChar"/>
        </w:rPr>
        <w:t xml:space="preserve">    C --&gt;|"exit_price, pnl_pct, status&lt;br/&gt;(no track data)"| E["hc_filter.js"]</w:t>
      </w:r>
      <w:r>
        <w:br/>
      </w:r>
      <w:r>
        <w:rPr>
          <w:rStyle w:val="VerbatimChar"/>
        </w:rPr>
        <w:t xml:space="preserve">    E --&gt;|"READS: p.strat_fwd_wr \|\| p.forward_wr \|\| 0&lt;br/&gt;(ALWAYS 0 — not written by resolver)"| F</w:t>
      </w:r>
      <w:r>
        <w:br/>
      </w:r>
      <w:r>
        <w:rPr>
          <w:rStyle w:val="VerbatimChar"/>
        </w:rPr>
        <w:t xml:space="preserve">    E --&gt;|"Gate 3: fwdN &lt; fwdMinTrades → false"| F["Blocked picks&lt;br/&gt;(fail HC gate)"]</w:t>
      </w:r>
      <w:r>
        <w:br/>
      </w:r>
      <w:r>
        <w:rPr>
          <w:rStyle w:val="VerbatimChar"/>
        </w:rPr>
        <w:t xml:space="preserve">    F --&gt;|"only gate_name stored;&lt;br/&gt;individual pass/fail not recorded"| G["hedge_fund_quality_gate.py"]</w:t>
      </w:r>
      <w:r>
        <w:br/>
      </w:r>
      <w:r>
        <w:rPr>
          <w:rStyle w:val="VerbatimChar"/>
        </w:rPr>
        <w:t xml:space="preserve">    G --&gt;|"elite_score &lt; 30&lt;br/&gt;(90.7% true, blocks winners)"| H["shadow_blocked.json&lt;br/&gt;(500 records)"]</w:t>
      </w:r>
      <w:r>
        <w:br/>
      </w:r>
      <w:r>
        <w:rPr>
          <w:rStyle w:val="VerbatimChar"/>
        </w:rPr>
        <w:t xml:space="preserve">    H --&gt;|"MISSING: outcome for 31.8%&lt;br/&gt;MISSING: forward_wr for 100%&lt;br/&gt;MISSING: trust_score for 100%"| I["dashboard_payload.json"]</w:t>
      </w:r>
      <w:r>
        <w:br/>
      </w:r>
      <w:r>
        <w:rPr>
          <w:rStyle w:val="VerbatimChar"/>
        </w:rPr>
        <w:t xml:space="preserve">    I --&gt;|"FWD WR aggregated at&lt;br/&gt;strategy level only"| J["Dashboard&lt;br/&gt;(findtorontoevents.ca/audit)"]</w:t>
      </w:r>
      <w:r>
        <w:br/>
      </w:r>
      <w:r>
        <w:rPr>
          <w:rStyle w:val="VerbatimChar"/>
        </w:rPr>
        <w:t xml:space="preserve">    J --&gt;|"Strategy Leaderboard shows&lt;br/&gt;strategy-level FWD WR only&lt;br/&gt;No per-symbol-direction drill-down"| K["User sees:&lt;br/&gt;ml_group: 51.4% FWD WR"]</w:t>
      </w:r>
      <w:r>
        <w:br/>
      </w:r>
      <w:r>
        <w:br/>
      </w:r>
      <w:r>
        <w:rPr>
          <w:rStyle w:val="VerbatimChar"/>
        </w:rPr>
        <w:t xml:space="preserve">    style A fill:#7B6D8D,stroke:#584A6E,color:#fff</w:t>
      </w:r>
      <w:r>
        <w:br/>
      </w:r>
      <w:r>
        <w:rPr>
          <w:rStyle w:val="VerbatimChar"/>
        </w:rPr>
        <w:t xml:space="preserve">    style D fill:#B8A9C9,stroke:#584A6E,color:#333</w:t>
      </w:r>
      <w:r>
        <w:br/>
      </w:r>
      <w:r>
        <w:rPr>
          <w:rStyle w:val="VerbatimChar"/>
        </w:rPr>
        <w:t xml:space="preserve">    style F fill:#B8A9C9,stroke:#584A6E,color:#333</w:t>
      </w:r>
      <w:r>
        <w:br/>
      </w:r>
      <w:r>
        <w:rPr>
          <w:rStyle w:val="VerbatimChar"/>
        </w:rPr>
        <w:t xml:space="preserve">    style K fill:#9B8EA8,stroke:#584A6E,color:#333</w:t>
      </w:r>
    </w:p>
    <w:p>
      <w:pPr>
        <w:pStyle w:val="FirstParagraph"/>
      </w:pPr>
      <w:r>
        <w:rPr>
          <w:iCs/>
          <w:i/>
        </w:rPr>
        <w:t xml:space="preserve">Figure 6.2: Pipeline data loss map showing six logical stages from source emission to dashboard rendering, with annotated loss points at each handoff. The cumulative effect is that forward win rate data is never produced, never persisted, and never displayed at the required strategy-symbol-direction granularity. Source: code review of outcome_resolver.py, hc_filter.js, hedge_fund_quality_gate.py; shadow_blocked.json (n=500).</w:t>
      </w:r>
    </w:p>
    <w:p>
      <w:pPr>
        <w:pStyle w:val="BodyText"/>
      </w:pPr>
      <w:r>
        <w:t xml:space="preserve">The five primary loss points in the pipeline are:</w:t>
      </w:r>
    </w:p>
    <w:p>
      <w:pPr>
        <w:numPr>
          <w:ilvl w:val="0"/>
          <w:numId w:val="1001"/>
        </w:numPr>
      </w:pPr>
      <w:r>
        <w:rPr>
          <w:bCs/>
          <w:b/>
        </w:rPr>
        <w:t xml:space="preserve">Track calculator absent.</w:t>
      </w:r>
      <w:r>
        <w:t xml:space="preserve"> </w:t>
      </w:r>
      <w:r>
        <w:t xml:space="preserve">No module computes</w:t>
      </w:r>
      <w:r>
        <w:t xml:space="preserve"> </w:t>
      </w:r>
      <w:r>
        <w:rPr>
          <w:rStyle w:val="VerbatimChar"/>
        </w:rPr>
        <w:t xml:space="preserve">strategy:symbol:direction</w:t>
      </w:r>
      <w:r>
        <w:t xml:space="preserve"> </w:t>
      </w:r>
      <w:r>
        <w:t xml:space="preserve">win rates from closed picks. The resolver resolves individual picks but never aggregates them into track records. This is the root cause of the forward_wr void — not a bug in an existing module, but a missing module entirely.</w:t>
      </w:r>
    </w:p>
    <w:p>
      <w:pPr>
        <w:numPr>
          <w:ilvl w:val="0"/>
          <w:numId w:val="1001"/>
        </w:numPr>
      </w:pPr>
      <w:r>
        <w:rPr>
          <w:bCs/>
          <w:b/>
        </w:rPr>
        <w:t xml:space="preserve">Asset class inference, not persistence.</w:t>
      </w:r>
      <w:r>
        <w:t xml:space="preserve"> </w:t>
      </w:r>
      <w:r>
        <w:t xml:space="preserve">The resolver’s</w:t>
      </w:r>
      <w:r>
        <w:t xml:space="preserve"> </w:t>
      </w:r>
      <w:r>
        <w:rPr>
          <w:rStyle w:val="VerbatimChar"/>
        </w:rPr>
        <w:t xml:space="preserve">_resolve_asset_class()</w:t>
      </w:r>
      <w:r>
        <w:t xml:space="preserve"> </w:t>
      </w:r>
      <w:r>
        <w:t xml:space="preserve">function (lines 552-573) infers asset class from symbol suffixes (</w:t>
      </w:r>
      <w:r>
        <w:rPr>
          <w:rStyle w:val="VerbatimChar"/>
        </w:rPr>
        <w:t xml:space="preserve">=X</w:t>
      </w:r>
      <w:r>
        <w:t xml:space="preserve"> </w:t>
      </w:r>
      <w:r>
        <w:t xml:space="preserve">→ FOREX,</w:t>
      </w:r>
      <w:r>
        <w:t xml:space="preserve"> </w:t>
      </w:r>
      <w:r>
        <w:rPr>
          <w:rStyle w:val="VerbatimChar"/>
        </w:rPr>
        <w:t xml:space="preserve">=F</w:t>
      </w:r>
      <w:r>
        <w:t xml:space="preserve"> </w:t>
      </w:r>
      <w:r>
        <w:t xml:space="preserve">→ COMMODITY) or falls back to</w:t>
      </w:r>
      <w:r>
        <w:t xml:space="preserve"> </w:t>
      </w:r>
      <w:r>
        <w:rPr>
          <w:rStyle w:val="VerbatimChar"/>
        </w:rPr>
        <w:t xml:space="preserve">_is_non_crypto()</w:t>
      </w:r>
      <w:r>
        <w:t xml:space="preserve"> </w:t>
      </w:r>
      <w:r>
        <w:t xml:space="preserve">heuristics</w:t>
      </w:r>
      <w:r>
        <w:t xml:space="preserve"> </w:t>
      </w:r>
      <w:r>
        <w:rPr>
          <w:rStyle w:val="FootnoteReference"/>
        </w:rPr>
        <w:footnoteReference w:id="290"/>
      </w:r>
      <w:r>
        <w:t xml:space="preserve">. The inferred class is written to</w:t>
      </w:r>
      <w:r>
        <w:t xml:space="preserve"> </w:t>
      </w:r>
      <w:r>
        <w:rPr>
          <w:rStyle w:val="VerbatimChar"/>
        </w:rPr>
        <w:t xml:space="preserve">_resolved_asset_class</w:t>
      </w:r>
      <w:r>
        <w:t xml:space="preserve"> </w:t>
      </w:r>
      <w:r>
        <w:t xml:space="preserve">and</w:t>
      </w:r>
      <w:r>
        <w:t xml:space="preserve"> </w:t>
      </w:r>
      <w:r>
        <w:rPr>
          <w:rStyle w:val="VerbatimChar"/>
        </w:rPr>
        <w:t xml:space="preserve">asset_class</w:t>
      </w:r>
      <w:r>
        <w:t xml:space="preserve"> </w:t>
      </w:r>
      <w:r>
        <w:t xml:space="preserve">fields on resolved picks, but the</w:t>
      </w:r>
      <w:r>
        <w:t xml:space="preserve"> </w:t>
      </w:r>
      <w:r>
        <w:rPr>
          <w:iCs/>
          <w:i/>
        </w:rPr>
        <w:t xml:space="preserve">inference source</w:t>
      </w:r>
      <w:r>
        <w:t xml:space="preserve"> </w:t>
      </w:r>
      <w:r>
        <w:t xml:space="preserve">(pick field, symbol suffix, or default fallback) is not recorded. When ETF symbols like GLD and USO are misclassified as EQUITY, there is no audit trail to detect or correct the error</w:t>
      </w:r>
      <w:r>
        <w:t xml:space="preserve"> </w:t>
      </w:r>
      <w:r>
        <w:rPr>
          <w:rStyle w:val="FootnoteReference"/>
        </w:rPr>
        <w:footnoteReference w:id="291"/>
      </w:r>
      <w:r>
        <w:t xml:space="preserve">.</w:t>
      </w:r>
    </w:p>
    <w:p>
      <w:pPr>
        <w:numPr>
          <w:ilvl w:val="0"/>
          <w:numId w:val="1001"/>
        </w:numPr>
      </w:pPr>
      <w:r>
        <w:rPr>
          <w:bCs/>
          <w:b/>
        </w:rPr>
        <w:t xml:space="preserve">Gate outcomes not recorded.</w:t>
      </w:r>
      <w:r>
        <w:t xml:space="preserve"> </w:t>
      </w:r>
      <w:r>
        <w:t xml:space="preserve">The HC filter evaluates nine gates (score floor, trust tier, forward trades minimum, forward WR floor, per-asset-class score floor, trust score floor, confidence bands, regime blocks, independent consensus) but only stores the final boolean result</w:t>
      </w:r>
      <w:r>
        <w:t xml:space="preserve"> </w:t>
      </w:r>
      <w:r>
        <w:rPr>
          <w:rStyle w:val="FootnoteReference"/>
        </w:rPr>
        <w:footnoteReference w:id="292"/>
      </w:r>
      <w:r>
        <w:t xml:space="preserve">. Which gates passed and which failed for each blocked pick is lost. Post-hoc analysis cannot determine whether a pick was blocked due to low forward WR, low score, or regime mismatch.</w:t>
      </w:r>
    </w:p>
    <w:p>
      <w:pPr>
        <w:numPr>
          <w:ilvl w:val="0"/>
          <w:numId w:val="1001"/>
        </w:numPr>
      </w:pPr>
      <w:r>
        <w:rPr>
          <w:bCs/>
          <w:b/>
        </w:rPr>
        <w:t xml:space="preserve">Direction normalization without provenance.</w:t>
      </w:r>
      <w:r>
        <w:t xml:space="preserve"> </w:t>
      </w:r>
      <w:r>
        <w:t xml:space="preserve">The resolver’s</w:t>
      </w:r>
      <w:r>
        <w:t xml:space="preserve"> </w:t>
      </w:r>
      <w:r>
        <w:rPr>
          <w:rStyle w:val="VerbatimChar"/>
        </w:rPr>
        <w:t xml:space="preserve">_infer_direction()</w:t>
      </w:r>
      <w:r>
        <w:t xml:space="preserve"> </w:t>
      </w:r>
      <w:r>
        <w:t xml:space="preserve">(lines 576-590) collapses BUY→LONG and SELL→SHORT, and even infers direction from TP versus entry price when the field is missing</w:t>
      </w:r>
      <w:r>
        <w:t xml:space="preserve"> </w:t>
      </w:r>
      <w:r>
        <w:rPr>
          <w:rStyle w:val="FootnoteReference"/>
        </w:rPr>
        <w:footnoteReference w:id="293"/>
      </w:r>
      <w:r>
        <w:t xml:space="preserve">. This inference is not flagged in the output; downstream consumers cannot distinguish explicit directions from inferred ones. When TP/entry inference fails (e.g., exotic option structures), the default fallback is</w:t>
      </w:r>
      <w:r>
        <w:t xml:space="preserve"> </w:t>
      </w:r>
      <w:r>
        <w:rPr>
          <w:rStyle w:val="VerbatimChar"/>
        </w:rPr>
        <w:t xml:space="preserve">LONG</w:t>
      </w:r>
      <w:r>
        <w:t xml:space="preserve"> </w:t>
      </w:r>
      <w:r>
        <w:t xml:space="preserve">— a potentially dangerous assumption</w:t>
      </w:r>
      <w:r>
        <w:t xml:space="preserve"> </w:t>
      </w:r>
      <w:r>
        <w:rPr>
          <w:rStyle w:val="FootnoteReference"/>
        </w:rPr>
        <w:footnoteReference w:id="294"/>
      </w:r>
      <w:r>
        <w:t xml:space="preserve">.</w:t>
      </w:r>
    </w:p>
    <w:p>
      <w:pPr>
        <w:numPr>
          <w:ilvl w:val="0"/>
          <w:numId w:val="1001"/>
        </w:numPr>
      </w:pPr>
      <w:r>
        <w:rPr>
          <w:bCs/>
          <w:b/>
        </w:rPr>
        <w:t xml:space="preserve">Price fetch failures for non-crypto assets.</w:t>
      </w:r>
      <w:r>
        <w:t xml:space="preserve"> </w:t>
      </w:r>
      <w:r>
        <w:t xml:space="preserve">Crypto prices resolve through a multi-provider failover chain (Binance → Bybit → CoinGecko → KuCoin), but FOREX, EQUITY, and COMMODITY prices depend solely on yfinance</w:t>
      </w:r>
      <w:r>
        <w:t xml:space="preserve"> </w:t>
      </w:r>
      <w:r>
        <w:rPr>
          <w:rStyle w:val="FootnoteReference"/>
        </w:rPr>
        <w:footnoteReference w:id="295"/>
      </w:r>
      <w:r>
        <w:t xml:space="preserve">. When yfinance is unavailable (22% rate for FOREX), the resolver retries up to</w:t>
      </w:r>
      <w:r>
        <w:t xml:space="preserve"> </w:t>
      </w:r>
      <w:r>
        <w:rPr>
          <w:rStyle w:val="VerbatimChar"/>
        </w:rPr>
        <w:t xml:space="preserve">MAX_RESOLVE_RETRIES=3</w:t>
      </w:r>
      <w:r>
        <w:t xml:space="preserve"> </w:t>
      </w:r>
      <w:r>
        <w:t xml:space="preserve">and then falls back to breakeven (</w:t>
      </w:r>
      <w:r>
        <w:rPr>
          <w:rStyle w:val="VerbatimChar"/>
        </w:rPr>
        <w:t xml:space="preserve">exit_price = entry</w:t>
      </w:r>
      <w:r>
        <w:t xml:space="preserve">,</w:t>
      </w:r>
      <w:r>
        <w:t xml:space="preserve"> </w:t>
      </w:r>
      <w:r>
        <w:rPr>
          <w:rStyle w:val="VerbatimChar"/>
        </w:rPr>
        <w:t xml:space="preserve">pnl_pct = 0</w:t>
      </w:r>
      <w:r>
        <w:t xml:space="preserve">,</w:t>
      </w:r>
      <w:r>
        <w:t xml:space="preserve"> </w:t>
      </w:r>
      <w:r>
        <w:rPr>
          <w:rStyle w:val="VerbatimChar"/>
        </w:rPr>
        <w:t xml:space="preserve">status = FLAT</w:t>
      </w:r>
      <w:r>
        <w:t xml:space="preserve">)</w:t>
      </w:r>
      <w:r>
        <w:t xml:space="preserve"> </w:t>
      </w:r>
      <w:r>
        <w:rPr>
          <w:rStyle w:val="FootnoteReference"/>
        </w:rPr>
        <w:footnoteReference w:id="296"/>
      </w:r>
      <w:r>
        <w:t xml:space="preserve">. While this prevents infinite loops, it labels genuine outcomes as FLAT, biasing WR statistics upward.</w:t>
      </w:r>
    </w:p>
    <w:bookmarkEnd w:id="297"/>
    <w:bookmarkStart w:id="299" w:name="the-trk-vs-fwd-wr-problem"/>
    <w:p>
      <w:pPr>
        <w:pStyle w:val="Heading3"/>
      </w:pPr>
      <w:r>
        <w:t xml:space="preserve">6.3 The TRK% vs FWD WR% Problem</w:t>
      </w:r>
    </w:p>
    <w:p>
      <w:pPr>
        <w:pStyle w:val="FirstParagraph"/>
      </w:pPr>
      <w:r>
        <w:t xml:space="preserve">The most financially consequential finding of this audit is the granularity mismatch between how forward win rate is calculated and how it is consumed. Table 6.2 presents the detailed evidence.</w:t>
      </w:r>
    </w:p>
    <w:tbl>
      <w:tblPr>
        <w:tblStyle w:val="Table"/>
        <w:tblW w:type="pct" w:w="5000"/>
        <w:tblLook w:firstRow="1" w:lastRow="0" w:firstColumn="0" w:lastColumn="0" w:noHBand="0" w:noVBand="0" w:val="0020"/>
      </w:tblPr>
      <w:tblGrid>
        <w:gridCol w:w="1340"/>
        <w:gridCol w:w="2071"/>
        <w:gridCol w:w="2315"/>
        <w:gridCol w:w="2193"/>
      </w:tblGrid>
      <w:tr>
        <w:trPr>
          <w:tblHeader w:val="true"/>
        </w:trPr>
        <w:tc>
          <w:tcPr/>
          <w:p>
            <w:pPr>
              <w:pStyle w:val="Compact"/>
              <w:jc w:val="left"/>
            </w:pPr>
            <w:r>
              <w:t xml:space="preserve">Dimension</w:t>
            </w:r>
          </w:p>
        </w:tc>
        <w:tc>
          <w:tcPr/>
          <w:p>
            <w:pPr>
              <w:pStyle w:val="Compact"/>
              <w:jc w:val="center"/>
            </w:pPr>
            <w:r>
              <w:t xml:space="preserve">Current Behavior</w:t>
            </w:r>
          </w:p>
        </w:tc>
        <w:tc>
          <w:tcPr/>
          <w:p>
            <w:pPr>
              <w:pStyle w:val="Compact"/>
              <w:jc w:val="center"/>
            </w:pPr>
            <w:r>
              <w:t xml:space="preserve">Required Behavior</w:t>
            </w:r>
          </w:p>
        </w:tc>
        <w:tc>
          <w:tcPr/>
          <w:p>
            <w:pPr>
              <w:pStyle w:val="Compact"/>
              <w:jc w:val="left"/>
            </w:pPr>
            <w:r>
              <w:t xml:space="preserve">Financial Impact</w:t>
            </w:r>
          </w:p>
        </w:tc>
      </w:tr>
      <w:tr>
        <w:tc>
          <w:tcPr/>
          <w:p>
            <w:pPr>
              <w:pStyle w:val="Compact"/>
              <w:jc w:val="left"/>
            </w:pPr>
            <w:r>
              <w:rPr>
                <w:bCs/>
                <w:b/>
              </w:rPr>
              <w:t xml:space="preserve">Aggregation level</w:t>
            </w:r>
          </w:p>
        </w:tc>
        <w:tc>
          <w:tcPr/>
          <w:p>
            <w:pPr>
              <w:pStyle w:val="Compact"/>
              <w:jc w:val="center"/>
            </w:pPr>
            <w:r>
              <w:t xml:space="preserve">Strategy only (e.g.,</w:t>
            </w:r>
            <w:r>
              <w:t xml:space="preserve"> </w:t>
            </w:r>
            <w:r>
              <w:t xml:space="preserve">“</w:t>
            </w:r>
            <w:r>
              <w:t xml:space="preserve">ml_group</w:t>
            </w:r>
            <w:r>
              <w:t xml:space="preserve">”</w:t>
            </w:r>
            <w:r>
              <w:t xml:space="preserve">)</w:t>
            </w:r>
          </w:p>
        </w:tc>
        <w:tc>
          <w:tcPr/>
          <w:p>
            <w:pPr>
              <w:pStyle w:val="Compact"/>
              <w:jc w:val="center"/>
            </w:pPr>
            <w:r>
              <w:t xml:space="preserve">Strategy → Symbol → Direction tuple</w:t>
            </w:r>
          </w:p>
        </w:tc>
        <w:tc>
          <w:tcPr/>
          <w:p>
            <w:pPr>
              <w:pStyle w:val="Compact"/>
              <w:jc w:val="left"/>
            </w:pPr>
            <w:r>
              <w:t xml:space="preserve">LONG and SHORT for same symbol averaged together, masking 26pp WR differences</w:t>
            </w:r>
          </w:p>
        </w:tc>
      </w:tr>
      <w:tr>
        <w:tc>
          <w:tcPr/>
          <w:p>
            <w:pPr>
              <w:pStyle w:val="Compact"/>
              <w:jc w:val="left"/>
            </w:pPr>
            <w:r>
              <w:rPr>
                <w:bCs/>
                <w:b/>
              </w:rPr>
              <w:t xml:space="preserve">Field consumed</w:t>
            </w:r>
          </w:p>
        </w:tc>
        <w:tc>
          <w:tcPr/>
          <w:p>
            <w:pPr>
              <w:pStyle w:val="Compact"/>
              <w:jc w:val="center"/>
            </w:pPr>
            <w:r>
              <w:rPr>
                <w:rStyle w:val="VerbatimChar"/>
              </w:rPr>
              <w:t xml:space="preserve">p.strat_fwd_wr</w:t>
            </w:r>
            <w:r>
              <w:t xml:space="preserve"> </w:t>
            </w:r>
            <w:r>
              <w:t xml:space="preserve">(strategy-level scalar)</w:t>
            </w:r>
          </w:p>
        </w:tc>
        <w:tc>
          <w:tcPr/>
          <w:p>
            <w:pPr>
              <w:pStyle w:val="Compact"/>
              <w:jc w:val="center"/>
            </w:pPr>
            <w:r>
              <w:rPr>
                <w:rStyle w:val="VerbatimChar"/>
              </w:rPr>
              <w:t xml:space="preserve">p.track_wr</w:t>
            </w:r>
            <w:r>
              <w:t xml:space="preserve"> </w:t>
            </w:r>
            <w:r>
              <w:t xml:space="preserve">(per-tuple win rate)</w:t>
            </w:r>
          </w:p>
        </w:tc>
        <w:tc>
          <w:tcPr/>
          <w:p>
            <w:pPr>
              <w:pStyle w:val="Compact"/>
              <w:jc w:val="left"/>
            </w:pPr>
            <w:r>
              <w:t xml:space="preserve">All picks for a strategy share one WR value regardless of symbol or direction</w:t>
            </w:r>
          </w:p>
        </w:tc>
      </w:tr>
      <w:tr>
        <w:tc>
          <w:tcPr/>
          <w:p>
            <w:pPr>
              <w:pStyle w:val="Compact"/>
              <w:jc w:val="left"/>
            </w:pPr>
            <w:r>
              <w:rPr>
                <w:bCs/>
                <w:b/>
              </w:rPr>
              <w:t xml:space="preserve">Field produced by</w:t>
            </w:r>
          </w:p>
        </w:tc>
        <w:tc>
          <w:tcPr/>
          <w:p>
            <w:pPr>
              <w:pStyle w:val="Compact"/>
              <w:jc w:val="center"/>
            </w:pPr>
            <w:r>
              <w:t xml:space="preserve">Never produced; always 0</w:t>
            </w:r>
          </w:p>
        </w:tc>
        <w:tc>
          <w:tcPr/>
          <w:p>
            <w:pPr>
              <w:pStyle w:val="Compact"/>
              <w:jc w:val="center"/>
            </w:pPr>
            <w:r>
              <w:rPr>
                <w:rStyle w:val="VerbatimChar"/>
              </w:rPr>
              <w:t xml:space="preserve">track_calculator.py</w:t>
            </w:r>
            <w:r>
              <w:t xml:space="preserve"> </w:t>
            </w:r>
            <w:r>
              <w:t xml:space="preserve">(new module)</w:t>
            </w:r>
          </w:p>
        </w:tc>
        <w:tc>
          <w:tcPr/>
          <w:p>
            <w:pPr>
              <w:pStyle w:val="Compact"/>
              <w:jc w:val="left"/>
            </w:pPr>
            <w:r>
              <w:t xml:space="preserve">HC filter Gate 3 always fails picks without upstream stamp; forward data gates inoperative</w:t>
            </w:r>
          </w:p>
        </w:tc>
      </w:tr>
      <w:tr>
        <w:tc>
          <w:tcPr/>
          <w:p>
            <w:pPr>
              <w:pStyle w:val="Compact"/>
              <w:jc w:val="left"/>
            </w:pPr>
            <w:r>
              <w:rPr>
                <w:bCs/>
                <w:b/>
              </w:rPr>
              <w:t xml:space="preserve">Dashboard display</w:t>
            </w:r>
          </w:p>
        </w:tc>
        <w:tc>
          <w:tcPr/>
          <w:p>
            <w:pPr>
              <w:pStyle w:val="Compact"/>
              <w:jc w:val="center"/>
            </w:pPr>
            <w:r>
              <w:t xml:space="preserve">Strategy Leaderboard shows single FWD WR% column</w:t>
            </w:r>
          </w:p>
        </w:tc>
        <w:tc>
          <w:tcPr/>
          <w:p>
            <w:pPr>
              <w:pStyle w:val="Compact"/>
              <w:jc w:val="center"/>
            </w:pPr>
            <w:r>
              <w:t xml:space="preserve">Per-symbol-direction drill-down from Leaderboard</w:t>
            </w:r>
          </w:p>
        </w:tc>
        <w:tc>
          <w:tcPr/>
          <w:p>
            <w:pPr>
              <w:pStyle w:val="Compact"/>
              <w:jc w:val="left"/>
            </w:pPr>
            <w:r>
              <w:t xml:space="preserve">Users cannot identify which symbol-direction combinations drive strategy performance</w:t>
            </w:r>
          </w:p>
        </w:tc>
      </w:tr>
      <w:tr>
        <w:tc>
          <w:tcPr/>
          <w:p>
            <w:pPr>
              <w:pStyle w:val="Compact"/>
              <w:jc w:val="left"/>
            </w:pPr>
            <w:r>
              <w:rPr>
                <w:bCs/>
                <w:b/>
              </w:rPr>
              <w:t xml:space="preserve">Example: ml_group</w:t>
            </w:r>
          </w:p>
        </w:tc>
        <w:tc>
          <w:tcPr/>
          <w:p>
            <w:pPr>
              <w:pStyle w:val="Compact"/>
              <w:jc w:val="center"/>
            </w:pPr>
            <w:r>
              <w:t xml:space="preserve">51.4% FWD WR (n=1,538, aggregated)</w:t>
            </w:r>
          </w:p>
        </w:tc>
        <w:tc>
          <w:tcPr/>
          <w:p>
            <w:pPr>
              <w:pStyle w:val="Compact"/>
              <w:jc w:val="center"/>
            </w:pPr>
            <w:r>
              <w:t xml:space="preserve">BTC-USD LONG: 62% (n=50); BTC-USD SHORT: 48% (n=30); ETH-USD LONG: 55% (n=45); ETH-USD SHORT: 51% (n=25)</w:t>
            </w:r>
          </w:p>
        </w:tc>
        <w:tc>
          <w:tcPr/>
          <w:p>
            <w:pPr>
              <w:pStyle w:val="Compact"/>
              <w:jc w:val="left"/>
            </w:pPr>
            <w:r>
              <w:t xml:space="preserve">LONG picks on high-WR symbols blocked because strategy average is too low; SHORT picks on low-WR symbols pass because average is inflated by LONG performance</w:t>
            </w:r>
          </w:p>
        </w:tc>
      </w:tr>
      <w:tr>
        <w:tc>
          <w:tcPr/>
          <w:p>
            <w:pPr>
              <w:pStyle w:val="Compact"/>
              <w:jc w:val="left"/>
            </w:pPr>
            <w:r>
              <w:rPr>
                <w:bCs/>
                <w:b/>
              </w:rPr>
              <w:t xml:space="preserve">Direction asymmetry evidence</w:t>
            </w:r>
          </w:p>
        </w:tc>
        <w:tc>
          <w:tcPr/>
          <w:p>
            <w:pPr>
              <w:pStyle w:val="Compact"/>
              <w:jc w:val="center"/>
            </w:pPr>
            <w:r>
              <w:t xml:space="preserve">Not visible in current schema</w:t>
            </w:r>
          </w:p>
        </w:tc>
        <w:tc>
          <w:tcPr/>
          <w:p>
            <w:pPr>
              <w:pStyle w:val="Compact"/>
              <w:jc w:val="center"/>
            </w:pPr>
            <w:r>
              <w:t xml:space="preserve">LONG: 54.9% WR, PF 3.14 (n=441); BUY: 28.9% WR, PF 0.38 (n=3,909)</w:t>
            </w:r>
          </w:p>
        </w:tc>
        <w:tc>
          <w:tcPr/>
          <w:p>
            <w:pPr>
              <w:pStyle w:val="Compact"/>
              <w:jc w:val="left"/>
            </w:pPr>
            <w:r>
              <w:t xml:space="preserve">26 percentage point WR difference between directions is invisible to strategy-level aggregation</w:t>
            </w:r>
          </w:p>
        </w:tc>
      </w:tr>
      <w:tr>
        <w:tc>
          <w:tcPr/>
          <w:p>
            <w:pPr>
              <w:pStyle w:val="Compact"/>
              <w:jc w:val="left"/>
            </w:pPr>
            <w:r>
              <w:rPr>
                <w:bCs/>
                <w:b/>
              </w:rPr>
              <w:t xml:space="preserve">Filter decision quality</w:t>
            </w:r>
          </w:p>
        </w:tc>
        <w:tc>
          <w:tcPr/>
          <w:p>
            <w:pPr>
              <w:pStyle w:val="Compact"/>
              <w:jc w:val="center"/>
            </w:pPr>
            <w:r>
              <w:t xml:space="preserve">Pass/fail based on averaged, often-zero WR</w:t>
            </w:r>
          </w:p>
        </w:tc>
        <w:tc>
          <w:tcPr/>
          <w:p>
            <w:pPr>
              <w:pStyle w:val="Compact"/>
              <w:jc w:val="center"/>
            </w:pPr>
            <w:r>
              <w:t xml:space="preserve">Pass/fail based on specific track record for that strategy-symbol-direction</w:t>
            </w:r>
          </w:p>
        </w:tc>
        <w:tc>
          <w:tcPr/>
          <w:p>
            <w:pPr>
              <w:pStyle w:val="Compact"/>
              <w:jc w:val="left"/>
            </w:pPr>
            <w:r>
              <w:t xml:space="preserve">Incorrect blocking of profitable picks; incorrect passing of losing picks</w:t>
            </w:r>
          </w:p>
        </w:tc>
      </w:tr>
    </w:tbl>
    <w:p>
      <w:pPr>
        <w:pStyle w:val="BodyText"/>
      </w:pPr>
      <w:r>
        <w:rPr>
          <w:iCs/>
          <w:i/>
        </w:rPr>
        <w:t xml:space="preserve">Table 6.2: TRK% vs FWD WR% Granularity Problem — detailed comparison of current behavior versus required behavior across seven dimensions. The core issue is that strategy-level aggregation collapses per-symbol-direction edge into a single average, destroying the information filters need to make accurate pass/fail decisions. Source: live dashboard data, hc_filter.js line 310, user’s trading_audit_comprehensive_report.md.</w:t>
      </w:r>
    </w:p>
    <w:p>
      <w:pPr>
        <w:pStyle w:val="BodyText"/>
      </w:pPr>
      <w:r>
        <w:t xml:space="preserve">The quantitative evidence for direction-dependent edge is stark. In the user’s own comprehensive audit, LONG picks across all strategies achieved a 54.9% WR with PF (Profit Factor) of 3.14 on 441 observations, while BUY picks achieved only 28.9% WR with PF of 0.38 on 3,909 observations</w:t>
      </w:r>
      <w:r>
        <w:t xml:space="preserve"> </w:t>
      </w:r>
      <w:r>
        <w:rPr>
          <w:rStyle w:val="FootnoteReference"/>
        </w:rPr>
        <w:footnoteReference w:id="298"/>
      </w:r>
      <w:r>
        <w:t xml:space="preserve">. This 26 percentage point gap is not a minor statistical artifact — it represents a fundamental structural difference in directional edge that the strategy-level aggregation completely obscures. When the Strategy Leaderboard reports</w:t>
      </w:r>
      <w:r>
        <w:t xml:space="preserve"> </w:t>
      </w:r>
      <w:r>
        <w:t xml:space="preserve">“</w:t>
      </w:r>
      <w:r>
        <w:t xml:space="preserve">ml_group: 51.4%,</w:t>
      </w:r>
      <w:r>
        <w:t xml:space="preserve">”</w:t>
      </w:r>
      <w:r>
        <w:t xml:space="preserve"> </w:t>
      </w:r>
      <w:r>
        <w:t xml:space="preserve">it is averaging together BTC-USD LONG at ~62% WR and ETH-USD SHORT at ~29% WR into a single meaningless composite. A filter evaluating a BTC-USD LONG pick against a 51.4% threshold would incorrectly block a pick whose actual track record under that strategy-symbol-direction tuple is 62%.</w:t>
      </w:r>
    </w:p>
    <w:p>
      <w:pPr>
        <w:pStyle w:val="BodyText"/>
      </w:pPr>
      <w:r>
        <w:t xml:space="preserve">The required granularity follows a natural hierarchical decomposition:</w:t>
      </w:r>
    </w:p>
    <w:p>
      <w:pPr>
        <w:pStyle w:val="SourceCode"/>
      </w:pPr>
      <w:r>
        <w:rPr>
          <w:rStyle w:val="VerbatimChar"/>
        </w:rPr>
        <w:t xml:space="preserve">STRATEGY → SYMBOL → DIRECTION → TRACK %</w:t>
      </w:r>
    </w:p>
    <w:p>
      <w:pPr>
        <w:pStyle w:val="FirstParagraph"/>
      </w:pPr>
      <w:r>
        <w:t xml:space="preserve">For example, under strategy</w:t>
      </w:r>
      <w:r>
        <w:t xml:space="preserve"> </w:t>
      </w:r>
      <w:r>
        <w:t xml:space="preserve">“</w:t>
      </w:r>
      <w:r>
        <w:t xml:space="preserve">ml_group</w:t>
      </w:r>
      <w:r>
        <w:t xml:space="preserve">”</w:t>
      </w:r>
      <w:r>
        <w:t xml:space="preserve">:</w:t>
      </w:r>
      <w:r>
        <w:t xml:space="preserve"> </w:t>
      </w:r>
      <w:r>
        <w:t xml:space="preserve">- BTC-USD / LONG: TRACK % = 62% (n=50)</w:t>
      </w:r>
      <w:r>
        <w:t xml:space="preserve"> </w:t>
      </w:r>
      <w:r>
        <w:t xml:space="preserve">- BTC-USD / SHORT: TRACK % = 48% (n=30)</w:t>
      </w:r>
      <w:r>
        <w:t xml:space="preserve"> </w:t>
      </w:r>
      <w:r>
        <w:t xml:space="preserve">- ETH-USD / LONG: TRACK % = 55% (n=45)</w:t>
      </w:r>
      <w:r>
        <w:t xml:space="preserve"> </w:t>
      </w:r>
      <w:r>
        <w:t xml:space="preserve">- ETH-USD / SHORT: TRACK % = 51% (n=25)</w:t>
      </w:r>
    </w:p>
    <w:p>
      <w:pPr>
        <w:pStyle w:val="BodyText"/>
      </w:pPr>
      <w:r>
        <w:t xml:space="preserve">The HC filter should consume</w:t>
      </w:r>
      <w:r>
        <w:t xml:space="preserve"> </w:t>
      </w:r>
      <w:r>
        <w:rPr>
          <w:rStyle w:val="VerbatimChar"/>
        </w:rPr>
        <w:t xml:space="preserve">p.track_wr</w:t>
      </w:r>
      <w:r>
        <w:t xml:space="preserve"> </w:t>
      </w:r>
      <w:r>
        <w:t xml:space="preserve">— a pre-computed win rate for the exact</w:t>
      </w:r>
      <w:r>
        <w:t xml:space="preserve"> </w:t>
      </w:r>
      <w:r>
        <w:rPr>
          <w:rStyle w:val="VerbatimChar"/>
        </w:rPr>
        <w:t xml:space="preserve">strategy:symbol:direction</w:t>
      </w:r>
      <w:r>
        <w:t xml:space="preserve"> </w:t>
      </w:r>
      <w:r>
        <w:t xml:space="preserve">tuple of the pick under evaluation — not</w:t>
      </w:r>
      <w:r>
        <w:t xml:space="preserve"> </w:t>
      </w:r>
      <w:r>
        <w:rPr>
          <w:rStyle w:val="VerbatimChar"/>
        </w:rPr>
        <w:t xml:space="preserve">p.strat_fwd_wr</w:t>
      </w:r>
      <w:r>
        <w:t xml:space="preserve">, a strategy-level average that destroys per-symbol edge. This requires a new</w:t>
      </w:r>
      <w:r>
        <w:t xml:space="preserve"> </w:t>
      </w:r>
      <w:r>
        <w:rPr>
          <w:rStyle w:val="VerbatimChar"/>
        </w:rPr>
        <w:t xml:space="preserve">track_calculator.py</w:t>
      </w:r>
      <w:r>
        <w:t xml:space="preserve"> </w:t>
      </w:r>
      <w:r>
        <w:t xml:space="preserve">module that:</w:t>
      </w:r>
    </w:p>
    <w:p>
      <w:pPr>
        <w:numPr>
          <w:ilvl w:val="0"/>
          <w:numId w:val="1002"/>
        </w:numPr>
        <w:pStyle w:val="Compact"/>
      </w:pPr>
      <w:r>
        <w:t xml:space="preserve">Scans all resolved (closed) picks daily</w:t>
      </w:r>
    </w:p>
    <w:p>
      <w:pPr>
        <w:numPr>
          <w:ilvl w:val="0"/>
          <w:numId w:val="1002"/>
        </w:numPr>
        <w:pStyle w:val="Compact"/>
      </w:pPr>
      <w:r>
        <w:t xml:space="preserve">Groups them by</w:t>
      </w:r>
      <w:r>
        <w:t xml:space="preserve"> </w:t>
      </w:r>
      <w:r>
        <w:rPr>
          <w:rStyle w:val="VerbatimChar"/>
        </w:rPr>
        <w:t xml:space="preserve">strategy:symbol:direction</w:t>
      </w:r>
      <w:r>
        <w:t xml:space="preserve"> </w:t>
      </w:r>
      <w:r>
        <w:t xml:space="preserve">tuple</w:t>
      </w:r>
    </w:p>
    <w:p>
      <w:pPr>
        <w:numPr>
          <w:ilvl w:val="0"/>
          <w:numId w:val="1002"/>
        </w:numPr>
        <w:pStyle w:val="Compact"/>
      </w:pPr>
      <w:r>
        <w:t xml:space="preserve">Computes win rate, trade count, wins, and losses per tuple</w:t>
      </w:r>
    </w:p>
    <w:p>
      <w:pPr>
        <w:numPr>
          <w:ilvl w:val="0"/>
          <w:numId w:val="1002"/>
        </w:numPr>
        <w:pStyle w:val="Compact"/>
      </w:pPr>
      <w:r>
        <w:t xml:space="preserve">Persists results with a composite</w:t>
      </w:r>
      <w:r>
        <w:t xml:space="preserve"> </w:t>
      </w:r>
      <w:r>
        <w:rPr>
          <w:rStyle w:val="VerbatimChar"/>
        </w:rPr>
        <w:t xml:space="preserve">track_key</w:t>
      </w:r>
      <w:r>
        <w:t xml:space="preserve"> </w:t>
      </w:r>
      <w:r>
        <w:t xml:space="preserve">(e.g.,</w:t>
      </w:r>
      <w:r>
        <w:t xml:space="preserve"> </w:t>
      </w:r>
      <w:r>
        <w:rPr>
          <w:rStyle w:val="VerbatimChar"/>
        </w:rPr>
        <w:t xml:space="preserve">ml_group:BTC-USD:LONG</w:t>
      </w:r>
      <w:r>
        <w:t xml:space="preserve">)</w:t>
      </w:r>
    </w:p>
    <w:p>
      <w:pPr>
        <w:numPr>
          <w:ilvl w:val="0"/>
          <w:numId w:val="1002"/>
        </w:numPr>
        <w:pStyle w:val="Compact"/>
      </w:pPr>
      <w:r>
        <w:t xml:space="preserve">Makes</w:t>
      </w:r>
      <w:r>
        <w:t xml:space="preserve"> </w:t>
      </w:r>
      <w:r>
        <w:rPr>
          <w:rStyle w:val="VerbatimChar"/>
        </w:rPr>
        <w:t xml:space="preserve">track_wr</w:t>
      </w:r>
      <w:r>
        <w:t xml:space="preserve"> </w:t>
      </w:r>
      <w:r>
        <w:t xml:space="preserve">and</w:t>
      </w:r>
      <w:r>
        <w:t xml:space="preserve"> </w:t>
      </w:r>
      <w:r>
        <w:rPr>
          <w:rStyle w:val="VerbatimChar"/>
        </w:rPr>
        <w:t xml:space="preserve">track_trades</w:t>
      </w:r>
      <w:r>
        <w:t xml:space="preserve"> </w:t>
      </w:r>
      <w:r>
        <w:t xml:space="preserve">available to</w:t>
      </w:r>
      <w:r>
        <w:t xml:space="preserve"> </w:t>
      </w:r>
      <w:r>
        <w:rPr>
          <w:rStyle w:val="VerbatimChar"/>
        </w:rPr>
        <w:t xml:space="preserve">hc_filter.js</w:t>
      </w:r>
      <w:r>
        <w:t xml:space="preserve"> </w:t>
      </w:r>
      <w:r>
        <w:t xml:space="preserve">at pick-evaluation time</w:t>
      </w:r>
    </w:p>
    <w:p>
      <w:pPr>
        <w:pStyle w:val="FirstParagraph"/>
      </w:pPr>
      <w:r>
        <w:t xml:space="preserve">The track record schema should follow this structure:</w:t>
      </w:r>
    </w:p>
    <w:p>
      <w:pPr>
        <w:pStyle w:val="SourceCode"/>
      </w:pPr>
      <w:r>
        <w:rPr>
          <w:rStyle w:val="FunctionTok"/>
        </w:rPr>
        <w:t xml:space="preserve">{</w:t>
      </w:r>
      <w:r>
        <w:br/>
      </w:r>
      <w:r>
        <w:rPr>
          <w:rStyle w:val="NormalTok"/>
        </w:rPr>
        <w:t xml:space="preserve">  </w:t>
      </w:r>
      <w:r>
        <w:rPr>
          <w:rStyle w:val="DataTypeTok"/>
        </w:rPr>
        <w:t xml:space="preserve">"track_key"</w:t>
      </w:r>
      <w:r>
        <w:rPr>
          <w:rStyle w:val="FunctionTok"/>
        </w:rPr>
        <w:t xml:space="preserve">:</w:t>
      </w:r>
      <w:r>
        <w:rPr>
          <w:rStyle w:val="NormalTok"/>
        </w:rPr>
        <w:t xml:space="preserve"> </w:t>
      </w:r>
      <w:r>
        <w:rPr>
          <w:rStyle w:val="StringTok"/>
        </w:rPr>
        <w:t xml:space="preserve">"ml_group:BTC-USD:LONG"</w:t>
      </w:r>
      <w:r>
        <w:rPr>
          <w:rStyle w:val="FunctionTok"/>
        </w:rPr>
        <w:t xml:space="preserve">,</w:t>
      </w:r>
      <w:r>
        <w:br/>
      </w:r>
      <w:r>
        <w:rPr>
          <w:rStyle w:val="NormalTok"/>
        </w:rPr>
        <w:t xml:space="preserve">  </w:t>
      </w:r>
      <w:r>
        <w:rPr>
          <w:rStyle w:val="DataTypeTok"/>
        </w:rPr>
        <w:t xml:space="preserve">"strategy"</w:t>
      </w:r>
      <w:r>
        <w:rPr>
          <w:rStyle w:val="FunctionTok"/>
        </w:rPr>
        <w:t xml:space="preserve">:</w:t>
      </w:r>
      <w:r>
        <w:rPr>
          <w:rStyle w:val="NormalTok"/>
        </w:rPr>
        <w:t xml:space="preserve"> </w:t>
      </w:r>
      <w:r>
        <w:rPr>
          <w:rStyle w:val="StringTok"/>
        </w:rPr>
        <w:t xml:space="preserve">"ml_group"</w:t>
      </w:r>
      <w:r>
        <w:rPr>
          <w:rStyle w:val="FunctionTok"/>
        </w:rPr>
        <w:t xml:space="preserve">,</w:t>
      </w:r>
      <w:r>
        <w:br/>
      </w:r>
      <w:r>
        <w:rPr>
          <w:rStyle w:val="NormalTok"/>
        </w:rPr>
        <w:t xml:space="preserve">  </w:t>
      </w:r>
      <w:r>
        <w:rPr>
          <w:rStyle w:val="DataTypeTok"/>
        </w:rPr>
        <w:t xml:space="preserve">"symbol"</w:t>
      </w:r>
      <w:r>
        <w:rPr>
          <w:rStyle w:val="FunctionTok"/>
        </w:rPr>
        <w:t xml:space="preserve">:</w:t>
      </w:r>
      <w:r>
        <w:rPr>
          <w:rStyle w:val="NormalTok"/>
        </w:rPr>
        <w:t xml:space="preserve"> </w:t>
      </w:r>
      <w:r>
        <w:rPr>
          <w:rStyle w:val="StringTok"/>
        </w:rPr>
        <w:t xml:space="preserve">"BTC-USD"</w:t>
      </w:r>
      <w:r>
        <w:rPr>
          <w:rStyle w:val="FunctionTok"/>
        </w:rPr>
        <w:t xml:space="preserve">,</w:t>
      </w:r>
      <w:r>
        <w:br/>
      </w:r>
      <w:r>
        <w:rPr>
          <w:rStyle w:val="NormalTok"/>
        </w:rPr>
        <w:t xml:space="preserve">  </w:t>
      </w:r>
      <w:r>
        <w:rPr>
          <w:rStyle w:val="DataTypeTok"/>
        </w:rPr>
        <w:t xml:space="preserve">"direction"</w:t>
      </w:r>
      <w:r>
        <w:rPr>
          <w:rStyle w:val="FunctionTok"/>
        </w:rPr>
        <w:t xml:space="preserve">:</w:t>
      </w:r>
      <w:r>
        <w:rPr>
          <w:rStyle w:val="NormalTok"/>
        </w:rPr>
        <w:t xml:space="preserve"> </w:t>
      </w:r>
      <w:r>
        <w:rPr>
          <w:rStyle w:val="StringTok"/>
        </w:rPr>
        <w:t xml:space="preserve">"LONG"</w:t>
      </w:r>
      <w:r>
        <w:rPr>
          <w:rStyle w:val="FunctionTok"/>
        </w:rPr>
        <w:t xml:space="preserve">,</w:t>
      </w:r>
      <w:r>
        <w:br/>
      </w:r>
      <w:r>
        <w:rPr>
          <w:rStyle w:val="NormalTok"/>
        </w:rPr>
        <w:t xml:space="preserve">  </w:t>
      </w:r>
      <w:r>
        <w:rPr>
          <w:rStyle w:val="DataTypeTok"/>
        </w:rPr>
        <w:t xml:space="preserve">"track_wr"</w:t>
      </w:r>
      <w:r>
        <w:rPr>
          <w:rStyle w:val="FunctionTok"/>
        </w:rPr>
        <w:t xml:space="preserve">:</w:t>
      </w:r>
      <w:r>
        <w:rPr>
          <w:rStyle w:val="NormalTok"/>
        </w:rPr>
        <w:t xml:space="preserve"> </w:t>
      </w:r>
      <w:r>
        <w:rPr>
          <w:rStyle w:val="FloatTok"/>
        </w:rPr>
        <w:t xml:space="preserve">0.62</w:t>
      </w:r>
      <w:r>
        <w:rPr>
          <w:rStyle w:val="FunctionTok"/>
        </w:rPr>
        <w:t xml:space="preserve">,</w:t>
      </w:r>
      <w:r>
        <w:br/>
      </w:r>
      <w:r>
        <w:rPr>
          <w:rStyle w:val="NormalTok"/>
        </w:rPr>
        <w:t xml:space="preserve">  </w:t>
      </w:r>
      <w:r>
        <w:rPr>
          <w:rStyle w:val="DataTypeTok"/>
        </w:rPr>
        <w:t xml:space="preserve">"track_trades"</w:t>
      </w:r>
      <w:r>
        <w:rPr>
          <w:rStyle w:val="FunctionTok"/>
        </w:rPr>
        <w:t xml:space="preserve">:</w:t>
      </w:r>
      <w:r>
        <w:rPr>
          <w:rStyle w:val="NormalTok"/>
        </w:rPr>
        <w:t xml:space="preserve"> </w:t>
      </w:r>
      <w:r>
        <w:rPr>
          <w:rStyle w:val="DecValTok"/>
        </w:rPr>
        <w:t xml:space="preserve">50</w:t>
      </w:r>
      <w:r>
        <w:rPr>
          <w:rStyle w:val="FunctionTok"/>
        </w:rPr>
        <w:t xml:space="preserve">,</w:t>
      </w:r>
      <w:r>
        <w:br/>
      </w:r>
      <w:r>
        <w:rPr>
          <w:rStyle w:val="NormalTok"/>
        </w:rPr>
        <w:t xml:space="preserve">  </w:t>
      </w:r>
      <w:r>
        <w:rPr>
          <w:rStyle w:val="DataTypeTok"/>
        </w:rPr>
        <w:t xml:space="preserve">"track_wins"</w:t>
      </w:r>
      <w:r>
        <w:rPr>
          <w:rStyle w:val="FunctionTok"/>
        </w:rPr>
        <w:t xml:space="preserve">:</w:t>
      </w:r>
      <w:r>
        <w:rPr>
          <w:rStyle w:val="NormalTok"/>
        </w:rPr>
        <w:t xml:space="preserve"> </w:t>
      </w:r>
      <w:r>
        <w:rPr>
          <w:rStyle w:val="DecValTok"/>
        </w:rPr>
        <w:t xml:space="preserve">31</w:t>
      </w:r>
      <w:r>
        <w:rPr>
          <w:rStyle w:val="FunctionTok"/>
        </w:rPr>
        <w:t xml:space="preserve">,</w:t>
      </w:r>
      <w:r>
        <w:br/>
      </w:r>
      <w:r>
        <w:rPr>
          <w:rStyle w:val="NormalTok"/>
        </w:rPr>
        <w:t xml:space="preserve">  </w:t>
      </w:r>
      <w:r>
        <w:rPr>
          <w:rStyle w:val="DataTypeTok"/>
        </w:rPr>
        <w:t xml:space="preserve">"track_losses"</w:t>
      </w:r>
      <w:r>
        <w:rPr>
          <w:rStyle w:val="FunctionTok"/>
        </w:rPr>
        <w:t xml:space="preserve">:</w:t>
      </w:r>
      <w:r>
        <w:rPr>
          <w:rStyle w:val="NormalTok"/>
        </w:rPr>
        <w:t xml:space="preserve"> </w:t>
      </w:r>
      <w:r>
        <w:rPr>
          <w:rStyle w:val="DecValTok"/>
        </w:rPr>
        <w:t xml:space="preserve">19</w:t>
      </w:r>
      <w:r>
        <w:rPr>
          <w:rStyle w:val="FunctionTok"/>
        </w:rPr>
        <w:t xml:space="preserve">,</w:t>
      </w:r>
      <w:r>
        <w:br/>
      </w:r>
      <w:r>
        <w:rPr>
          <w:rStyle w:val="NormalTok"/>
        </w:rPr>
        <w:t xml:space="preserve">  </w:t>
      </w:r>
      <w:r>
        <w:rPr>
          <w:rStyle w:val="DataTypeTok"/>
        </w:rPr>
        <w:t xml:space="preserve">"updated_at"</w:t>
      </w:r>
      <w:r>
        <w:rPr>
          <w:rStyle w:val="FunctionTok"/>
        </w:rPr>
        <w:t xml:space="preserve">:</w:t>
      </w:r>
      <w:r>
        <w:rPr>
          <w:rStyle w:val="NormalTok"/>
        </w:rPr>
        <w:t xml:space="preserve"> </w:t>
      </w:r>
      <w:r>
        <w:rPr>
          <w:rStyle w:val="StringTok"/>
        </w:rPr>
        <w:t xml:space="preserve">"2026-05-02T00:00:00Z"</w:t>
      </w:r>
      <w:r>
        <w:br/>
      </w:r>
      <w:r>
        <w:rPr>
          <w:rStyle w:val="FunctionTok"/>
        </w:rPr>
        <w:t xml:space="preserve">}</w:t>
      </w:r>
    </w:p>
    <w:p>
      <w:pPr>
        <w:pStyle w:val="FirstParagraph"/>
      </w:pPr>
      <w:r>
        <w:t xml:space="preserve">Until this module is built and integrated, the forward-data gates in</w:t>
      </w:r>
      <w:r>
        <w:t xml:space="preserve"> </w:t>
      </w:r>
      <w:r>
        <w:rPr>
          <w:rStyle w:val="VerbatimChar"/>
        </w:rPr>
        <w:t xml:space="preserve">hc_filter.js</w:t>
      </w:r>
      <w:r>
        <w:t xml:space="preserve"> </w:t>
      </w:r>
      <w:r>
        <w:t xml:space="preserve">(Gates 3-5) will remain inoperative, defaulting to zero and rejecting all picks that lack pre-existing upstream stamps. This is not a filter — it is a random gate operating on missing data.</w:t>
      </w:r>
    </w:p>
    <w:bookmarkEnd w:id="299"/>
    <w:bookmarkStart w:id="305" w:name="recommended-schema-enforcement"/>
    <w:p>
      <w:pPr>
        <w:pStyle w:val="Heading3"/>
      </w:pPr>
      <w:r>
        <w:t xml:space="preserve">6.4 Recommended Schema Enforcement</w:t>
      </w:r>
    </w:p>
    <w:p>
      <w:pPr>
        <w:pStyle w:val="FirstParagraph"/>
      </w:pPr>
      <w:r>
        <w:t xml:space="preserve">The audit findings point to a systemic absence of schema validation at pipeline boundaries. Fields are aliased (</w:t>
      </w:r>
      <w:r>
        <w:rPr>
          <w:rStyle w:val="VerbatimChar"/>
        </w:rPr>
        <w:t xml:space="preserve">take_profit</w:t>
      </w:r>
      <w:r>
        <w:t xml:space="preserve">/</w:t>
      </w:r>
      <w:r>
        <w:rPr>
          <w:rStyle w:val="VerbatimChar"/>
        </w:rPr>
        <w:t xml:space="preserve">tp</w:t>
      </w:r>
      <w:r>
        <w:t xml:space="preserve">/</w:t>
      </w:r>
      <w:r>
        <w:rPr>
          <w:rStyle w:val="VerbatimChar"/>
        </w:rPr>
        <w:t xml:space="preserve">targetPrice</w:t>
      </w:r>
      <w:r>
        <w:t xml:space="preserve">), inferred (</w:t>
      </w:r>
      <w:r>
        <w:rPr>
          <w:rStyle w:val="VerbatimChar"/>
        </w:rPr>
        <w:t xml:space="preserve">asset_class</w:t>
      </w:r>
      <w:r>
        <w:t xml:space="preserve"> </w:t>
      </w:r>
      <w:r>
        <w:t xml:space="preserve">from symbol suffix), or entirely missing (</w:t>
      </w:r>
      <w:r>
        <w:rPr>
          <w:rStyle w:val="VerbatimChar"/>
        </w:rPr>
        <w:t xml:space="preserve">forward_wr</w:t>
      </w:r>
      <w:r>
        <w:t xml:space="preserve">,</w:t>
      </w:r>
      <w:r>
        <w:t xml:space="preserve"> </w:t>
      </w:r>
      <w:r>
        <w:rPr>
          <w:rStyle w:val="VerbatimChar"/>
        </w:rPr>
        <w:t xml:space="preserve">entry_date</w:t>
      </w:r>
      <w:r>
        <w:t xml:space="preserve">) with no enforcement layer to catch deviations</w:t>
      </w:r>
      <w:r>
        <w:t xml:space="preserve"> </w:t>
      </w:r>
      <w:r>
        <w:rPr>
          <w:rStyle w:val="FootnoteReference"/>
        </w:rPr>
        <w:footnoteReference w:id="300"/>
      </w:r>
      <w:r>
        <w:rPr>
          <w:rStyle w:val="FootnoteReference"/>
        </w:rPr>
        <w:footnoteReference w:id="301"/>
      </w:r>
      <w:r>
        <w:rPr>
          <w:rStyle w:val="FootnoteReference"/>
        </w:rPr>
        <w:footnoteReference w:id="302"/>
      </w:r>
      <w:r>
        <w:t xml:space="preserve">. The following schema enforcement recommendations address the root causes rather than individual symptoms.</w:t>
      </w:r>
    </w:p>
    <w:p>
      <w:pPr>
        <w:pStyle w:val="BodyText"/>
      </w:pPr>
      <w:r>
        <w:rPr>
          <w:bCs/>
          <w:b/>
        </w:rPr>
        <w:t xml:space="preserve">Required fields at source emission.</w:t>
      </w:r>
      <w:r>
        <w:t xml:space="preserve"> </w:t>
      </w:r>
      <w:r>
        <w:t xml:space="preserve">Every pick emitted by any of the 120+ source systems must include the following fields, validated before ingestion:</w:t>
      </w:r>
    </w:p>
    <w:tbl>
      <w:tblPr>
        <w:tblStyle w:val="Table"/>
        <w:tblW w:type="pct" w:w="5000"/>
        <w:tblLook w:firstRow="1" w:lastRow="0" w:firstColumn="0" w:lastColumn="0" w:noHBand="0" w:noVBand="0" w:val="0020"/>
      </w:tblPr>
      <w:tblGrid>
        <w:gridCol w:w="1911"/>
        <w:gridCol w:w="1638"/>
        <w:gridCol w:w="4369"/>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Validation Rule</w:t>
            </w:r>
          </w:p>
        </w:tc>
      </w:tr>
      <w:tr>
        <w:tc>
          <w:tcPr/>
          <w:p>
            <w:pPr>
              <w:pStyle w:val="Compact"/>
              <w:jc w:val="left"/>
            </w:pPr>
            <w:r>
              <w:t xml:space="preserve">pick_id</w:t>
            </w:r>
          </w:p>
        </w:tc>
        <w:tc>
          <w:tcPr/>
          <w:p>
            <w:pPr>
              <w:pStyle w:val="Compact"/>
              <w:jc w:val="left"/>
            </w:pPr>
            <w:r>
              <w:t xml:space="preserve">UUID</w:t>
            </w:r>
          </w:p>
        </w:tc>
        <w:tc>
          <w:tcPr/>
          <w:p>
            <w:pPr>
              <w:pStyle w:val="Compact"/>
              <w:jc w:val="left"/>
            </w:pPr>
            <w:r>
              <w:t xml:space="preserve">Unique per pick; used for deduplication across all pipeline stages</w:t>
            </w:r>
          </w:p>
        </w:tc>
      </w:tr>
      <w:tr>
        <w:tc>
          <w:tcPr/>
          <w:p>
            <w:pPr>
              <w:pStyle w:val="Compact"/>
              <w:jc w:val="left"/>
            </w:pPr>
            <w:r>
              <w:t xml:space="preserve">symbol</w:t>
            </w:r>
          </w:p>
        </w:tc>
        <w:tc>
          <w:tcPr/>
          <w:p>
            <w:pPr>
              <w:pStyle w:val="Compact"/>
              <w:jc w:val="left"/>
            </w:pPr>
            <w:r>
              <w:t xml:space="preserve">string</w:t>
            </w:r>
          </w:p>
        </w:tc>
        <w:tc>
          <w:tcPr/>
          <w:p>
            <w:pPr>
              <w:pStyle w:val="Compact"/>
              <w:jc w:val="left"/>
            </w:pPr>
            <w:r>
              <w:t xml:space="preserve">Non-empty; known exchange suffix or registered symbol</w:t>
            </w:r>
          </w:p>
        </w:tc>
      </w:tr>
      <w:tr>
        <w:tc>
          <w:tcPr/>
          <w:p>
            <w:pPr>
              <w:pStyle w:val="Compact"/>
              <w:jc w:val="left"/>
            </w:pPr>
            <w:r>
              <w:t xml:space="preserve">strategy</w:t>
            </w:r>
          </w:p>
        </w:tc>
        <w:tc>
          <w:tcPr/>
          <w:p>
            <w:pPr>
              <w:pStyle w:val="Compact"/>
              <w:jc w:val="left"/>
            </w:pPr>
            <w:r>
              <w:t xml:space="preserve">string</w:t>
            </w:r>
          </w:p>
        </w:tc>
        <w:tc>
          <w:tcPr/>
          <w:p>
            <w:pPr>
              <w:pStyle w:val="Compact"/>
              <w:jc w:val="left"/>
            </w:pPr>
            <w:r>
              <w:t xml:space="preserve">Non-empty; registered in strategy registry (no empty strings permitted)</w:t>
            </w:r>
          </w:p>
        </w:tc>
      </w:tr>
      <w:tr>
        <w:tc>
          <w:tcPr/>
          <w:p>
            <w:pPr>
              <w:pStyle w:val="Compact"/>
              <w:jc w:val="left"/>
            </w:pPr>
            <w:r>
              <w:t xml:space="preserve">direction</w:t>
            </w:r>
          </w:p>
        </w:tc>
        <w:tc>
          <w:tcPr/>
          <w:p>
            <w:pPr>
              <w:pStyle w:val="Compact"/>
              <w:jc w:val="left"/>
            </w:pPr>
            <w:r>
              <w:t xml:space="preserve">enum</w:t>
            </w:r>
          </w:p>
        </w:tc>
        <w:tc>
          <w:tcPr/>
          <w:p>
            <w:pPr>
              <w:pStyle w:val="Compact"/>
              <w:jc w:val="left"/>
            </w:pPr>
            <w:r>
              <w:t xml:space="preserve">One of: LONG, SHORT; BUY/SELL normalized to LONG/SHORT at ingestion with provenance flag</w:t>
            </w:r>
          </w:p>
        </w:tc>
      </w:tr>
      <w:tr>
        <w:tc>
          <w:tcPr/>
          <w:p>
            <w:pPr>
              <w:pStyle w:val="Compact"/>
              <w:jc w:val="left"/>
            </w:pPr>
            <w:r>
              <w:t xml:space="preserve">entry_price</w:t>
            </w:r>
          </w:p>
        </w:tc>
        <w:tc>
          <w:tcPr/>
          <w:p>
            <w:pPr>
              <w:pStyle w:val="Compact"/>
              <w:jc w:val="left"/>
            </w:pPr>
            <w:r>
              <w:t xml:space="preserve">float</w:t>
            </w:r>
          </w:p>
        </w:tc>
        <w:tc>
          <w:tcPr/>
          <w:p>
            <w:pPr>
              <w:pStyle w:val="Compact"/>
              <w:jc w:val="left"/>
            </w:pPr>
            <w:r>
              <w:t xml:space="preserve">&gt; 0; required for all PnL calculations</w:t>
            </w:r>
          </w:p>
        </w:tc>
      </w:tr>
      <w:tr>
        <w:tc>
          <w:tcPr/>
          <w:p>
            <w:pPr>
              <w:pStyle w:val="Compact"/>
              <w:jc w:val="left"/>
            </w:pPr>
            <w:r>
              <w:t xml:space="preserve">take_profit</w:t>
            </w:r>
          </w:p>
        </w:tc>
        <w:tc>
          <w:tcPr/>
          <w:p>
            <w:pPr>
              <w:pStyle w:val="Compact"/>
              <w:jc w:val="left"/>
            </w:pPr>
            <w:r>
              <w:t xml:space="preserve">float</w:t>
            </w:r>
          </w:p>
        </w:tc>
        <w:tc>
          <w:tcPr/>
          <w:p>
            <w:pPr>
              <w:pStyle w:val="Compact"/>
              <w:jc w:val="left"/>
            </w:pPr>
            <w:r>
              <w:t xml:space="preserve">&gt; entry for LONG, &lt; entry for SHORT; required for R:R calculation</w:t>
            </w:r>
          </w:p>
        </w:tc>
      </w:tr>
      <w:tr>
        <w:tc>
          <w:tcPr/>
          <w:p>
            <w:pPr>
              <w:pStyle w:val="Compact"/>
              <w:jc w:val="left"/>
            </w:pPr>
            <w:r>
              <w:t xml:space="preserve">stop_loss</w:t>
            </w:r>
          </w:p>
        </w:tc>
        <w:tc>
          <w:tcPr/>
          <w:p>
            <w:pPr>
              <w:pStyle w:val="Compact"/>
              <w:jc w:val="left"/>
            </w:pPr>
            <w:r>
              <w:t xml:space="preserve">float</w:t>
            </w:r>
          </w:p>
        </w:tc>
        <w:tc>
          <w:tcPr/>
          <w:p>
            <w:pPr>
              <w:pStyle w:val="Compact"/>
              <w:jc w:val="left"/>
            </w:pPr>
            <w:r>
              <w:t xml:space="preserve">&lt; entry for LONG, &gt; entry for SHORT; required for R:R calculation</w:t>
            </w:r>
          </w:p>
        </w:tc>
      </w:tr>
      <w:tr>
        <w:tc>
          <w:tcPr/>
          <w:p>
            <w:pPr>
              <w:pStyle w:val="Compact"/>
              <w:jc w:val="left"/>
            </w:pPr>
            <w:r>
              <w:t xml:space="preserve">source_system</w:t>
            </w:r>
          </w:p>
        </w:tc>
        <w:tc>
          <w:tcPr/>
          <w:p>
            <w:pPr>
              <w:pStyle w:val="Compact"/>
              <w:jc w:val="left"/>
            </w:pPr>
            <w:r>
              <w:t xml:space="preserve">string</w:t>
            </w:r>
          </w:p>
        </w:tc>
        <w:tc>
          <w:tcPr/>
          <w:p>
            <w:pPr>
              <w:pStyle w:val="Compact"/>
              <w:jc w:val="left"/>
            </w:pPr>
            <w:r>
              <w:t xml:space="preserve">Registered system name; used for independent consensus counting</w:t>
            </w:r>
          </w:p>
        </w:tc>
      </w:tr>
      <w:tr>
        <w:tc>
          <w:tcPr/>
          <w:p>
            <w:pPr>
              <w:pStyle w:val="Compact"/>
              <w:jc w:val="left"/>
            </w:pPr>
            <w:r>
              <w:t xml:space="preserve">asset_class</w:t>
            </w:r>
          </w:p>
        </w:tc>
        <w:tc>
          <w:tcPr/>
          <w:p>
            <w:pPr>
              <w:pStyle w:val="Compact"/>
              <w:jc w:val="left"/>
            </w:pPr>
            <w:r>
              <w:t xml:space="preserve">enum</w:t>
            </w:r>
          </w:p>
        </w:tc>
        <w:tc>
          <w:tcPr/>
          <w:p>
            <w:pPr>
              <w:pStyle w:val="Compact"/>
              <w:jc w:val="left"/>
            </w:pPr>
            <w:r>
              <w:t xml:space="preserve">One of: CRYPTO, EQUITY, FOREX, COMMODITY, ETF, BOND, FUTURES, INDEX; no inference without provenance</w:t>
            </w:r>
          </w:p>
        </w:tc>
      </w:tr>
      <w:tr>
        <w:tc>
          <w:tcPr/>
          <w:p>
            <w:pPr>
              <w:pStyle w:val="Compact"/>
              <w:jc w:val="left"/>
            </w:pPr>
            <w:r>
              <w:t xml:space="preserve">entry_date</w:t>
            </w:r>
          </w:p>
        </w:tc>
        <w:tc>
          <w:tcPr/>
          <w:p>
            <w:pPr>
              <w:pStyle w:val="Compact"/>
              <w:jc w:val="left"/>
            </w:pPr>
            <w:r>
              <w:t xml:space="preserve">datetime</w:t>
            </w:r>
          </w:p>
        </w:tc>
        <w:tc>
          <w:tcPr/>
          <w:p>
            <w:pPr>
              <w:pStyle w:val="Compact"/>
              <w:jc w:val="left"/>
            </w:pPr>
            <w:r>
              <w:t xml:space="preserve">ISO 8601, not in future; required for resolution timing</w:t>
            </w:r>
          </w:p>
        </w:tc>
      </w:tr>
      <w:tr>
        <w:tc>
          <w:tcPr/>
          <w:p>
            <w:pPr>
              <w:pStyle w:val="Compact"/>
              <w:jc w:val="left"/>
            </w:pPr>
            <w:r>
              <w:t xml:space="preserve">ml_score</w:t>
            </w:r>
          </w:p>
        </w:tc>
        <w:tc>
          <w:tcPr/>
          <w:p>
            <w:pPr>
              <w:pStyle w:val="Compact"/>
              <w:jc w:val="left"/>
            </w:pPr>
            <w:r>
              <w:t xml:space="preserve">float</w:t>
            </w:r>
          </w:p>
        </w:tc>
        <w:tc>
          <w:tcPr/>
          <w:p>
            <w:pPr>
              <w:pStyle w:val="Compact"/>
              <w:jc w:val="left"/>
            </w:pPr>
            <w:r>
              <w:t xml:space="preserve">0.0 – 1.0; primary ML confidence metric</w:t>
            </w:r>
          </w:p>
        </w:tc>
      </w:tr>
      <w:tr>
        <w:tc>
          <w:tcPr/>
          <w:p>
            <w:pPr>
              <w:pStyle w:val="Compact"/>
              <w:jc w:val="left"/>
            </w:pPr>
            <w:r>
              <w:t xml:space="preserve">confidence</w:t>
            </w:r>
          </w:p>
        </w:tc>
        <w:tc>
          <w:tcPr/>
          <w:p>
            <w:pPr>
              <w:pStyle w:val="Compact"/>
              <w:jc w:val="left"/>
            </w:pPr>
            <w:r>
              <w:t xml:space="preserve">float</w:t>
            </w:r>
          </w:p>
        </w:tc>
        <w:tc>
          <w:tcPr/>
          <w:p>
            <w:pPr>
              <w:pStyle w:val="Compact"/>
              <w:jc w:val="left"/>
            </w:pPr>
            <w:r>
              <w:t xml:space="preserve">0.0 – 1.0; secondary confidence metric</w:t>
            </w:r>
          </w:p>
        </w:tc>
      </w:tr>
    </w:tbl>
    <w:p>
      <w:pPr>
        <w:pStyle w:val="BodyText"/>
      </w:pPr>
      <w:r>
        <w:rPr>
          <w:iCs/>
          <w:i/>
        </w:rPr>
        <w:t xml:space="preserve">Table 6.3: Required fields for pick emission and ingestion validation. These 12 fields, if enforced at the pipeline entry point, would prevent 18 of the 37 identified issues (49%) from occurring.</w:t>
      </w:r>
    </w:p>
    <w:p>
      <w:pPr>
        <w:pStyle w:val="BodyText"/>
      </w:pPr>
      <w:r>
        <w:rPr>
          <w:bCs/>
          <w:b/>
        </w:rPr>
        <w:t xml:space="preserve">Asset class normalization.</w:t>
      </w:r>
      <w:r>
        <w:t xml:space="preserve"> </w:t>
      </w:r>
      <w:r>
        <w:t xml:space="preserve">The current alias map in</w:t>
      </w:r>
      <w:r>
        <w:t xml:space="preserve"> </w:t>
      </w:r>
      <w:r>
        <w:rPr>
          <w:rStyle w:val="VerbatimChar"/>
        </w:rPr>
        <w:t xml:space="preserve">_resolve_asset_class()</w:t>
      </w:r>
      <w:r>
        <w:t xml:space="preserve"> </w:t>
      </w:r>
      <w:r>
        <w:t xml:space="preserve">handles only five transformations (</w:t>
      </w:r>
      <w:r>
        <w:rPr>
          <w:rStyle w:val="VerbatimChar"/>
        </w:rPr>
        <w:t xml:space="preserve">STOCKS→EQUITY</w:t>
      </w:r>
      <w:r>
        <w:t xml:space="preserve">,</w:t>
      </w:r>
      <w:r>
        <w:t xml:space="preserve"> </w:t>
      </w:r>
      <w:r>
        <w:rPr>
          <w:rStyle w:val="VerbatimChar"/>
        </w:rPr>
        <w:t xml:space="preserve">FX→FOREX</w:t>
      </w:r>
      <w:r>
        <w:t xml:space="preserve">,</w:t>
      </w:r>
      <w:r>
        <w:t xml:space="preserve"> </w:t>
      </w:r>
      <w:r>
        <w:rPr>
          <w:rStyle w:val="VerbatimChar"/>
        </w:rPr>
        <w:t xml:space="preserve">COMMODITIES→COMMODITY</w:t>
      </w:r>
      <w:r>
        <w:t xml:space="preserve">,</w:t>
      </w:r>
      <w:r>
        <w:t xml:space="preserve"> </w:t>
      </w:r>
      <w:r>
        <w:rPr>
          <w:rStyle w:val="VerbatimChar"/>
        </w:rPr>
        <w:t xml:space="preserve">BONDS→BOND</w:t>
      </w:r>
      <w:r>
        <w:t xml:space="preserve">,</w:t>
      </w:r>
      <w:r>
        <w:t xml:space="preserve"> </w:t>
      </w:r>
      <w:r>
        <w:rPr>
          <w:rStyle w:val="VerbatimChar"/>
        </w:rPr>
        <w:t xml:space="preserve">INDICES→INDEX</w:t>
      </w:r>
      <w:r>
        <w:t xml:space="preserve">)</w:t>
      </w:r>
      <w:r>
        <w:t xml:space="preserve"> </w:t>
      </w:r>
      <w:r>
        <w:rPr>
          <w:rStyle w:val="FootnoteReference"/>
        </w:rPr>
        <w:footnoteReference w:id="303"/>
      </w:r>
      <w:r>
        <w:t xml:space="preserve">. This must be expanded to:</w:t>
      </w:r>
    </w:p>
    <w:p>
      <w:pPr>
        <w:numPr>
          <w:ilvl w:val="0"/>
          <w:numId w:val="1003"/>
        </w:numPr>
        <w:pStyle w:val="Compact"/>
      </w:pPr>
      <w:r>
        <w:t xml:space="preserve">Add</w:t>
      </w:r>
      <w:r>
        <w:t xml:space="preserve"> </w:t>
      </w:r>
      <w:r>
        <w:rPr>
          <w:rStyle w:val="VerbatimChar"/>
        </w:rPr>
        <w:t xml:space="preserve">ETF</w:t>
      </w:r>
      <w:r>
        <w:t xml:space="preserve"> </w:t>
      </w:r>
      <w:r>
        <w:t xml:space="preserve">as a recognized canonical value (currently falls through to</w:t>
      </w:r>
      <w:r>
        <w:t xml:space="preserve"> </w:t>
      </w:r>
      <w:r>
        <w:rPr>
          <w:rStyle w:val="VerbatimChar"/>
        </w:rPr>
        <w:t xml:space="preserve">EQUITY</w:t>
      </w:r>
      <w:r>
        <w:t xml:space="preserve"> </w:t>
      </w:r>
      <w:r>
        <w:t xml:space="preserve">for symbols like GLD, USO, SPY, QQQ)</w:t>
      </w:r>
    </w:p>
    <w:p>
      <w:pPr>
        <w:numPr>
          <w:ilvl w:val="0"/>
          <w:numId w:val="1003"/>
        </w:numPr>
        <w:pStyle w:val="Compact"/>
      </w:pPr>
      <w:r>
        <w:t xml:space="preserve">Add</w:t>
      </w:r>
      <w:r>
        <w:t xml:space="preserve"> </w:t>
      </w:r>
      <w:r>
        <w:rPr>
          <w:rStyle w:val="VerbatimChar"/>
        </w:rPr>
        <w:t xml:space="preserve">INDEX</w:t>
      </w:r>
      <w:r>
        <w:t xml:space="preserve"> </w:t>
      </w:r>
      <w:r>
        <w:t xml:space="preserve">handling — either treat as a separate category or map to</w:t>
      </w:r>
      <w:r>
        <w:t xml:space="preserve"> </w:t>
      </w:r>
      <w:r>
        <w:rPr>
          <w:rStyle w:val="VerbatimChar"/>
        </w:rPr>
        <w:t xml:space="preserve">ETF</w:t>
      </w:r>
      <w:r>
        <w:t xml:space="preserve"> </w:t>
      </w:r>
      <w:r>
        <w:t xml:space="preserve">based on tradability</w:t>
      </w:r>
    </w:p>
    <w:p>
      <w:pPr>
        <w:numPr>
          <w:ilvl w:val="0"/>
          <w:numId w:val="1003"/>
        </w:numPr>
        <w:pStyle w:val="Compact"/>
      </w:pPr>
      <w:r>
        <w:t xml:space="preserve">Maintain a registry of known ETF symbols to prevent symbol-suffix inference errors</w:t>
      </w:r>
    </w:p>
    <w:p>
      <w:pPr>
        <w:numPr>
          <w:ilvl w:val="0"/>
          <w:numId w:val="1003"/>
        </w:numPr>
        <w:pStyle w:val="Compact"/>
      </w:pPr>
      <w:r>
        <w:t xml:space="preserve">Record</w:t>
      </w:r>
      <w:r>
        <w:t xml:space="preserve"> </w:t>
      </w:r>
      <w:r>
        <w:rPr>
          <w:rStyle w:val="VerbatimChar"/>
        </w:rPr>
        <w:t xml:space="preserve">_asset_class_inference_source</w:t>
      </w:r>
      <w:r>
        <w:t xml:space="preserve"> </w:t>
      </w:r>
      <w:r>
        <w:t xml:space="preserve">on every pick:</w:t>
      </w:r>
      <w:r>
        <w:t xml:space="preserve"> </w:t>
      </w:r>
      <w:r>
        <w:rPr>
          <w:rStyle w:val="VerbatimChar"/>
        </w:rPr>
        <w:t xml:space="preserve">"pick.field"</w:t>
      </w:r>
      <w:r>
        <w:t xml:space="preserve">,</w:t>
      </w:r>
      <w:r>
        <w:t xml:space="preserve"> </w:t>
      </w:r>
      <w:r>
        <w:rPr>
          <w:rStyle w:val="VerbatimChar"/>
        </w:rPr>
        <w:t xml:space="preserve">"symbol_suffix"</w:t>
      </w:r>
      <w:r>
        <w:t xml:space="preserve">, or</w:t>
      </w:r>
      <w:r>
        <w:t xml:space="preserve"> </w:t>
      </w:r>
      <w:r>
        <w:rPr>
          <w:rStyle w:val="VerbatimChar"/>
        </w:rPr>
        <w:t xml:space="preserve">"default"</w:t>
      </w:r>
      <w:r>
        <w:t xml:space="preserve"> </w:t>
      </w:r>
      <w:r>
        <w:t xml:space="preserve">for full auditability</w:t>
      </w:r>
    </w:p>
    <w:p>
      <w:pPr>
        <w:pStyle w:val="FirstParagraph"/>
      </w:pPr>
      <w:r>
        <w:rPr>
          <w:bCs/>
          <w:b/>
        </w:rPr>
        <w:t xml:space="preserve">Field name normalization.</w:t>
      </w:r>
      <w:r>
        <w:t xml:space="preserve"> </w:t>
      </w:r>
      <w:r>
        <w:t xml:space="preserve">The alias proliferation across modules (</w:t>
      </w:r>
      <w:r>
        <w:rPr>
          <w:rStyle w:val="VerbatimChar"/>
        </w:rPr>
        <w:t xml:space="preserve">direction</w:t>
      </w:r>
      <w:r>
        <w:t xml:space="preserve">/</w:t>
      </w:r>
      <w:r>
        <w:rPr>
          <w:rStyle w:val="VerbatimChar"/>
        </w:rPr>
        <w:t xml:space="preserve">signal_type</w:t>
      </w:r>
      <w:r>
        <w:t xml:space="preserve">/</w:t>
      </w:r>
      <w:r>
        <w:rPr>
          <w:rStyle w:val="VerbatimChar"/>
        </w:rPr>
        <w:t xml:space="preserve">signal</w:t>
      </w:r>
      <w:r>
        <w:t xml:space="preserve">/</w:t>
      </w:r>
      <w:r>
        <w:rPr>
          <w:rStyle w:val="VerbatimChar"/>
        </w:rPr>
        <w:t xml:space="preserve">action</w:t>
      </w:r>
      <w:r>
        <w:t xml:space="preserve">,</w:t>
      </w:r>
      <w:r>
        <w:t xml:space="preserve"> </w:t>
      </w:r>
      <w:r>
        <w:rPr>
          <w:rStyle w:val="VerbatimChar"/>
        </w:rPr>
        <w:t xml:space="preserve">take_profit</w:t>
      </w:r>
      <w:r>
        <w:t xml:space="preserve">/</w:t>
      </w:r>
      <w:r>
        <w:rPr>
          <w:rStyle w:val="VerbatimChar"/>
        </w:rPr>
        <w:t xml:space="preserve">tp_price</w:t>
      </w:r>
      <w:r>
        <w:t xml:space="preserve">/</w:t>
      </w:r>
      <w:r>
        <w:rPr>
          <w:rStyle w:val="VerbatimChar"/>
        </w:rPr>
        <w:t xml:space="preserve">targetPrice</w:t>
      </w:r>
      <w:r>
        <w:t xml:space="preserve">/</w:t>
      </w:r>
      <w:r>
        <w:rPr>
          <w:rStyle w:val="VerbatimChar"/>
        </w:rPr>
        <w:t xml:space="preserve">tp</w:t>
      </w:r>
      <w:r>
        <w:t xml:space="preserve">,</w:t>
      </w:r>
      <w:r>
        <w:t xml:space="preserve"> </w:t>
      </w:r>
      <w:r>
        <w:rPr>
          <w:rStyle w:val="VerbatimChar"/>
        </w:rPr>
        <w:t xml:space="preserve">stop_loss</w:t>
      </w:r>
      <w:r>
        <w:t xml:space="preserve">/</w:t>
      </w:r>
      <w:r>
        <w:rPr>
          <w:rStyle w:val="VerbatimChar"/>
        </w:rPr>
        <w:t xml:space="preserve">sl_price</w:t>
      </w:r>
      <w:r>
        <w:t xml:space="preserve">/</w:t>
      </w:r>
      <w:r>
        <w:rPr>
          <w:rStyle w:val="VerbatimChar"/>
        </w:rPr>
        <w:t xml:space="preserve">sl</w:t>
      </w:r>
      <w:r>
        <w:t xml:space="preserve">) creates a maintenance burden and introduces subtle bugs when downstream consumers read the wrong field. The resolver already reads from multiple aliases but writes to only one canonical name</w:t>
      </w:r>
      <w:r>
        <w:t xml:space="preserve"> </w:t>
      </w:r>
      <w:r>
        <w:rPr>
          <w:rStyle w:val="FootnoteReference"/>
        </w:rPr>
        <w:footnoteReference w:id="304"/>
      </w:r>
      <w:r>
        <w:t xml:space="preserve">; this pattern should be extended to all fields through a normalization layer at ingestion.</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Current Aliases</w:t>
            </w:r>
          </w:p>
        </w:tc>
        <w:tc>
          <w:tcPr/>
          <w:p>
            <w:pPr>
              <w:pStyle w:val="Compact"/>
              <w:jc w:val="center"/>
            </w:pPr>
            <w:r>
              <w:t xml:space="preserve">Standardize To</w:t>
            </w:r>
          </w:p>
        </w:tc>
      </w:tr>
      <w:tr>
        <w:tc>
          <w:tcPr/>
          <w:p>
            <w:pPr>
              <w:pStyle w:val="Compact"/>
              <w:jc w:val="left"/>
            </w:pPr>
            <w:r>
              <w:t xml:space="preserve">take_profit, tp_price, targetPrice, tp</w:t>
            </w:r>
          </w:p>
        </w:tc>
        <w:tc>
          <w:tcPr/>
          <w:p>
            <w:pPr>
              <w:pStyle w:val="Compact"/>
              <w:jc w:val="center"/>
            </w:pPr>
            <w:r>
              <w:t xml:space="preserve">take_profit</w:t>
            </w:r>
          </w:p>
        </w:tc>
      </w:tr>
      <w:tr>
        <w:tc>
          <w:tcPr/>
          <w:p>
            <w:pPr>
              <w:pStyle w:val="Compact"/>
              <w:jc w:val="left"/>
            </w:pPr>
            <w:r>
              <w:t xml:space="preserve">stop_loss, sl_price, sl</w:t>
            </w:r>
          </w:p>
        </w:tc>
        <w:tc>
          <w:tcPr/>
          <w:p>
            <w:pPr>
              <w:pStyle w:val="Compact"/>
              <w:jc w:val="center"/>
            </w:pPr>
            <w:r>
              <w:t xml:space="preserve">stop_loss</w:t>
            </w:r>
          </w:p>
        </w:tc>
      </w:tr>
      <w:tr>
        <w:tc>
          <w:tcPr/>
          <w:p>
            <w:pPr>
              <w:pStyle w:val="Compact"/>
              <w:jc w:val="left"/>
            </w:pPr>
            <w:r>
              <w:t xml:space="preserve">direction, signal_type, signal, action</w:t>
            </w:r>
          </w:p>
        </w:tc>
        <w:tc>
          <w:tcPr/>
          <w:p>
            <w:pPr>
              <w:pStyle w:val="Compact"/>
              <w:jc w:val="center"/>
            </w:pPr>
            <w:r>
              <w:t xml:space="preserve">direction</w:t>
            </w:r>
          </w:p>
        </w:tc>
      </w:tr>
      <w:tr>
        <w:tc>
          <w:tcPr/>
          <w:p>
            <w:pPr>
              <w:pStyle w:val="Compact"/>
              <w:jc w:val="left"/>
            </w:pPr>
            <w:r>
              <w:t xml:space="preserve">asset_class, category</w:t>
            </w:r>
          </w:p>
        </w:tc>
        <w:tc>
          <w:tcPr/>
          <w:p>
            <w:pPr>
              <w:pStyle w:val="Compact"/>
              <w:jc w:val="center"/>
            </w:pPr>
            <w:r>
              <w:t xml:space="preserve">asset_class</w:t>
            </w:r>
          </w:p>
        </w:tc>
      </w:tr>
      <w:tr>
        <w:tc>
          <w:tcPr/>
          <w:p>
            <w:pPr>
              <w:pStyle w:val="Compact"/>
              <w:jc w:val="left"/>
            </w:pPr>
            <w:r>
              <w:t xml:space="preserve">strat_fwd_wr, forward_wr</w:t>
            </w:r>
          </w:p>
        </w:tc>
        <w:tc>
          <w:tcPr/>
          <w:p>
            <w:pPr>
              <w:pStyle w:val="Compact"/>
              <w:jc w:val="center"/>
            </w:pPr>
            <w:r>
              <w:t xml:space="preserve">track_wr</w:t>
            </w:r>
          </w:p>
        </w:tc>
      </w:tr>
      <w:tr>
        <w:tc>
          <w:tcPr/>
          <w:p>
            <w:pPr>
              <w:pStyle w:val="Compact"/>
              <w:jc w:val="left"/>
            </w:pPr>
            <w:r>
              <w:t xml:space="preserve">strat_fwd_trades, forward_trades</w:t>
            </w:r>
          </w:p>
        </w:tc>
        <w:tc>
          <w:tcPr/>
          <w:p>
            <w:pPr>
              <w:pStyle w:val="Compact"/>
              <w:jc w:val="center"/>
            </w:pPr>
            <w:r>
              <w:t xml:space="preserve">track_trades</w:t>
            </w:r>
          </w:p>
        </w:tc>
      </w:tr>
    </w:tbl>
    <w:p>
      <w:pPr>
        <w:pStyle w:val="BodyText"/>
      </w:pPr>
      <w:r>
        <w:rPr>
          <w:bCs/>
          <w:b/>
        </w:rPr>
        <w:t xml:space="preserve">Audit trail fields.</w:t>
      </w:r>
      <w:r>
        <w:t xml:space="preserve"> </w:t>
      </w:r>
      <w:r>
        <w:t xml:space="preserve">The shadow_blocked records lack sufficient metadata for post-hoc debugging and reproduction. The following fields should be added:</w:t>
      </w:r>
    </w:p>
    <w:p>
      <w:pPr>
        <w:numPr>
          <w:ilvl w:val="0"/>
          <w:numId w:val="1004"/>
        </w:numPr>
        <w:pStyle w:val="Compact"/>
      </w:pPr>
      <w:r>
        <w:rPr>
          <w:rStyle w:val="VerbatimChar"/>
        </w:rPr>
        <w:t xml:space="preserve">_pipeline_stage</w:t>
      </w:r>
      <w:r>
        <w:t xml:space="preserve">: which module last touched the pick (resolver, hc_filter, hf_gate)</w:t>
      </w:r>
    </w:p>
    <w:p>
      <w:pPr>
        <w:numPr>
          <w:ilvl w:val="0"/>
          <w:numId w:val="1004"/>
        </w:numPr>
        <w:pStyle w:val="Compact"/>
      </w:pPr>
      <w:r>
        <w:rPr>
          <w:rStyle w:val="VerbatimChar"/>
        </w:rPr>
        <w:t xml:space="preserve">_gate_decisions</w:t>
      </w:r>
      <w:r>
        <w:t xml:space="preserve">: JSON array of</w:t>
      </w:r>
      <w:r>
        <w:t xml:space="preserve"> </w:t>
      </w:r>
      <w:r>
        <w:rPr>
          <w:rStyle w:val="VerbatimChar"/>
        </w:rPr>
        <w:t xml:space="preserve">{gate_name, passed, reason}</w:t>
      </w:r>
      <w:r>
        <w:t xml:space="preserve"> </w:t>
      </w:r>
      <w:r>
        <w:t xml:space="preserve">for every gate evaluated</w:t>
      </w:r>
    </w:p>
    <w:p>
      <w:pPr>
        <w:numPr>
          <w:ilvl w:val="0"/>
          <w:numId w:val="1004"/>
        </w:numPr>
        <w:pStyle w:val="Compact"/>
      </w:pPr>
      <w:r>
        <w:rPr>
          <w:rStyle w:val="VerbatimChar"/>
        </w:rPr>
        <w:t xml:space="preserve">_data_quality_flags</w:t>
      </w:r>
      <w:r>
        <w:t xml:space="preserve">: array of validation warnings (missing field, inferred value, precision error)</w:t>
      </w:r>
    </w:p>
    <w:p>
      <w:pPr>
        <w:numPr>
          <w:ilvl w:val="0"/>
          <w:numId w:val="1004"/>
        </w:numPr>
        <w:pStyle w:val="Compact"/>
      </w:pPr>
      <w:r>
        <w:rPr>
          <w:rStyle w:val="VerbatimChar"/>
        </w:rPr>
        <w:t xml:space="preserve">_asset_class_inference_source</w:t>
      </w:r>
      <w:r>
        <w:t xml:space="preserve">: provenance for asset_class assignment</w:t>
      </w:r>
    </w:p>
    <w:p>
      <w:pPr>
        <w:numPr>
          <w:ilvl w:val="0"/>
          <w:numId w:val="1004"/>
        </w:numPr>
        <w:pStyle w:val="Compact"/>
      </w:pPr>
      <w:r>
        <w:rPr>
          <w:rStyle w:val="VerbatimChar"/>
        </w:rPr>
        <w:t xml:space="preserve">resolver_version</w:t>
      </w:r>
      <w:r>
        <w:t xml:space="preserve">: semantic version of the resolver that processed the pick (partially implemented in v2)</w:t>
      </w:r>
    </w:p>
    <w:p>
      <w:pPr>
        <w:numPr>
          <w:ilvl w:val="0"/>
          <w:numId w:val="1004"/>
        </w:numPr>
        <w:pStyle w:val="Compact"/>
      </w:pPr>
      <w:r>
        <w:rPr>
          <w:rStyle w:val="VerbatimChar"/>
        </w:rPr>
        <w:t xml:space="preserve">_resolve_retry_count</w:t>
      </w:r>
      <w:r>
        <w:t xml:space="preserve">: number of resolution attempts (currently only on resolved picks, should be on all)</w:t>
      </w:r>
    </w:p>
    <w:p>
      <w:pPr>
        <w:numPr>
          <w:ilvl w:val="0"/>
          <w:numId w:val="1004"/>
        </w:numPr>
        <w:pStyle w:val="Compact"/>
      </w:pPr>
      <w:r>
        <w:rPr>
          <w:rStyle w:val="VerbatimChar"/>
        </w:rPr>
        <w:t xml:space="preserve">gate_decision_chain</w:t>
      </w:r>
      <w:r>
        <w:t xml:space="preserve">: ordered list of gate evaluations with timestamps</w:t>
      </w:r>
    </w:p>
    <w:p>
      <w:pPr>
        <w:pStyle w:val="FirstParagraph"/>
      </w:pPr>
      <w:r>
        <w:rPr>
          <w:bCs/>
          <w:b/>
        </w:rPr>
        <w:t xml:space="preserve">Recommended track record schema.</w:t>
      </w:r>
      <w:r>
        <w:t xml:space="preserve"> </w:t>
      </w:r>
      <w:r>
        <w:t xml:space="preserve">To resolve the TRK% vs FWD WR% problem definitively, a new track record collection should be established:</w:t>
      </w:r>
    </w:p>
    <w:tbl>
      <w:tblPr>
        <w:tblStyle w:val="Table"/>
        <w:tblW w:type="pct" w:w="5000"/>
        <w:tblLook w:firstRow="1" w:lastRow="0" w:firstColumn="0" w:lastColumn="0" w:noHBand="0" w:noVBand="0" w:val="0020"/>
      </w:tblPr>
      <w:tblGrid>
        <w:gridCol w:w="2132"/>
        <w:gridCol w:w="1827"/>
        <w:gridCol w:w="3960"/>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Description</w:t>
            </w:r>
          </w:p>
        </w:tc>
      </w:tr>
      <w:tr>
        <w:tc>
          <w:tcPr/>
          <w:p>
            <w:pPr>
              <w:pStyle w:val="Compact"/>
              <w:jc w:val="left"/>
            </w:pPr>
            <w:r>
              <w:t xml:space="preserve">track_key</w:t>
            </w:r>
          </w:p>
        </w:tc>
        <w:tc>
          <w:tcPr/>
          <w:p>
            <w:pPr>
              <w:pStyle w:val="Compact"/>
              <w:jc w:val="left"/>
            </w:pPr>
            <w:r>
              <w:t xml:space="preserve">string</w:t>
            </w:r>
          </w:p>
        </w:tc>
        <w:tc>
          <w:tcPr/>
          <w:p>
            <w:pPr>
              <w:pStyle w:val="Compact"/>
              <w:jc w:val="left"/>
            </w:pPr>
            <w:r>
              <w:t xml:space="preserve">Composite key:</w:t>
            </w:r>
            <w:r>
              <w:t xml:space="preserve"> </w:t>
            </w:r>
            <w:r>
              <w:rPr>
                <w:rStyle w:val="VerbatimChar"/>
              </w:rPr>
              <w:t xml:space="preserve">{strategy}:{symbol}:{direction}</w:t>
            </w:r>
          </w:p>
        </w:tc>
      </w:tr>
      <w:tr>
        <w:tc>
          <w:tcPr/>
          <w:p>
            <w:pPr>
              <w:pStyle w:val="Compact"/>
              <w:jc w:val="left"/>
            </w:pPr>
            <w:r>
              <w:t xml:space="preserve">track_wr</w:t>
            </w:r>
          </w:p>
        </w:tc>
        <w:tc>
          <w:tcPr/>
          <w:p>
            <w:pPr>
              <w:pStyle w:val="Compact"/>
              <w:jc w:val="left"/>
            </w:pPr>
            <w:r>
              <w:t xml:space="preserve">float</w:t>
            </w:r>
          </w:p>
        </w:tc>
        <w:tc>
          <w:tcPr/>
          <w:p>
            <w:pPr>
              <w:pStyle w:val="Compact"/>
              <w:jc w:val="left"/>
            </w:pPr>
            <w:r>
              <w:t xml:space="preserve">0.0 – 1.0; win rate over the track window</w:t>
            </w:r>
          </w:p>
        </w:tc>
      </w:tr>
      <w:tr>
        <w:tc>
          <w:tcPr/>
          <w:p>
            <w:pPr>
              <w:pStyle w:val="Compact"/>
              <w:jc w:val="left"/>
            </w:pPr>
            <w:r>
              <w:t xml:space="preserve">track_trades</w:t>
            </w:r>
          </w:p>
        </w:tc>
        <w:tc>
          <w:tcPr/>
          <w:p>
            <w:pPr>
              <w:pStyle w:val="Compact"/>
              <w:jc w:val="left"/>
            </w:pPr>
            <w:r>
              <w:t xml:space="preserve">int</w:t>
            </w:r>
          </w:p>
        </w:tc>
        <w:tc>
          <w:tcPr/>
          <w:p>
            <w:pPr>
              <w:pStyle w:val="Compact"/>
              <w:jc w:val="left"/>
            </w:pPr>
            <w:r>
              <w:t xml:space="preserve">Total trades in the track window</w:t>
            </w:r>
          </w:p>
        </w:tc>
      </w:tr>
      <w:tr>
        <w:tc>
          <w:tcPr/>
          <w:p>
            <w:pPr>
              <w:pStyle w:val="Compact"/>
              <w:jc w:val="left"/>
            </w:pPr>
            <w:r>
              <w:t xml:space="preserve">track_wins</w:t>
            </w:r>
          </w:p>
        </w:tc>
        <w:tc>
          <w:tcPr/>
          <w:p>
            <w:pPr>
              <w:pStyle w:val="Compact"/>
              <w:jc w:val="left"/>
            </w:pPr>
            <w:r>
              <w:t xml:space="preserve">int</w:t>
            </w:r>
          </w:p>
        </w:tc>
        <w:tc>
          <w:tcPr/>
          <w:p>
            <w:pPr>
              <w:pStyle w:val="Compact"/>
              <w:jc w:val="left"/>
            </w:pPr>
            <w:r>
              <w:t xml:space="preserve">Winning trades in the window</w:t>
            </w:r>
          </w:p>
        </w:tc>
      </w:tr>
      <w:tr>
        <w:tc>
          <w:tcPr/>
          <w:p>
            <w:pPr>
              <w:pStyle w:val="Compact"/>
              <w:jc w:val="left"/>
            </w:pPr>
            <w:r>
              <w:t xml:space="preserve">track_losses</w:t>
            </w:r>
          </w:p>
        </w:tc>
        <w:tc>
          <w:tcPr/>
          <w:p>
            <w:pPr>
              <w:pStyle w:val="Compact"/>
              <w:jc w:val="left"/>
            </w:pPr>
            <w:r>
              <w:t xml:space="preserve">int</w:t>
            </w:r>
          </w:p>
        </w:tc>
        <w:tc>
          <w:tcPr/>
          <w:p>
            <w:pPr>
              <w:pStyle w:val="Compact"/>
              <w:jc w:val="left"/>
            </w:pPr>
            <w:r>
              <w:t xml:space="preserve">Losing trades in the window</w:t>
            </w:r>
          </w:p>
        </w:tc>
      </w:tr>
      <w:tr>
        <w:tc>
          <w:tcPr/>
          <w:p>
            <w:pPr>
              <w:pStyle w:val="Compact"/>
              <w:jc w:val="left"/>
            </w:pPr>
            <w:r>
              <w:t xml:space="preserve">track_window_days</w:t>
            </w:r>
          </w:p>
        </w:tc>
        <w:tc>
          <w:tcPr/>
          <w:p>
            <w:pPr>
              <w:pStyle w:val="Compact"/>
              <w:jc w:val="left"/>
            </w:pPr>
            <w:r>
              <w:t xml:space="preserve">int</w:t>
            </w:r>
          </w:p>
        </w:tc>
        <w:tc>
          <w:tcPr/>
          <w:p>
            <w:pPr>
              <w:pStyle w:val="Compact"/>
              <w:jc w:val="left"/>
            </w:pPr>
            <w:r>
              <w:t xml:space="preserve">Lookback period for the calculation (recommended: 90 days)</w:t>
            </w:r>
          </w:p>
        </w:tc>
      </w:tr>
      <w:tr>
        <w:tc>
          <w:tcPr/>
          <w:p>
            <w:pPr>
              <w:pStyle w:val="Compact"/>
              <w:jc w:val="left"/>
            </w:pPr>
            <w:r>
              <w:t xml:space="preserve">track_computed_at</w:t>
            </w:r>
          </w:p>
        </w:tc>
        <w:tc>
          <w:tcPr/>
          <w:p>
            <w:pPr>
              <w:pStyle w:val="Compact"/>
              <w:jc w:val="left"/>
            </w:pPr>
            <w:r>
              <w:t xml:space="preserve">datetime</w:t>
            </w:r>
          </w:p>
        </w:tc>
        <w:tc>
          <w:tcPr/>
          <w:p>
            <w:pPr>
              <w:pStyle w:val="Compact"/>
              <w:jc w:val="left"/>
            </w:pPr>
            <w:r>
              <w:t xml:space="preserve">Last update timestamp</w:t>
            </w:r>
          </w:p>
        </w:tc>
      </w:tr>
    </w:tbl>
    <w:p>
      <w:pPr>
        <w:pStyle w:val="BodyText"/>
      </w:pPr>
      <w:r>
        <w:t xml:space="preserve">The track calculator should run as a daily batch job after the resolution sweep completes, updating track records from newly closed picks and expiring trades outside the lookback window.</w:t>
      </w:r>
      <w:r>
        <w:t xml:space="preserve"> </w:t>
      </w:r>
      <w:r>
        <w:rPr>
          <w:rStyle w:val="VerbatimChar"/>
        </w:rPr>
        <w:t xml:space="preserve">hc_filter.js</w:t>
      </w:r>
      <w:r>
        <w:t xml:space="preserve"> </w:t>
      </w:r>
      <w:r>
        <w:t xml:space="preserve">should be modified to read</w:t>
      </w:r>
      <w:r>
        <w:t xml:space="preserve"> </w:t>
      </w:r>
      <w:r>
        <w:rPr>
          <w:rStyle w:val="VerbatimChar"/>
        </w:rPr>
        <w:t xml:space="preserve">p.track_wr</w:t>
      </w:r>
      <w:r>
        <w:t xml:space="preserve"> </w:t>
      </w:r>
      <w:r>
        <w:t xml:space="preserve">and</w:t>
      </w:r>
      <w:r>
        <w:t xml:space="preserve"> </w:t>
      </w:r>
      <w:r>
        <w:rPr>
          <w:rStyle w:val="VerbatimChar"/>
        </w:rPr>
        <w:t xml:space="preserve">p.track_trades</w:t>
      </w:r>
      <w:r>
        <w:t xml:space="preserve"> </w:t>
      </w:r>
      <w:r>
        <w:t xml:space="preserve">instead of</w:t>
      </w:r>
      <w:r>
        <w:t xml:space="preserve"> </w:t>
      </w:r>
      <w:r>
        <w:rPr>
          <w:rStyle w:val="VerbatimChar"/>
        </w:rPr>
        <w:t xml:space="preserve">p.strat_fwd_wr</w:t>
      </w:r>
      <w:r>
        <w:t xml:space="preserve"> </w:t>
      </w:r>
      <w:r>
        <w:t xml:space="preserve">and</w:t>
      </w:r>
      <w:r>
        <w:t xml:space="preserve"> </w:t>
      </w:r>
      <w:r>
        <w:rPr>
          <w:rStyle w:val="VerbatimChar"/>
        </w:rPr>
        <w:t xml:space="preserve">p.strat_fwd_trades</w:t>
      </w:r>
      <w:r>
        <w:t xml:space="preserve">, with a fallback to strategy-level aggregation only when the specific tuple has insufficient sample size (n &lt; 10).</w:t>
      </w:r>
    </w:p>
    <w:p>
      <w:pPr>
        <w:pStyle w:val="BodyText"/>
      </w:pPr>
      <w:r>
        <w:t xml:space="preserve">Implementing these schema enforcement measures would eliminate the data-loss cascade documented in Section 6.2, replace the inoperative forward-data gates with functioning per-symbol-direction tracking, and provide the audit trail necessary to debug future pipeline issues without repeating this 37-issue audit.</w:t>
      </w:r>
    </w:p>
    <w:p>
      <w:r>
        <w:pict>
          <v:rect style="width:0;height:1.5pt" o:hralign="center" o:hrstd="t" o:hr="t"/>
        </w:pict>
      </w:r>
    </w:p>
    <w:bookmarkEnd w:id="305"/>
    <w:bookmarkEnd w:id="306"/>
    <w:bookmarkStart w:id="335" w:name="new-strategies-asset-class-expansion"/>
    <w:p>
      <w:pPr>
        <w:pStyle w:val="Heading2"/>
      </w:pPr>
      <w:r>
        <w:t xml:space="preserve">7. New Strategies &amp; Asset Class Expansion</w:t>
      </w:r>
    </w:p>
    <w:p>
      <w:pPr>
        <w:pStyle w:val="FirstParagraph"/>
      </w:pPr>
      <w:r>
        <w:t xml:space="preserve">The audit of legacy strategies documented in Chapter 6 revealed a stark divergence: several incumbent asset-class engines carry structural damage that cannot be repaired by parameter tuning alone. The commodity term-structure model (PF 0.02, n = 46) and the forex breakout system (WR 45%, avg return −0.551%) are both operationally banned, leaving a vacuum in portfolio-level diversification. This chapter presents six strategy packages designed to either recover those failing sleeves or expand into entirely new alpha domains. Each proposal is grounded in peer-reviewed evidence and calibrated with institutional transaction-cost models. The strategies are presented in descending order of conviction, beginning with the highest-confidence opportunity identified across the entire research program.</w:t>
      </w:r>
    </w:p>
    <w:p>
      <w:pPr>
        <w:pStyle w:val="BodyText"/>
      </w:pPr>
      <w:r>
        <w:rPr>
          <w:bCs/>
          <w:b/>
        </w:rPr>
        <w:t xml:space="preserve">Table 7.1 — New Strategy Expected Performance Matrix</w:t>
      </w:r>
    </w:p>
    <w:tbl>
      <w:tblPr>
        <w:tblStyle w:val="Table"/>
        <w:tblW w:type="pct" w:w="5000"/>
        <w:tblLook w:firstRow="1" w:lastRow="0" w:firstColumn="0" w:lastColumn="0" w:noHBand="0" w:noVBand="0" w:val="0020"/>
      </w:tblPr>
      <w:tblGrid>
        <w:gridCol w:w="1131"/>
        <w:gridCol w:w="1131"/>
        <w:gridCol w:w="1414"/>
        <w:gridCol w:w="1414"/>
        <w:gridCol w:w="1414"/>
        <w:gridCol w:w="1414"/>
      </w:tblGrid>
      <w:tr>
        <w:trPr>
          <w:tblHeader w:val="true"/>
        </w:trPr>
        <w:tc>
          <w:tcPr/>
          <w:p>
            <w:pPr>
              <w:pStyle w:val="Compact"/>
              <w:jc w:val="left"/>
            </w:pPr>
            <w:r>
              <w:t xml:space="preserve">Strategy</w:t>
            </w:r>
          </w:p>
        </w:tc>
        <w:tc>
          <w:tcPr/>
          <w:p>
            <w:pPr>
              <w:pStyle w:val="Compact"/>
              <w:jc w:val="left"/>
            </w:pPr>
            <w:r>
              <w:t xml:space="preserve">Academic Anchor</w:t>
            </w:r>
          </w:p>
        </w:tc>
        <w:tc>
          <w:tcPr/>
          <w:p>
            <w:pPr>
              <w:pStyle w:val="Compact"/>
              <w:jc w:val="center"/>
            </w:pPr>
            <w:r>
              <w:t xml:space="preserve">Expected PF</w:t>
            </w:r>
          </w:p>
        </w:tc>
        <w:tc>
          <w:tcPr/>
          <w:p>
            <w:pPr>
              <w:pStyle w:val="Compact"/>
              <w:jc w:val="center"/>
            </w:pPr>
            <w:r>
              <w:t xml:space="preserve">Expected Sharpe</w:t>
            </w:r>
          </w:p>
        </w:tc>
        <w:tc>
          <w:tcPr/>
          <w:p>
            <w:pPr>
              <w:pStyle w:val="Compact"/>
              <w:jc w:val="center"/>
            </w:pPr>
            <w:r>
              <w:t xml:space="preserve">Capital Required</w:t>
            </w:r>
          </w:p>
        </w:tc>
        <w:tc>
          <w:tcPr/>
          <w:p>
            <w:pPr>
              <w:pStyle w:val="Compact"/>
              <w:jc w:val="center"/>
            </w:pPr>
            <w:r>
              <w:t xml:space="preserve">Conviction</w:t>
            </w:r>
          </w:p>
        </w:tc>
      </w:tr>
      <w:tr>
        <w:tc>
          <w:tcPr/>
          <w:p>
            <w:pPr>
              <w:pStyle w:val="Compact"/>
              <w:jc w:val="left"/>
            </w:pPr>
            <w:r>
              <w:t xml:space="preserve">Crypto Perp Funding Rate Arbitrage</w:t>
            </w:r>
          </w:p>
        </w:tc>
        <w:tc>
          <w:tcPr/>
          <w:p>
            <w:pPr>
              <w:pStyle w:val="Compact"/>
              <w:jc w:val="left"/>
            </w:pPr>
            <w:r>
              <w:t xml:space="preserve">He &amp; Manela (2024), Li, Shim &amp; Song (2025)</w:t>
            </w:r>
          </w:p>
        </w:tc>
        <w:tc>
          <w:tcPr/>
          <w:p>
            <w:pPr>
              <w:pStyle w:val="Compact"/>
              <w:jc w:val="center"/>
            </w:pPr>
            <w:r>
              <w:t xml:space="preserve">5.0–8.0+</w:t>
            </w:r>
          </w:p>
        </w:tc>
        <w:tc>
          <w:tcPr/>
          <w:p>
            <w:pPr>
              <w:pStyle w:val="Compact"/>
              <w:jc w:val="center"/>
            </w:pPr>
            <w:r>
              <w:t xml:space="preserve">2.5–3.5</w:t>
            </w:r>
          </w:p>
        </w:tc>
        <w:tc>
          <w:tcPr/>
          <w:p>
            <w:pPr>
              <w:pStyle w:val="Compact"/>
              <w:jc w:val="center"/>
            </w:pPr>
            <w:r>
              <w:t xml:space="preserve">$50K+</w:t>
            </w:r>
          </w:p>
        </w:tc>
        <w:tc>
          <w:tcPr/>
          <w:p>
            <w:pPr>
              <w:pStyle w:val="Compact"/>
              <w:jc w:val="center"/>
            </w:pPr>
            <w:r>
              <w:rPr>
                <w:bCs/>
                <w:b/>
              </w:rPr>
              <w:t xml:space="preserve">Highest</w:t>
            </w:r>
          </w:p>
        </w:tc>
      </w:tr>
      <w:tr>
        <w:tc>
          <w:tcPr/>
          <w:p>
            <w:pPr>
              <w:pStyle w:val="Compact"/>
              <w:jc w:val="left"/>
            </w:pPr>
            <w:r>
              <w:t xml:space="preserve">CEF NAV Discount Mean Reversion</w:t>
            </w:r>
          </w:p>
        </w:tc>
        <w:tc>
          <w:tcPr/>
          <w:p>
            <w:pPr>
              <w:pStyle w:val="Compact"/>
              <w:jc w:val="left"/>
            </w:pPr>
            <w:r>
              <w:t xml:space="preserve">CUNY Academic Paper (2021)</w:t>
            </w:r>
          </w:p>
        </w:tc>
        <w:tc>
          <w:tcPr/>
          <w:p>
            <w:pPr>
              <w:pStyle w:val="Compact"/>
              <w:jc w:val="center"/>
            </w:pPr>
            <w:r>
              <w:t xml:space="preserve">1.5–2.0</w:t>
            </w:r>
          </w:p>
        </w:tc>
        <w:tc>
          <w:tcPr/>
          <w:p>
            <w:pPr>
              <w:pStyle w:val="Compact"/>
              <w:jc w:val="center"/>
            </w:pPr>
            <w:r>
              <w:t xml:space="preserve">1.0–1.5</w:t>
            </w:r>
          </w:p>
        </w:tc>
        <w:tc>
          <w:tcPr/>
          <w:p>
            <w:pPr>
              <w:pStyle w:val="Compact"/>
              <w:jc w:val="center"/>
            </w:pPr>
            <w:r>
              <w:t xml:space="preserve">$100K+</w:t>
            </w:r>
          </w:p>
        </w:tc>
        <w:tc>
          <w:tcPr/>
          <w:p>
            <w:pPr>
              <w:pStyle w:val="Compact"/>
              <w:jc w:val="center"/>
            </w:pPr>
            <w:r>
              <w:t xml:space="preserve">Medium-High</w:t>
            </w:r>
          </w:p>
        </w:tc>
      </w:tr>
      <w:tr>
        <w:tc>
          <w:tcPr/>
          <w:p>
            <w:pPr>
              <w:pStyle w:val="Compact"/>
              <w:jc w:val="left"/>
            </w:pPr>
            <w:r>
              <w:t xml:space="preserve">Forex Carry + Momentum Hybrid</w:t>
            </w:r>
          </w:p>
        </w:tc>
        <w:tc>
          <w:tcPr/>
          <w:p>
            <w:pPr>
              <w:pStyle w:val="Compact"/>
              <w:jc w:val="left"/>
            </w:pPr>
            <w:r>
              <w:t xml:space="preserve">Burnside et al. (2011), JFE (2021)</w:t>
            </w:r>
          </w:p>
        </w:tc>
        <w:tc>
          <w:tcPr/>
          <w:p>
            <w:pPr>
              <w:pStyle w:val="Compact"/>
              <w:jc w:val="center"/>
            </w:pPr>
            <w:r>
              <w:t xml:space="preserve">1.3–1.8</w:t>
            </w:r>
          </w:p>
        </w:tc>
        <w:tc>
          <w:tcPr/>
          <w:p>
            <w:pPr>
              <w:pStyle w:val="Compact"/>
              <w:jc w:val="center"/>
            </w:pPr>
            <w:r>
              <w:t xml:space="preserve">0.6–0.9</w:t>
            </w:r>
          </w:p>
        </w:tc>
        <w:tc>
          <w:tcPr/>
          <w:p>
            <w:pPr>
              <w:pStyle w:val="Compact"/>
              <w:jc w:val="center"/>
            </w:pPr>
            <w:r>
              <w:t xml:space="preserve">$50K+</w:t>
            </w:r>
          </w:p>
        </w:tc>
        <w:tc>
          <w:tcPr/>
          <w:p>
            <w:pPr>
              <w:pStyle w:val="Compact"/>
              <w:jc w:val="center"/>
            </w:pPr>
            <w:r>
              <w:t xml:space="preserve">High</w:t>
            </w:r>
          </w:p>
        </w:tc>
      </w:tr>
      <w:tr>
        <w:tc>
          <w:tcPr/>
          <w:p>
            <w:pPr>
              <w:pStyle w:val="Compact"/>
              <w:jc w:val="left"/>
            </w:pPr>
            <w:r>
              <w:t xml:space="preserve">Commodity Triple-Screen (MOM + TS + Vol)</w:t>
            </w:r>
          </w:p>
        </w:tc>
        <w:tc>
          <w:tcPr/>
          <w:p>
            <w:pPr>
              <w:pStyle w:val="Compact"/>
              <w:jc w:val="left"/>
            </w:pPr>
            <w:r>
              <w:t xml:space="preserve">Fuertes, Miffre &amp; Fernandez-Perez (Cass)</w:t>
            </w:r>
          </w:p>
        </w:tc>
        <w:tc>
          <w:tcPr/>
          <w:p>
            <w:pPr>
              <w:pStyle w:val="Compact"/>
              <w:jc w:val="center"/>
            </w:pPr>
            <w:r>
              <w:t xml:space="preserve">1.3–1.6</w:t>
            </w:r>
          </w:p>
        </w:tc>
        <w:tc>
          <w:tcPr/>
          <w:p>
            <w:pPr>
              <w:pStyle w:val="Compact"/>
              <w:jc w:val="center"/>
            </w:pPr>
            <w:r>
              <w:t xml:space="preserve">0.5–0.7</w:t>
            </w:r>
          </w:p>
        </w:tc>
        <w:tc>
          <w:tcPr/>
          <w:p>
            <w:pPr>
              <w:pStyle w:val="Compact"/>
              <w:jc w:val="center"/>
            </w:pPr>
            <w:r>
              <w:t xml:space="preserve">$100K+</w:t>
            </w:r>
          </w:p>
        </w:tc>
        <w:tc>
          <w:tcPr/>
          <w:p>
            <w:pPr>
              <w:pStyle w:val="Compact"/>
              <w:jc w:val="center"/>
            </w:pPr>
            <w:r>
              <w:t xml:space="preserve">High</w:t>
            </w:r>
          </w:p>
        </w:tc>
      </w:tr>
      <w:tr>
        <w:tc>
          <w:tcPr/>
          <w:p>
            <w:pPr>
              <w:pStyle w:val="Compact"/>
              <w:jc w:val="left"/>
            </w:pPr>
            <w:r>
              <w:t xml:space="preserve">Gold/Silver Ratio Mean Reversion</w:t>
            </w:r>
          </w:p>
        </w:tc>
        <w:tc>
          <w:tcPr/>
          <w:p>
            <w:pPr>
              <w:pStyle w:val="Compact"/>
              <w:jc w:val="left"/>
            </w:pPr>
            <w:r>
              <w:t xml:space="preserve">30-year practitioner data (StoneX)</w:t>
            </w:r>
          </w:p>
        </w:tc>
        <w:tc>
          <w:tcPr/>
          <w:p>
            <w:pPr>
              <w:pStyle w:val="Compact"/>
              <w:jc w:val="center"/>
            </w:pPr>
            <w:r>
              <w:t xml:space="preserve">1.2–1.4</w:t>
            </w:r>
          </w:p>
        </w:tc>
        <w:tc>
          <w:tcPr/>
          <w:p>
            <w:pPr>
              <w:pStyle w:val="Compact"/>
              <w:jc w:val="center"/>
            </w:pPr>
            <w:r>
              <w:t xml:space="preserve">0.4–0.5</w:t>
            </w:r>
          </w:p>
        </w:tc>
        <w:tc>
          <w:tcPr/>
          <w:p>
            <w:pPr>
              <w:pStyle w:val="Compact"/>
              <w:jc w:val="center"/>
            </w:pPr>
            <w:r>
              <w:t xml:space="preserve">$50K+</w:t>
            </w:r>
          </w:p>
        </w:tc>
        <w:tc>
          <w:tcPr/>
          <w:p>
            <w:pPr>
              <w:pStyle w:val="Compact"/>
              <w:jc w:val="center"/>
            </w:pPr>
            <w:r>
              <w:t xml:space="preserve">Medium</w:t>
            </w:r>
          </w:p>
        </w:tc>
      </w:tr>
      <w:tr>
        <w:tc>
          <w:tcPr/>
          <w:p>
            <w:pPr>
              <w:pStyle w:val="Compact"/>
              <w:jc w:val="left"/>
            </w:pPr>
            <w:r>
              <w:t xml:space="preserve">Meme Coin Sentiment + Momentum</w:t>
            </w:r>
          </w:p>
        </w:tc>
        <w:tc>
          <w:tcPr/>
          <w:p>
            <w:pPr>
              <w:pStyle w:val="Compact"/>
              <w:jc w:val="left"/>
            </w:pPr>
            <w:r>
              <w:t xml:space="preserve">Sentiment Analysis (2025) — 74% accuracy</w:t>
            </w:r>
          </w:p>
        </w:tc>
        <w:tc>
          <w:tcPr/>
          <w:p>
            <w:pPr>
              <w:pStyle w:val="Compact"/>
              <w:jc w:val="center"/>
            </w:pPr>
            <w:r>
              <w:t xml:space="preserve">1.3–1.8</w:t>
            </w:r>
          </w:p>
        </w:tc>
        <w:tc>
          <w:tcPr/>
          <w:p>
            <w:pPr>
              <w:pStyle w:val="Compact"/>
              <w:jc w:val="center"/>
            </w:pPr>
            <w:r>
              <w:t xml:space="preserve">0.7–1.0</w:t>
            </w:r>
          </w:p>
        </w:tc>
        <w:tc>
          <w:tcPr/>
          <w:p>
            <w:pPr>
              <w:pStyle w:val="Compact"/>
              <w:jc w:val="center"/>
            </w:pPr>
            <w:r>
              <w:t xml:space="preserve">$25K+</w:t>
            </w:r>
          </w:p>
        </w:tc>
        <w:tc>
          <w:tcPr/>
          <w:p>
            <w:pPr>
              <w:pStyle w:val="Compact"/>
              <w:jc w:val="center"/>
            </w:pPr>
            <w:r>
              <w:t xml:space="preserve">Medium</w:t>
            </w:r>
          </w:p>
        </w:tc>
      </w:tr>
      <w:tr>
        <w:tc>
          <w:tcPr/>
          <w:p>
            <w:pPr>
              <w:pStyle w:val="Compact"/>
              <w:jc w:val="left"/>
            </w:pPr>
            <w:r>
              <w:t xml:space="preserve">Penny Stock Intraday Reversal</w:t>
            </w:r>
          </w:p>
        </w:tc>
        <w:tc>
          <w:tcPr/>
          <w:p>
            <w:pPr>
              <w:pStyle w:val="Compact"/>
              <w:jc w:val="left"/>
            </w:pPr>
            <w:r>
              <w:t xml:space="preserve">Da, Liu &amp; Schaumburg (2014)</w:t>
            </w:r>
          </w:p>
        </w:tc>
        <w:tc>
          <w:tcPr/>
          <w:p>
            <w:pPr>
              <w:pStyle w:val="Compact"/>
              <w:jc w:val="center"/>
            </w:pPr>
            <w:r>
              <w:t xml:space="preserve">1.1–1.3</w:t>
            </w:r>
          </w:p>
        </w:tc>
        <w:tc>
          <w:tcPr/>
          <w:p>
            <w:pPr>
              <w:pStyle w:val="Compact"/>
              <w:jc w:val="center"/>
            </w:pPr>
            <w:r>
              <w:t xml:space="preserve">0.3–0.5</w:t>
            </w:r>
          </w:p>
        </w:tc>
        <w:tc>
          <w:tcPr/>
          <w:p>
            <w:pPr>
              <w:pStyle w:val="Compact"/>
              <w:jc w:val="center"/>
            </w:pPr>
            <w:r>
              <w:t xml:space="preserve">$25K+</w:t>
            </w:r>
          </w:p>
        </w:tc>
        <w:tc>
          <w:tcPr/>
          <w:p>
            <w:pPr>
              <w:pStyle w:val="Compact"/>
              <w:jc w:val="center"/>
            </w:pPr>
            <w:r>
              <w:t xml:space="preserve">Low-Medium</w:t>
            </w:r>
          </w:p>
        </w:tc>
      </w:tr>
    </w:tbl>
    <w:p>
      <w:pPr>
        <w:pStyle w:val="BodyText"/>
      </w:pPr>
      <w:r>
        <w:t xml:space="preserve">The above matrix synthesizes expected performance across conservative, base, and optimistic scenarios (the ranges shown reflect the base case). Crypto perpetual funding-rate arbitrage occupies a category of its own: the strategy combines rigorous academic validation with near-zero market beta and is projected to deliver PF above 5.0 under base-case assumptions. At the other extreme, penny-stock strategies are assigned a conditional, experimental allocation not exceeding 2% of portfolio capital, reflecting severe liquidity and operational constraints. The sections that follow develop each strategy in sufficient depth to support immediate implementation decisions.</w:t>
      </w:r>
    </w:p>
    <w:p>
      <w:pPr>
        <w:pStyle w:val="CaptionedFigure"/>
      </w:pPr>
      <w:r>
        <w:drawing>
          <wp:inline>
            <wp:extent cx="5334000" cy="3082066"/>
            <wp:effectExtent b="0" l="0" r="0" t="0"/>
            <wp:docPr descr="New Strategy Risk-Return Profile" title="" id="308" name="Picture"/>
            <a:graphic>
              <a:graphicData uri="http://schemas.openxmlformats.org/drawingml/2006/picture">
                <pic:pic>
                  <pic:nvPicPr>
                    <pic:cNvPr descr="strategy_risk_return_profile.png" id="309" name="Picture"/>
                    <pic:cNvPicPr>
                      <a:picLocks noChangeArrowheads="1" noChangeAspect="1"/>
                    </pic:cNvPicPr>
                  </pic:nvPicPr>
                  <pic:blipFill>
                    <a:blip r:embed="rId307"/>
                    <a:stretch>
                      <a:fillRect/>
                    </a:stretch>
                  </pic:blipFill>
                  <pic:spPr bwMode="auto">
                    <a:xfrm>
                      <a:off x="0" y="0"/>
                      <a:ext cx="5334000" cy="3082066"/>
                    </a:xfrm>
                    <a:prstGeom prst="rect">
                      <a:avLst/>
                    </a:prstGeom>
                    <a:noFill/>
                    <a:ln w="9525">
                      <a:noFill/>
                      <a:headEnd/>
                      <a:tailEnd/>
                    </a:ln>
                  </pic:spPr>
                </pic:pic>
              </a:graphicData>
            </a:graphic>
          </wp:inline>
        </w:drawing>
      </w:r>
    </w:p>
    <w:p>
      <w:pPr>
        <w:pStyle w:val="ImageCaption"/>
      </w:pPr>
      <w:r>
        <w:t xml:space="preserve">New Strategy Risk-Return Profile</w:t>
      </w:r>
    </w:p>
    <w:p>
      <w:pPr>
        <w:pStyle w:val="BodyText"/>
      </w:pPr>
      <w:r>
        <w:rPr>
          <w:iCs/>
          <w:i/>
        </w:rPr>
        <w:t xml:space="preserve">Figure 7.1: Expected annual return versus Sharpe ratio for all seven proposed strategies (bubble size proportional to conviction level). Crypto perpetual funding arbitrage occupies the upper-right quadrant, while meme coin strategies offer high raw returns at lower risk-adjusted efficiency. Source: Author compilation from academic references cited in Table 7.1.</w:t>
      </w:r>
    </w:p>
    <w:p>
      <w:pPr>
        <w:pStyle w:val="BodyText"/>
      </w:pPr>
      <w:r>
        <w:t xml:space="preserve">The scatter plot clarifies why crypto perps merit the lead position. No other strategy simultaneously delivers projected Sharpe ratios above 2.5 and annual returns in the 25–40% range. The CEF NAV discount strategy sits in a more modest but still attractive zone, offering a 1.2–1.5 Sharpe with drawdowns capped near −12%. By contrast, meme coins and penny stocks populate the high-return, low-Sharpe region, confirming their role as satellite allocations rather than core portfolio engines.</w:t>
      </w:r>
    </w:p>
    <w:p>
      <w:r>
        <w:pict>
          <v:rect style="width:0;height:1.5pt" o:hralign="center" o:hrstd="t" o:hr="t"/>
        </w:pict>
      </w:r>
    </w:p>
    <w:bookmarkStart w:id="313" w:name="X5008c4c22a97a6c3683e18f329387e65b1b4a6a"/>
    <w:p>
      <w:pPr>
        <w:pStyle w:val="Heading3"/>
      </w:pPr>
      <w:r>
        <w:t xml:space="preserve">7.1 Crypto Perpetual Futures — Highest Conviction</w:t>
      </w:r>
    </w:p>
    <w:p>
      <w:pPr>
        <w:pStyle w:val="FirstParagraph"/>
      </w:pPr>
      <w:r>
        <w:t xml:space="preserve">The most compelling expansion opportunity identified in this research program is delta-neutral arbitrage between spot cryptocurrency and perpetual futures. The strategy has two complementary implementations: funding-rate harvesting and basis trading. Both are academically validated, structurally delta-neutral, and executable with existing exchange infrastructure.</w:t>
      </w:r>
    </w:p>
    <w:p>
      <w:pPr>
        <w:pStyle w:val="BodyText"/>
      </w:pPr>
      <w:r>
        <w:rPr>
          <w:bCs/>
          <w:b/>
        </w:rPr>
        <w:t xml:space="preserve">Funding-Rate Arbitrage.</w:t>
      </w:r>
      <w:r>
        <w:t xml:space="preserve"> </w:t>
      </w:r>
      <w:r>
        <w:t xml:space="preserve">The perpetual futures contract, unlike traditional futures, has no expiry. To keep its price anchored to the spot index, exchanges impose a funding mechanism: every eight hours, long positions pay short positions (or vice versa) at a rate determined by the premium of the perpetual over the spot index. In bull-market regimes, leverage demand from long speculators drives funding rates persistently positive, creating a structural transfer from directional longs to market-neutral shorts. He &amp; Manela (2024), forthcoming in the</w:t>
      </w:r>
      <w:r>
        <w:t xml:space="preserve"> </w:t>
      </w:r>
      <w:r>
        <w:rPr>
          <w:iCs/>
          <w:i/>
        </w:rPr>
        <w:t xml:space="preserve">Journal of Finance</w:t>
      </w:r>
      <w:r>
        <w:t xml:space="preserve">, demonstrate that perpetual-futures arbitrage yields substantial Sharpe ratios across a range of trading-cost scenarios and that price convergence (not funding-rate carry alone) is the dominant profit source</w:t>
      </w:r>
      <w:r>
        <w:rPr>
          <w:rStyle w:val="FootnoteReference"/>
        </w:rPr>
        <w:footnoteReference w:id="310"/>
      </w:r>
      <w:r>
        <w:t xml:space="preserve">. Li, Shim &amp; Song (2025) provide complementary empirical evidence: funding-rate arbitrage generated returns of up to</w:t>
      </w:r>
      <w:r>
        <w:t xml:space="preserve"> </w:t>
      </w:r>
      <w:r>
        <w:rPr>
          <w:bCs/>
          <w:b/>
        </w:rPr>
        <w:t xml:space="preserve">115.9% over six months</w:t>
      </w:r>
      <w:r>
        <w:t xml:space="preserve"> </w:t>
      </w:r>
      <w:r>
        <w:t xml:space="preserve">with maximum possible loss of only</w:t>
      </w:r>
      <w:r>
        <w:t xml:space="preserve"> </w:t>
      </w:r>
      <w:r>
        <w:rPr>
          <w:bCs/>
          <w:b/>
        </w:rPr>
        <w:t xml:space="preserve">1.92%</w:t>
      </w:r>
      <w:r>
        <w:t xml:space="preserve">, and the strategy exhibits zero correlation with buy-and-hold (HODL) approaches</w:t>
      </w:r>
      <w:r>
        <w:rPr>
          <w:rStyle w:val="FootnoteReference"/>
        </w:rPr>
        <w:footnoteReference w:id="311"/>
      </w:r>
      <w:r>
        <w:t xml:space="preserve">.</w:t>
      </w:r>
    </w:p>
    <w:p>
      <w:pPr>
        <w:pStyle w:val="BodyText"/>
      </w:pPr>
      <w:r>
        <w:t xml:space="preserve">The economics are compelling. With an average daily funding rate of 0.03% (conservative), a $100,000 delta-neutral position (long spot, short perpetual) collects $90 per day in funding income, or roughly $32,850 annually — a</w:t>
      </w:r>
      <w:r>
        <w:t xml:space="preserve"> </w:t>
      </w:r>
      <w:r>
        <w:rPr>
          <w:bCs/>
          <w:b/>
        </w:rPr>
        <w:t xml:space="preserve">32.85% unlevered yield</w:t>
      </w:r>
      <w:r>
        <w:t xml:space="preserve">. At 2× leverage, the annual return approaches 65%; at 3×, roughly 98%. Backpack Exchange data confirm that positive funding prevails on more than 90% of trading days during neutral-to-bullish market regimes. Historical yields vary sharply by regime: bull markets produce 55–110% annualized (unlevered) with positive funding on 85–95% of days; neutral regimes generate 22–44% at 70–80% positive-day frequency; bear markets collapse to 0–22% as funding turns negative 35–50% of the time.</w:t>
      </w:r>
    </w:p>
    <w:p>
      <w:pPr>
        <w:pStyle w:val="BodyText"/>
      </w:pPr>
      <w:r>
        <w:t xml:space="preserve">The regime-dependency is material. The strategy should be turned off when the 30-day average funding rate falls below zero, a condition that has historically persisted for weeks during sustained bear markets. An entry filter requiring the seven-day average funding rate to exceed 0.01% per eight-hour period eliminates the majority of unprofitable periods.</w:t>
      </w:r>
    </w:p>
    <w:p>
      <w:pPr>
        <w:pStyle w:val="BodyText"/>
      </w:pPr>
      <w:r>
        <w:rPr>
          <w:bCs/>
          <w:b/>
        </w:rPr>
        <w:t xml:space="preserve">Basis Trade.</w:t>
      </w:r>
      <w:r>
        <w:t xml:space="preserve"> </w:t>
      </w:r>
      <w:r>
        <w:t xml:space="preserve">The second implementation exploits deviations between the perpetual futures price and the spot price. When the perpetual trades at a premium to spot, the strategy shorts the perpetual and buys spot; when it trades at a discount, the reverse. He &amp; Manela (2024) find that basis deviations from no-arbitrage bounds represent random-maturity arbitrage opportunities with mean-reverting half-lives of one to three days</w:t>
      </w:r>
      <w:r>
        <w:rPr>
          <w:rStyle w:val="FootnoteReference"/>
        </w:rPr>
        <w:footnoteReference w:id="312"/>
      </w:r>
      <w:r>
        <w:t xml:space="preserve">. Profit decomposition reveals that</w:t>
      </w:r>
      <w:r>
        <w:t xml:space="preserve"> </w:t>
      </w:r>
      <w:r>
        <w:rPr>
          <w:bCs/>
          <w:b/>
        </w:rPr>
        <w:t xml:space="preserve">price convergence accounts for two-thirds of profits</w:t>
      </w:r>
      <w:r>
        <w:t xml:space="preserve"> </w:t>
      </w:r>
      <w:r>
        <w:t xml:space="preserve">(for BTC) and three-quarters (for ETH), with funding-rate capture contributing the remainder. The combination of both implementations creates a dual-alpha engine: basis trades capture short-term dislocations, while funding-rate arbitrage harvests structural carry.</w:t>
      </w:r>
    </w:p>
    <w:p>
      <w:pPr>
        <w:pStyle w:val="BodyText"/>
      </w:pPr>
      <w:r>
        <w:rPr>
          <w:bCs/>
          <w:b/>
        </w:rPr>
        <w:t xml:space="preserve">Risk Management.</w:t>
      </w:r>
      <w:r>
        <w:t xml:space="preserve"> </w:t>
      </w:r>
      <w:r>
        <w:t xml:space="preserve">Five principal risks require active mitigation. (1)</w:t>
      </w:r>
      <w:r>
        <w:t xml:space="preserve"> </w:t>
      </w:r>
      <w:r>
        <w:rPr>
          <w:iCs/>
          <w:i/>
        </w:rPr>
        <w:t xml:space="preserve">Negative funding regimes</w:t>
      </w:r>
      <w:r>
        <w:t xml:space="preserve">: filtered by the seven-day moving-average rule described above. (2)</w:t>
      </w:r>
      <w:r>
        <w:t xml:space="preserve"> </w:t>
      </w:r>
      <w:r>
        <w:rPr>
          <w:iCs/>
          <w:i/>
        </w:rPr>
        <w:t xml:space="preserve">Liquidation risk on the futures leg</w:t>
      </w:r>
      <w:r>
        <w:t xml:space="preserve">: a 40% minimum margin buffer and a hard 3× leverage cap address this. (3)</w:t>
      </w:r>
      <w:r>
        <w:t xml:space="preserve"> </w:t>
      </w:r>
      <w:r>
        <w:rPr>
          <w:iCs/>
          <w:i/>
        </w:rPr>
        <w:t xml:space="preserve">Exchange counterparty risk</w:t>
      </w:r>
      <w:r>
        <w:t xml:space="preserve">: capital should be split across two to three regulated exchanges (Binance, OKX, Bybit). (4)</w:t>
      </w:r>
      <w:r>
        <w:t xml:space="preserve"> </w:t>
      </w:r>
      <w:r>
        <w:rPr>
          <w:iCs/>
          <w:i/>
        </w:rPr>
        <w:t xml:space="preserve">Basis risk</w:t>
      </w:r>
      <w:r>
        <w:t xml:space="preserve">: divergence can widen before convergence; volatility-targeted position sizing limits exposure. (5)</w:t>
      </w:r>
      <w:r>
        <w:t xml:space="preserve"> </w:t>
      </w:r>
      <w:r>
        <w:rPr>
          <w:iCs/>
          <w:i/>
        </w:rPr>
        <w:t xml:space="preserve">Funding-rate reversal</w:t>
      </w:r>
      <w:r>
        <w:t xml:space="preserve">: exit triggers activate after three consecutive negative funding periods.</w:t>
      </w:r>
    </w:p>
    <w:p>
      <w:pPr>
        <w:pStyle w:val="BodyText"/>
      </w:pPr>
      <w:r>
        <w:rPr>
          <w:bCs/>
          <w:b/>
        </w:rPr>
        <w:t xml:space="preserve">Expected Performance.</w:t>
      </w:r>
      <w:r>
        <w:t xml:space="preserve"> </w:t>
      </w:r>
      <w:r>
        <w:t xml:space="preserve">Base-case projections, derived from the academic literature and calibrated to current funding-rate percentiles, are as follows: annual return</w:t>
      </w:r>
      <w:r>
        <w:t xml:space="preserve"> </w:t>
      </w:r>
      <w:r>
        <w:rPr>
          <w:bCs/>
          <w:b/>
        </w:rPr>
        <w:t xml:space="preserve">25–40%</w:t>
      </w:r>
      <w:r>
        <w:t xml:space="preserve">, volatility</w:t>
      </w:r>
      <w:r>
        <w:t xml:space="preserve"> </w:t>
      </w:r>
      <w:r>
        <w:rPr>
          <w:bCs/>
          <w:b/>
        </w:rPr>
        <w:t xml:space="preserve">8–12%</w:t>
      </w:r>
      <w:r>
        <w:t xml:space="preserve">, Sharpe</w:t>
      </w:r>
      <w:r>
        <w:t xml:space="preserve"> </w:t>
      </w:r>
      <w:r>
        <w:rPr>
          <w:bCs/>
          <w:b/>
        </w:rPr>
        <w:t xml:space="preserve">2.5–3.5</w:t>
      </w:r>
      <w:r>
        <w:t xml:space="preserve">, WR</w:t>
      </w:r>
      <w:r>
        <w:t xml:space="preserve"> </w:t>
      </w:r>
      <w:r>
        <w:rPr>
          <w:bCs/>
          <w:b/>
        </w:rPr>
        <w:t xml:space="preserve">75%</w:t>
      </w:r>
      <w:r>
        <w:t xml:space="preserve">, PF</w:t>
      </w:r>
      <w:r>
        <w:t xml:space="preserve"> </w:t>
      </w:r>
      <w:r>
        <w:rPr>
          <w:bCs/>
          <w:b/>
        </w:rPr>
        <w:t xml:space="preserve">5.0</w:t>
      </w:r>
      <w:r>
        <w:t xml:space="preserve">, and maximum drawdown</w:t>
      </w:r>
      <w:r>
        <w:t xml:space="preserve"> </w:t>
      </w:r>
      <w:r>
        <w:rPr>
          <w:bCs/>
          <w:b/>
        </w:rPr>
        <w:t xml:space="preserve">−8%</w:t>
      </w:r>
      <w:r>
        <w:t xml:space="preserve">. These metrics place the strategy in the upper decile of institutional hedge-fund returns on a risk-adjusted basis.</w:t>
      </w:r>
    </w:p>
    <w:p>
      <w:r>
        <w:pict>
          <v:rect style="width:0;height:1.5pt" o:hralign="center" o:hrstd="t" o:hr="t"/>
        </w:pict>
      </w:r>
    </w:p>
    <w:bookmarkEnd w:id="313"/>
    <w:bookmarkStart w:id="317" w:name="forex-carry-factor-sleeve"/>
    <w:p>
      <w:pPr>
        <w:pStyle w:val="Heading3"/>
      </w:pPr>
      <w:r>
        <w:t xml:space="preserve">7.2 Forex Carry Factor Sleeve</w:t>
      </w:r>
    </w:p>
    <w:p>
      <w:pPr>
        <w:pStyle w:val="FirstParagraph"/>
      </w:pPr>
      <w:r>
        <w:t xml:space="preserve">The forex breakout momentum strategy has been banned following catastrophic results (n = 20, WR 45%, avg −0.551%). The recovery path does not lie in resurrecting a failed directional model but in rebuilding the forex sleeve from first principles around the carry factor.</w:t>
      </w:r>
    </w:p>
    <w:p>
      <w:pPr>
        <w:pStyle w:val="BodyText"/>
      </w:pPr>
      <w:r>
        <w:rPr>
          <w:bCs/>
          <w:b/>
        </w:rPr>
        <w:t xml:space="preserve">Strategy Logic.</w:t>
      </w:r>
      <w:r>
        <w:t xml:space="preserve"> </w:t>
      </w:r>
      <w:r>
        <w:t xml:space="preserve">The G10 carry trade borrows low-yield currencies and invests in high-yield equivalents, profiting from interest-rate differentials while hedging directional exposure. Burnside, Eichenbaum &amp; Rebelo (2011), published as an NBER working paper, demonstrate that diversified carry portfolios generate</w:t>
      </w:r>
      <w:r>
        <w:t xml:space="preserve"> </w:t>
      </w:r>
      <w:r>
        <w:rPr>
          <w:bCs/>
          <w:b/>
        </w:rPr>
        <w:t xml:space="preserve">4.5% annualized payoffs with 5.2% standard deviation, yielding a Sharpe ratio of 0.86</w:t>
      </w:r>
      <w:r>
        <w:t xml:space="preserve"> </w:t>
      </w:r>
      <w:r>
        <w:t xml:space="preserve">across a basket of 20 currencies</w:t>
      </w:r>
      <w:r>
        <w:rPr>
          <w:rStyle w:val="FootnoteReference"/>
        </w:rPr>
        <w:footnoteReference w:id="314"/>
      </w:r>
      <w:r>
        <w:t xml:space="preserve">. Diversification across uncorrelated currency pairs cuts portfolio volatility by more than 50% relative to single-pair positions. Current G10 policy-rate spreads present an unusually favorable environment, with the top seven carry pairs offering spreads between 3.10% and 4.75%: USDCHF leads at 4.75%, followed by AUDCHF at 4.35%, USDJPY at 4.00%, AUDJPY at 3.60%, NZDCHF at 3.50%, USDSEK at 3.25%, and USDNOK at 3.10%.</w:t>
      </w:r>
    </w:p>
    <w:p>
      <w:pPr>
        <w:pStyle w:val="BodyText"/>
      </w:pPr>
      <w:r>
        <w:t xml:space="preserve">The current rate environment is the most favorable for carry trades in over a decade. With the Swiss National Bank holding rates near 0.00% and the Federal Reserve at 4.75%, the USDCHF spread alone generates a 4.75% annual carry before any directional alpha. This is not a theoretical construct: an overlay that increases position size by 20% when signal direction aligns with positive carry, and reduces by 15% when opposed, is projected to add 150–200 basis points to the sleeve’s PF</w:t>
      </w:r>
      <w:r>
        <w:rPr>
          <w:rStyle w:val="FootnoteReference"/>
        </w:rPr>
        <w:footnoteReference w:id="315"/>
      </w:r>
      <w:r>
        <w:t xml:space="preserve">.</w:t>
      </w:r>
    </w:p>
    <w:p>
      <w:pPr>
        <w:pStyle w:val="BodyText"/>
      </w:pPr>
      <w:r>
        <w:rPr>
          <w:bCs/>
          <w:b/>
        </w:rPr>
        <w:t xml:space="preserve">Momentum Hybrid.</w:t>
      </w:r>
      <w:r>
        <w:t xml:space="preserve"> </w:t>
      </w:r>
      <w:r>
        <w:t xml:space="preserve">A factor-momentum overlay enhances the raw carry signal.</w:t>
      </w:r>
      <w:r>
        <w:t xml:space="preserve"> </w:t>
      </w:r>
      <w:r>
        <w:t xml:space="preserve">“</w:t>
      </w:r>
      <w:r>
        <w:t xml:space="preserve">Dissecting Currency Momentum</w:t>
      </w:r>
      <w:r>
        <w:t xml:space="preserve">”</w:t>
      </w:r>
      <w:r>
        <w:t xml:space="preserve"> </w:t>
      </w:r>
      <w:r>
        <w:t xml:space="preserve">(</w:t>
      </w:r>
      <w:r>
        <w:rPr>
          <w:iCs/>
          <w:i/>
        </w:rPr>
        <w:t xml:space="preserve">Journal of Financial Economics</w:t>
      </w:r>
      <w:r>
        <w:t xml:space="preserve">, 2021) shows that factor momentum on carry and dollar factors produces Sharpe ratios of</w:t>
      </w:r>
      <w:r>
        <w:t xml:space="preserve"> </w:t>
      </w:r>
      <w:r>
        <w:rPr>
          <w:bCs/>
          <w:b/>
        </w:rPr>
        <w:t xml:space="preserve">0.84–0.94</w:t>
      </w:r>
      <w:r>
        <w:t xml:space="preserve"> </w:t>
      </w:r>
      <w:r>
        <w:t xml:space="preserve">with one- to three-month formation periods — materially higher than traditional individual-currency momentum (Sharpe 0.60). He &amp; Manela (2024) provide further evidence that network momentum models achieve Sharpe ratios of 0.357 with 29% improvement over MACD benchmarks in currency applications</w:t>
      </w:r>
      <w:r>
        <w:rPr>
          <w:rStyle w:val="FootnoteReference"/>
        </w:rPr>
        <w:footnoteReference w:id="316"/>
      </w:r>
      <w:r>
        <w:t xml:space="preserve">. The combined carry-plus-momentum signal targets PF 1.8, WR 55%, and annual returns of 5–8%.</w:t>
      </w:r>
    </w:p>
    <w:p>
      <w:pPr>
        <w:pStyle w:val="BodyText"/>
      </w:pPr>
      <w:r>
        <w:t xml:space="preserve">Transaction costs are modest for G10 majors: round-trip costs of 0.8–3.0 pips (approximately 0.01–0.04% for EURUSD) leave ample margin for the expected per-trade alpha. Risk controls include hard stops at 2× annualized volatility, single-pair exposure capped at 10% of the forex allocation, and a BoJ intervention watch that triggers JPY reduction when USDJPY exceeds 155.</w:t>
      </w:r>
    </w:p>
    <w:p>
      <w:r>
        <w:pict>
          <v:rect style="width:0;height:1.5pt" o:hralign="center" o:hrstd="t" o:hr="t"/>
        </w:pict>
      </w:r>
    </w:p>
    <w:bookmarkEnd w:id="317"/>
    <w:bookmarkStart w:id="320" w:name="cef-nav-discount-strategy"/>
    <w:p>
      <w:pPr>
        <w:pStyle w:val="Heading3"/>
      </w:pPr>
      <w:r>
        <w:t xml:space="preserve">7.3 CEF NAV Discount Strategy</w:t>
      </w:r>
    </w:p>
    <w:p>
      <w:pPr>
        <w:pStyle w:val="FirstParagraph"/>
      </w:pPr>
      <w:r>
        <w:t xml:space="preserve">Closed-end funds (CEFs) trade on exchanges at prices that can deviate substantially from their net asset values. These discounts and premiums are not random: they mean-revert toward fund-specific equilibria at speeds that create a predictable alpha source.</w:t>
      </w:r>
    </w:p>
    <w:p>
      <w:pPr>
        <w:pStyle w:val="BodyText"/>
      </w:pPr>
      <w:r>
        <w:rPr>
          <w:bCs/>
          <w:b/>
        </w:rPr>
        <w:t xml:space="preserve">Academic Evidence.</w:t>
      </w:r>
      <w:r>
        <w:t xml:space="preserve"> </w:t>
      </w:r>
      <w:r>
        <w:t xml:space="preserve">The CUNY academic paper</w:t>
      </w:r>
      <w:r>
        <w:t xml:space="preserve"> </w:t>
      </w:r>
      <w:r>
        <w:t xml:space="preserve">“</w:t>
      </w:r>
      <w:r>
        <w:t xml:space="preserve">Exploiting Closed-End Fund Discounts</w:t>
      </w:r>
      <w:r>
        <w:t xml:space="preserve">”</w:t>
      </w:r>
      <w:r>
        <w:t xml:space="preserve"> </w:t>
      </w:r>
      <w:r>
        <w:t xml:space="preserve">documents a Bias-Adjusted Mean Reversion (BMR) long-short strategy that generates</w:t>
      </w:r>
      <w:r>
        <w:t xml:space="preserve"> </w:t>
      </w:r>
      <w:r>
        <w:rPr>
          <w:bCs/>
          <w:b/>
        </w:rPr>
        <w:t xml:space="preserve">17.3% annualized return with a Sharpe ratio of 1.862</w:t>
      </w:r>
      <w:r>
        <w:rPr>
          <w:rStyle w:val="FootnoteReference"/>
        </w:rPr>
        <w:footnoteReference w:id="318"/>
      </w:r>
      <w:r>
        <w:t xml:space="preserve">. Individual CEF premium mean-reversion speed is estimated at 8.6% per month, implying a half-life of 7.7 months — fast enough to be tradable yet slow enough to avoid high-frequency noise. The long-most-discounted / short-most-premium quintile portfolio (Q5–Q1) delivers 14.9% annual return with Sharpe 1.519. Critically, 86% of CEFs exhibit statistically significant mean reversion in their premium/discount dynamics</w:t>
      </w:r>
      <w:r>
        <w:rPr>
          <w:rStyle w:val="FootnoteReference"/>
        </w:rPr>
        <w:footnoteReference w:id="319"/>
      </w:r>
      <w:r>
        <w:t xml:space="preserve">.</w:t>
      </w:r>
    </w:p>
    <w:p>
      <w:pPr>
        <w:pStyle w:val="BodyText"/>
      </w:pPr>
      <w:r>
        <w:rPr>
          <w:bCs/>
          <w:b/>
        </w:rPr>
        <w:t xml:space="preserve">Double-Alpha in a High-Rate Environment.</w:t>
      </w:r>
      <w:r>
        <w:t xml:space="preserve"> </w:t>
      </w:r>
      <w:r>
        <w:t xml:space="preserve">Current fixed-income CEFs present an unusual convergence of two alpha sources. Many trade at discounts of 8–12% while distributing yields of 8–10%. Buying at a 12% discount to NAV simultaneously captures (a) the expected convergence return as the discount narrows, and (b) an enhanced yield: a 10% NAV-distributed yield becomes an 11.4% yield on the discounted market price. This yield-plus-discount convergence mechanism is absent in open-end mutual funds, which always transact at NAV, cannot be shorted, and lack intraday liquidity. Mutual funds are structurally unsuited to systematic strategies and should be excluded from the strategy universe entirely. CEFs, by contrast, provide cross-sectional dispersion in discounts, embedded leverage that amplifies yield, and the ability to construct market-neutral long-short portfolios — advantages that make them far superior to mutual funds for alpha extraction.</w:t>
      </w:r>
    </w:p>
    <w:p>
      <w:pPr>
        <w:pStyle w:val="BodyText"/>
      </w:pPr>
      <w:r>
        <w:t xml:space="preserve">Cross-sectional variation in reversion speed creates optimization potential: fixed-income CEFs revert faster than equity CEFs, and international funds revert faster than domestic. An Ornstein-Uhlenbeck model estimated on each fund’s premium history yields fund-specific mean-reversion parameters, enabling dynamic position sizing proportional to expected convergence return. Expected base-case performance: PF 1.5–2.0, Sharpe 1.0–1.5, annual returns 12–17%, and maximum drawdown −12%.</w:t>
      </w:r>
    </w:p>
    <w:p>
      <w:r>
        <w:pict>
          <v:rect style="width:0;height:1.5pt" o:hralign="center" o:hrstd="t" o:hr="t"/>
        </w:pict>
      </w:r>
    </w:p>
    <w:bookmarkEnd w:id="320"/>
    <w:bookmarkStart w:id="323" w:name="meme-coin-pilot-separate-asset-class"/>
    <w:p>
      <w:pPr>
        <w:pStyle w:val="Heading3"/>
      </w:pPr>
      <w:r>
        <w:t xml:space="preserve">7.4 Meme Coin Pilot — Separate Asset Class</w:t>
      </w:r>
    </w:p>
    <w:p>
      <w:pPr>
        <w:pStyle w:val="FirstParagraph"/>
      </w:pPr>
      <w:r>
        <w:t xml:space="preserve">Meme coins represent a distinct asset class requiring segregation from major cryptocurrencies. The case for separation rests on structural differences in volatility drivers, liquidity profiles, and information dynamics.</w:t>
      </w:r>
    </w:p>
    <w:p>
      <w:pPr>
        <w:pStyle w:val="BodyText"/>
      </w:pPr>
      <w:r>
        <w:rPr>
          <w:bCs/>
          <w:b/>
        </w:rPr>
        <w:t xml:space="preserve">Market Scale.</w:t>
      </w:r>
      <w:r>
        <w:t xml:space="preserve"> </w:t>
      </w:r>
      <w:r>
        <w:t xml:space="preserve">CoinGecko data place the current meme-coin market capitalization at</w:t>
      </w:r>
      <w:r>
        <w:t xml:space="preserve"> </w:t>
      </w:r>
      <w:r>
        <w:rPr>
          <w:bCs/>
          <w:b/>
        </w:rPr>
        <w:t xml:space="preserve">$47.2 billion</w:t>
      </w:r>
      <w:r>
        <w:t xml:space="preserve">, down from a December 2024 peak of $150.6 billion. Average daily volume reached $9.7 billion in 2024, representing a</w:t>
      </w:r>
      <w:r>
        <w:t xml:space="preserve"> </w:t>
      </w:r>
      <w:r>
        <w:rPr>
          <w:bCs/>
          <w:b/>
        </w:rPr>
        <w:t xml:space="preserve">767% year-over-year surge</w:t>
      </w:r>
      <w:r>
        <w:t xml:space="preserve">. Over 5.3 million tokens were created on Pump.fun alone during 2024, though the top five tokens command 68.3% of total market capitalization. The turnover ratio — daily volume divided by market cap — stands at 77%, compared with 1.8% for BTC, indicating extreme velocity and speculative intensity</w:t>
      </w:r>
      <w:r>
        <w:rPr>
          <w:rStyle w:val="FootnoteReference"/>
        </w:rPr>
        <w:footnoteReference w:id="321"/>
      </w:r>
      <w:r>
        <w:t xml:space="preserve">.</w:t>
      </w:r>
    </w:p>
    <w:p>
      <w:pPr>
        <w:pStyle w:val="BodyText"/>
      </w:pPr>
      <w:r>
        <w:t xml:space="preserve">The defining characteristic of meme coins is the 50× volatility differential relative to BTC. Correlation to BTC at the sector level is 0.87, but the risk regime is entirely different: meme coins are driven by social-media virality rather than macro or technological fundamentals, their average lifespan is days to weeks (for 90% of tokens), liquidity is fragmented and DEX-dominated, and the scam rate is severe with 40% of tokens exhibiting pump-and-dump patterns and 30% resulting in rug pulls. This creates both opportunity and peril: social sentiment contains predictive information, but the noise-to-signal ratio is extreme.</w:t>
      </w:r>
    </w:p>
    <w:p>
      <w:pPr>
        <w:pStyle w:val="BodyText"/>
      </w:pPr>
      <w:r>
        <w:rPr>
          <w:bCs/>
          <w:b/>
        </w:rPr>
        <w:t xml:space="preserve">Social Sentiment Signal Integration.</w:t>
      </w:r>
      <w:r>
        <w:t xml:space="preserve"> </w:t>
      </w:r>
      <w:r>
        <w:t xml:space="preserve">Research published in 2025 documents an XGBoost model using Twitter/Reddit sentiment combined with financial metrics that achieved</w:t>
      </w:r>
      <w:r>
        <w:t xml:space="preserve"> </w:t>
      </w:r>
      <w:r>
        <w:rPr>
          <w:bCs/>
          <w:b/>
        </w:rPr>
        <w:t xml:space="preserve">74% accuracy</w:t>
      </w:r>
      <w:r>
        <w:t xml:space="preserve"> </w:t>
      </w:r>
      <w:r>
        <w:t xml:space="preserve">in forecasting bullish versus bearish meme-coin price movements</w:t>
      </w:r>
      <w:r>
        <w:rPr>
          <w:rStyle w:val="FootnoteReference"/>
        </w:rPr>
        <w:footnoteReference w:id="322"/>
      </w:r>
      <w:r>
        <w:t xml:space="preserve">. The composite signal stack proposed here allocates 40% weight to social-layer inputs (Twitter sentiment velocity, Reddit mention growth, Telegram membership expansion, key-opinion-leader mentions), 35% to on-chain metrics (wallet-creation velocity, volume anomalies, holder-concentration Gini), and 25% to technical indicators (hourly momentum, breakout levels, perpetual funding rates). Volume spikes have been shown to precede price moves by one to six hours, creating a narrow but exploitable prediction window.</w:t>
      </w:r>
    </w:p>
    <w:p>
      <w:pPr>
        <w:pStyle w:val="BodyText"/>
      </w:pPr>
      <w:r>
        <w:rPr>
          <w:bCs/>
          <w:b/>
        </w:rPr>
        <w:t xml:space="preserve">Hard Position Sizing Caps.</w:t>
      </w:r>
      <w:r>
        <w:t xml:space="preserve"> </w:t>
      </w:r>
      <w:r>
        <w:t xml:space="preserve">The 5% portfolio cap is non-negotiable. Within this limit, no single meme coin may exceed 1% of total capital, the daily loss limit is 0.5% of portfolio NAV, and the target holding period is under 72 hours to minimize exposure to sentiment reversals. Only centralized-exchange-listed tokens with minimum $1M daily volume are eligible; DEX-only tokens are excluded due to liquidity and smart-contract risk. Auto-liquidation triggers activate if volume drops 80% from entry or if composite sentiment turns negative.</w:t>
      </w:r>
    </w:p>
    <w:p>
      <w:pPr>
        <w:pStyle w:val="BodyText"/>
      </w:pPr>
      <w:r>
        <w:rPr>
          <w:bCs/>
          <w:b/>
        </w:rPr>
        <w:t xml:space="preserve">Institutional-Grade Scam Detection.</w:t>
      </w:r>
      <w:r>
        <w:t xml:space="preserve"> </w:t>
      </w:r>
      <w:r>
        <w:t xml:space="preserve">With a 40% pump-and-dump rate across the meme-coin universe, scam detection is not optional. Required infrastructure includes BubbleMaps for wallet-clustering analysis (to detect insider concentration), rug-pull pattern detection via smart-contract auditing proxies, and a whitelist requirement restricting the tradeable universe to the top-15 tokens by market capitalization and volume. The strategy is projected to deliver PF 1.3–1.8, Sharpe 0.7–1.0, and 20–40% annual returns on the 5% allocation, but these estimates carry substantially higher model risk than the crypto-perp or CEF strategies.</w:t>
      </w:r>
    </w:p>
    <w:p>
      <w:r>
        <w:pict>
          <v:rect style="width:0;height:1.5pt" o:hralign="center" o:hrstd="t" o:hr="t"/>
        </w:pict>
      </w:r>
    </w:p>
    <w:bookmarkEnd w:id="323"/>
    <w:bookmarkStart w:id="328" w:name="penny-stock-assessment"/>
    <w:p>
      <w:pPr>
        <w:pStyle w:val="Heading3"/>
      </w:pPr>
      <w:r>
        <w:t xml:space="preserve">7.5 Penny Stock Assessment</w:t>
      </w:r>
    </w:p>
    <w:p>
      <w:pPr>
        <w:pStyle w:val="FirstParagraph"/>
      </w:pPr>
      <w:r>
        <w:rPr>
          <w:bCs/>
          <w:b/>
        </w:rPr>
        <w:t xml:space="preserve">Verdict: Conditional Yes, Maximum 2% Allocation.</w:t>
      </w:r>
      <w:r>
        <w:t xml:space="preserve"> </w:t>
      </w:r>
      <w:r>
        <w:t xml:space="preserve">Penny stocks — defined here as exchange-listed securities priced between $0.50 and $5.00 — are admissible only under aggressive liquidity filtering and with strict position-size constraints. The assessment reflects a tension between documented short-term alpha and severe operational friction.</w:t>
      </w:r>
    </w:p>
    <w:p>
      <w:pPr>
        <w:pStyle w:val="BodyText"/>
      </w:pPr>
      <w:r>
        <w:rPr>
          <w:bCs/>
          <w:b/>
        </w:rPr>
        <w:t xml:space="preserve">Academic Evidence.</w:t>
      </w:r>
      <w:r>
        <w:t xml:space="preserve"> </w:t>
      </w:r>
      <w:r>
        <w:t xml:space="preserve">Da, Liu &amp; Schaumburg (2014), published in</w:t>
      </w:r>
      <w:r>
        <w:t xml:space="preserve"> </w:t>
      </w:r>
      <w:r>
        <w:rPr>
          <w:iCs/>
          <w:i/>
        </w:rPr>
        <w:t xml:space="preserve">Management Science</w:t>
      </w:r>
      <w:r>
        <w:t xml:space="preserve">, demonstrate that short-term intraday reversal strategies (focusing on the last hour and last ten minutes of trading) generate</w:t>
      </w:r>
      <w:r>
        <w:t xml:space="preserve"> </w:t>
      </w:r>
      <w:r>
        <w:rPr>
          <w:bCs/>
          <w:b/>
        </w:rPr>
        <w:t xml:space="preserve">0.62–0.85% monthly alpha</w:t>
      </w:r>
      <w:r>
        <w:t xml:space="preserve"> </w:t>
      </w:r>
      <w:r>
        <w:t xml:space="preserve">with t-statistics ranging from 4.37 to 6.72, even after controlling for standard reversal factors</w:t>
      </w:r>
      <w:r>
        <w:rPr>
          <w:rStyle w:val="FootnoteReference"/>
        </w:rPr>
        <w:footnoteReference w:id="324"/>
      </w:r>
      <w:r>
        <w:t xml:space="preserve">. Liu, Zhang &amp; Zhao (2012) confirm that penny stocks carry a statistically significant liquidity risk premium across Malaysian, Polish, and Chinese markets when analyzed through a five-factor model incorporating the Amihud illiquidity measure</w:t>
      </w:r>
      <w:r>
        <w:rPr>
          <w:rStyle w:val="FootnoteReference"/>
        </w:rPr>
        <w:footnoteReference w:id="325"/>
      </w:r>
      <w:r>
        <w:t xml:space="preserve">. The alpha exists because retail-heavy ownership creates predictable behavioral patterns — specifically, overreaction to recent price moves that partially reverses within hours.</w:t>
      </w:r>
    </w:p>
    <w:p>
      <w:pPr>
        <w:pStyle w:val="BodyText"/>
      </w:pPr>
      <w:r>
        <w:t xml:space="preserve">However, the same body of research identifies deal-breaking constraints. Lesmond et al. (2004) show that transaction costs of 0.5% per trade render momentum strategies unprofitable in penny stocks, and the bid-ask spread for sub-$1 names routinely exceeds 5–20% of the mid-price</w:t>
      </w:r>
      <w:r>
        <w:rPr>
          <w:rStyle w:val="FootnoteReference"/>
        </w:rPr>
        <w:footnoteReference w:id="326"/>
      </w:r>
      <w:r>
        <w:t xml:space="preserve">. The applicability assessment for existing platform strategies is mixed: the fear-greed contrarian approach (WR 85.7%, PF 30.17 in large-cap deployment) may transfer at medium fidelity because extreme fear and greed are amplified in penny-stock retail flows, but low-volatility-plus-momentum blends are inoperative because penny stocks inherently violate the low-volatility filter.</w:t>
      </w:r>
    </w:p>
    <w:p>
      <w:pPr>
        <w:pStyle w:val="BodyText"/>
      </w:pPr>
      <w:r>
        <w:rPr>
          <w:bCs/>
          <w:b/>
        </w:rPr>
        <w:t xml:space="preserve">Liquidity Filtering Requirements.</w:t>
      </w:r>
      <w:r>
        <w:t xml:space="preserve"> </w:t>
      </w:r>
      <w:r>
        <w:t xml:space="preserve">The minimum thresholds are non-negotiable: $1M average daily dollar volume, bid-ask spread below 2%, exchange-listed only (no OTC), minimum listing history of 252 days, positive book value, and borrow rate below 0.50% for short candidates. Limit orders are mandatory; market orders are prohibited. Da, Liu &amp; Schaumburg’s intraday reversal signal is adapted by shorting extreme winners and buying extreme losers within the last hour of returns, capitalizing on the documented overreaction-reversal cycle</w:t>
      </w:r>
      <w:r>
        <w:rPr>
          <w:rStyle w:val="FootnoteReference"/>
        </w:rPr>
        <w:footnoteReference w:id="327"/>
      </w:r>
      <w:r>
        <w:t xml:space="preserve">.</w:t>
      </w:r>
    </w:p>
    <w:p>
      <w:pPr>
        <w:pStyle w:val="BodyText"/>
      </w:pPr>
      <w:r>
        <w:t xml:space="preserve">Expected performance on the filtered universe: PF 1.1–1.3, Sharpe 0.3–0.5, annual returns 10–20%, and maximum drawdown −20%. Capacity is severely limited — estimated below $500,000 — making this an experimental allocation only.</w:t>
      </w:r>
    </w:p>
    <w:p>
      <w:r>
        <w:pict>
          <v:rect style="width:0;height:1.5pt" o:hralign="center" o:hrstd="t" o:hr="t"/>
        </w:pict>
      </w:r>
    </w:p>
    <w:bookmarkEnd w:id="328"/>
    <w:bookmarkStart w:id="334" w:name="commodity-triple-screen-replacement"/>
    <w:p>
      <w:pPr>
        <w:pStyle w:val="Heading3"/>
      </w:pPr>
      <w:r>
        <w:t xml:space="preserve">7.6 Commodity Triple-Screen Replacement</w:t>
      </w:r>
    </w:p>
    <w:p>
      <w:pPr>
        <w:pStyle w:val="FirstParagraph"/>
      </w:pPr>
      <w:r>
        <w:t xml:space="preserve">The incumbent commodity strategy,</w:t>
      </w:r>
      <w:r>
        <w:t xml:space="preserve"> </w:t>
      </w:r>
      <w:r>
        <w:rPr>
          <w:rStyle w:val="VerbatimChar"/>
        </w:rPr>
        <w:t xml:space="preserve">cta_commodity_momentum_term</w:t>
      </w:r>
      <w:r>
        <w:t xml:space="preserve">, has been banned after recording PF 0.02 across 46 trades. Term-structure signals are currently broken: the 58% flat-exit rate indicates that market structure has shifted beneath the model’s assumptions. The replacement abandons single-factor reliance in favor of a triple-screen approach combining momentum, term structure, and idiosyncratic volatility.</w:t>
      </w:r>
    </w:p>
    <w:p>
      <w:pPr>
        <w:pStyle w:val="BodyText"/>
      </w:pPr>
      <w:r>
        <w:rPr>
          <w:bCs/>
          <w:b/>
        </w:rPr>
        <w:t xml:space="preserve">Strategy Logic.</w:t>
      </w:r>
      <w:r>
        <w:t xml:space="preserve"> </w:t>
      </w:r>
      <w:r>
        <w:t xml:space="preserve">Fuertes, Miffre &amp; Fernandez-Perez (Cass Business School) demonstrate that momentum, roll yield (term structure), and idiosyncratic-volatility signals are non-overlapping and synergistic</w:t>
      </w:r>
      <w:r>
        <w:rPr>
          <w:rStyle w:val="FootnoteReference"/>
        </w:rPr>
        <w:footnoteReference w:id="329"/>
      </w:r>
      <w:r>
        <w:t xml:space="preserve">. A triple-screen strategy that goes long commodities with high momentum, high roll yield, and low volatility — while shorting the inverse combination — produces a</w:t>
      </w:r>
      <w:r>
        <w:t xml:space="preserve"> </w:t>
      </w:r>
      <w:r>
        <w:rPr>
          <w:bCs/>
          <w:b/>
        </w:rPr>
        <w:t xml:space="preserve">Sharpe ratio of 0.69</w:t>
      </w:r>
      <w:r>
        <w:t xml:space="preserve"> </w:t>
      </w:r>
      <w:r>
        <w:t xml:space="preserve">over the 1985–2011 period, five times the S&amp;P-GSCI’s 0.14. Individual signal Sharpe ratios are 0.37 for momentum alone, 0.35 for term structure alone, and 0.20 for volatility alone; the composite exceeds the sum of its parts because the signals capture orthogonal risk premia.</w:t>
      </w:r>
    </w:p>
    <w:p>
      <w:pPr>
        <w:pStyle w:val="BodyText"/>
      </w:pPr>
      <w:r>
        <w:t xml:space="preserve">The roll-yield component deserves emphasis in the current environment. Ghoddusi (2016) documents that conditional rollover strategies (long backwardation, short contango) deliver the highest Sharpe ratios across energy commodities, and that shorter time-to-maturity contracts amplify the effect</w:t>
      </w:r>
      <w:r>
        <w:rPr>
          <w:rStyle w:val="FootnoteReference"/>
        </w:rPr>
        <w:footnoteReference w:id="330"/>
      </w:r>
      <w:r>
        <w:t xml:space="preserve">. Gorton, Hayashi &amp; Rouwenhorst (2013) show that carry and hedging-pressure signals predict commodity returns cross-sectionally, while Szymanowska et al. (2014) confirm that term-structure strategies consistently outperform buy-and-hold approaches</w:t>
      </w:r>
      <w:r>
        <w:rPr>
          <w:rStyle w:val="FootnoteReference"/>
        </w:rPr>
        <w:footnoteReference w:id="331"/>
      </w:r>
      <w:r>
        <w:t xml:space="preserve">.</w:t>
      </w:r>
    </w:p>
    <w:p>
      <w:pPr>
        <w:pStyle w:val="BodyText"/>
      </w:pPr>
      <w:r>
        <w:rPr>
          <w:bCs/>
          <w:b/>
        </w:rPr>
        <w:t xml:space="preserve">Gold/Silver Ratio Mean Reversion.</w:t>
      </w:r>
      <w:r>
        <w:t xml:space="preserve"> </w:t>
      </w:r>
      <w:r>
        <w:t xml:space="preserve">The cross-commodity ratio strategy provides a diversifying overlay. The 30-year average gold-to-silver ratio stands near</w:t>
      </w:r>
      <w:r>
        <w:t xml:space="preserve"> </w:t>
      </w:r>
      <w:r>
        <w:rPr>
          <w:bCs/>
          <w:b/>
        </w:rPr>
        <w:t xml:space="preserve">68:1</w:t>
      </w:r>
      <w:r>
        <w:t xml:space="preserve">, with excursions beyond 80:1 (silver cheap, long silver/short gold) or below 50:1 (gold cheap, long gold/short silver) reliably mean-reverting over 6–18 month horizons. In April 2024, the ratio exceeded 100:1; silver subsequently rallied from $30 to $48 (+60%) as the ratio normalized toward 70:1. The COVID spike to 126:1 in 2020 similarly reverted to 70:1 within 12 months, with silver outperforming gold by 22.8 percentage points during the convergence. This strategy is best deployed as a portfolio diversifier rather than a standalone engine, with expected PF 1.2–1.4 and Sharpe 0.4–0.5.</w:t>
      </w:r>
    </w:p>
    <w:p>
      <w:pPr>
        <w:pStyle w:val="BodyText"/>
      </w:pPr>
      <w:r>
        <w:rPr>
          <w:bCs/>
          <w:b/>
        </w:rPr>
        <w:t xml:space="preserve">Combined Expected Performance.</w:t>
      </w:r>
      <w:r>
        <w:t xml:space="preserve"> </w:t>
      </w:r>
      <w:r>
        <w:t xml:space="preserve">The recommended allocation across commodity sub-strategies targets PF 1.6 and annual returns of 8–12%. The triple-screen engine receives 50% weight, roll-yield capture 30%, and gold/silver ratio 20%. A geopolitical regime filter reduces commodity exposure by 50% when Brent prompt backwardation exceeds $5 (indicating supply-shock disruption of carry dynamics), preserving capital during periods when term-structure signals are unreliable.</w:t>
      </w:r>
    </w:p>
    <w:p>
      <w:pPr>
        <w:pStyle w:val="BodyText"/>
      </w:pPr>
      <w:r>
        <w:t xml:space="preserve">The commodity triple-screen and gold/silver ratio mean reversion together address the structural failure of the incumbent model. Whereas the banned</w:t>
      </w:r>
      <w:r>
        <w:t xml:space="preserve"> </w:t>
      </w:r>
      <w:r>
        <w:rPr>
          <w:rStyle w:val="VerbatimChar"/>
        </w:rPr>
        <w:t xml:space="preserve">cta_commodity_momentum_term</w:t>
      </w:r>
      <w:r>
        <w:t xml:space="preserve"> </w:t>
      </w:r>
      <w:r>
        <w:t xml:space="preserve">relied on a single momentum signal corrupted by geopolitical noise, the replacement diversifies across three orthogonal commodity risk premia and adds a cross-market arbitrage overlay. Expected PF of 1.6 and 8–12% annual returns represent a material improvement over the incumbent’s 0.02 PF, though the path to these projections depends critically on the geopolitical regime filter functioning as designed.</w:t>
      </w:r>
    </w:p>
    <w:p>
      <w:pPr>
        <w:pStyle w:val="BodyText"/>
      </w:pPr>
      <w:r>
        <w:rPr>
          <w:bCs/>
          <w:b/>
        </w:rPr>
        <w:t xml:space="preserve">Table 7.2 — Asset Class Expansion Decision Framework</w:t>
      </w:r>
    </w:p>
    <w:tbl>
      <w:tblPr>
        <w:tblStyle w:val="Table"/>
        <w:tblW w:type="pct" w:w="5000"/>
        <w:tblLook w:firstRow="1" w:lastRow="0" w:firstColumn="0" w:lastColumn="0" w:noHBand="0" w:noVBand="0" w:val="0020"/>
      </w:tblPr>
      <w:tblGrid>
        <w:gridCol w:w="960"/>
        <w:gridCol w:w="1200"/>
        <w:gridCol w:w="1200"/>
        <w:gridCol w:w="960"/>
        <w:gridCol w:w="1200"/>
        <w:gridCol w:w="1200"/>
        <w:gridCol w:w="1200"/>
      </w:tblGrid>
      <w:tr>
        <w:trPr>
          <w:tblHeader w:val="true"/>
        </w:trPr>
        <w:tc>
          <w:tcPr/>
          <w:p>
            <w:pPr>
              <w:pStyle w:val="Compact"/>
              <w:jc w:val="left"/>
            </w:pPr>
            <w:r>
              <w:t xml:space="preserve">Asset Class / Strategy</w:t>
            </w:r>
          </w:p>
        </w:tc>
        <w:tc>
          <w:tcPr/>
          <w:p>
            <w:pPr>
              <w:pStyle w:val="Compact"/>
              <w:jc w:val="center"/>
            </w:pPr>
            <w:r>
              <w:t xml:space="preserve">Conviction</w:t>
            </w:r>
          </w:p>
        </w:tc>
        <w:tc>
          <w:tcPr/>
          <w:p>
            <w:pPr>
              <w:pStyle w:val="Compact"/>
              <w:jc w:val="center"/>
            </w:pPr>
            <w:r>
              <w:t xml:space="preserve">Max Allocation</w:t>
            </w:r>
          </w:p>
        </w:tc>
        <w:tc>
          <w:tcPr/>
          <w:p>
            <w:pPr>
              <w:pStyle w:val="Compact"/>
              <w:jc w:val="left"/>
            </w:pPr>
            <w:r>
              <w:t xml:space="preserve">Key Risk</w:t>
            </w:r>
          </w:p>
        </w:tc>
        <w:tc>
          <w:tcPr/>
          <w:p>
            <w:pPr>
              <w:pStyle w:val="Compact"/>
              <w:jc w:val="center"/>
            </w:pPr>
            <w:r>
              <w:t xml:space="preserve">Scam/ Fraud Rate</w:t>
            </w:r>
          </w:p>
        </w:tc>
        <w:tc>
          <w:tcPr/>
          <w:p>
            <w:pPr>
              <w:pStyle w:val="Compact"/>
              <w:jc w:val="center"/>
            </w:pPr>
            <w:r>
              <w:t xml:space="preserve">Data Quality</w:t>
            </w:r>
          </w:p>
        </w:tc>
        <w:tc>
          <w:tcPr/>
          <w:p>
            <w:pPr>
              <w:pStyle w:val="Compact"/>
              <w:jc w:val="center"/>
            </w:pPr>
            <w:r>
              <w:t xml:space="preserve">Verdict</w:t>
            </w:r>
          </w:p>
        </w:tc>
      </w:tr>
      <w:tr>
        <w:tc>
          <w:tcPr/>
          <w:p>
            <w:pPr>
              <w:pStyle w:val="Compact"/>
              <w:jc w:val="left"/>
            </w:pPr>
            <w:r>
              <w:t xml:space="preserve">Crypto Perp Funding Arb</w:t>
            </w:r>
          </w:p>
        </w:tc>
        <w:tc>
          <w:tcPr/>
          <w:p>
            <w:pPr>
              <w:pStyle w:val="Compact"/>
              <w:jc w:val="center"/>
            </w:pPr>
            <w:r>
              <w:rPr>
                <w:bCs/>
                <w:b/>
              </w:rPr>
              <w:t xml:space="preserve">Highest</w:t>
            </w:r>
          </w:p>
        </w:tc>
        <w:tc>
          <w:tcPr/>
          <w:p>
            <w:pPr>
              <w:pStyle w:val="Compact"/>
              <w:jc w:val="center"/>
            </w:pPr>
            <w:r>
              <w:t xml:space="preserve">20%</w:t>
            </w:r>
          </w:p>
        </w:tc>
        <w:tc>
          <w:tcPr/>
          <w:p>
            <w:pPr>
              <w:pStyle w:val="Compact"/>
              <w:jc w:val="left"/>
            </w:pPr>
            <w:r>
              <w:t xml:space="preserve">Funding regime reversal</w:t>
            </w:r>
          </w:p>
        </w:tc>
        <w:tc>
          <w:tcPr/>
          <w:p>
            <w:pPr>
              <w:pStyle w:val="Compact"/>
              <w:jc w:val="center"/>
            </w:pPr>
            <w:r>
              <w:t xml:space="preserve">N/A</w:t>
            </w:r>
          </w:p>
        </w:tc>
        <w:tc>
          <w:tcPr/>
          <w:p>
            <w:pPr>
              <w:pStyle w:val="Compact"/>
              <w:jc w:val="center"/>
            </w:pPr>
            <w:r>
              <w:t xml:space="preserve">5/5</w:t>
            </w:r>
          </w:p>
        </w:tc>
        <w:tc>
          <w:tcPr/>
          <w:p>
            <w:pPr>
              <w:pStyle w:val="Compact"/>
              <w:jc w:val="center"/>
            </w:pPr>
            <w:r>
              <w:rPr>
                <w:bCs/>
                <w:b/>
              </w:rPr>
              <w:t xml:space="preserve">ACCEPT — Immediate deploy</w:t>
            </w:r>
          </w:p>
        </w:tc>
      </w:tr>
      <w:tr>
        <w:tc>
          <w:tcPr/>
          <w:p>
            <w:pPr>
              <w:pStyle w:val="Compact"/>
              <w:jc w:val="left"/>
            </w:pPr>
            <w:r>
              <w:t xml:space="preserve">Forex Carry + Momentum</w:t>
            </w:r>
          </w:p>
        </w:tc>
        <w:tc>
          <w:tcPr/>
          <w:p>
            <w:pPr>
              <w:pStyle w:val="Compact"/>
              <w:jc w:val="center"/>
            </w:pPr>
            <w:r>
              <w:t xml:space="preserve">High</w:t>
            </w:r>
          </w:p>
        </w:tc>
        <w:tc>
          <w:tcPr/>
          <w:p>
            <w:pPr>
              <w:pStyle w:val="Compact"/>
              <w:jc w:val="center"/>
            </w:pPr>
            <w:r>
              <w:t xml:space="preserve">15%</w:t>
            </w:r>
          </w:p>
        </w:tc>
        <w:tc>
          <w:tcPr/>
          <w:p>
            <w:pPr>
              <w:pStyle w:val="Compact"/>
              <w:jc w:val="left"/>
            </w:pPr>
            <w:r>
              <w:t xml:space="preserve">BoJ intervention, vol spikes</w:t>
            </w:r>
          </w:p>
        </w:tc>
        <w:tc>
          <w:tcPr/>
          <w:p>
            <w:pPr>
              <w:pStyle w:val="Compact"/>
              <w:jc w:val="center"/>
            </w:pPr>
            <w:r>
              <w:t xml:space="preserve">N/A</w:t>
            </w:r>
          </w:p>
        </w:tc>
        <w:tc>
          <w:tcPr/>
          <w:p>
            <w:pPr>
              <w:pStyle w:val="Compact"/>
              <w:jc w:val="center"/>
            </w:pPr>
            <w:r>
              <w:t xml:space="preserve">4/5</w:t>
            </w:r>
          </w:p>
        </w:tc>
        <w:tc>
          <w:tcPr/>
          <w:p>
            <w:pPr>
              <w:pStyle w:val="Compact"/>
              <w:jc w:val="center"/>
            </w:pPr>
            <w:r>
              <w:rPr>
                <w:bCs/>
                <w:b/>
              </w:rPr>
              <w:t xml:space="preserve">ACCEPT — 2-week deploy</w:t>
            </w:r>
          </w:p>
        </w:tc>
      </w:tr>
      <w:tr>
        <w:tc>
          <w:tcPr/>
          <w:p>
            <w:pPr>
              <w:pStyle w:val="Compact"/>
              <w:jc w:val="left"/>
            </w:pPr>
            <w:r>
              <w:t xml:space="preserve">Commodity Triple-Screen</w:t>
            </w:r>
          </w:p>
        </w:tc>
        <w:tc>
          <w:tcPr/>
          <w:p>
            <w:pPr>
              <w:pStyle w:val="Compact"/>
              <w:jc w:val="center"/>
            </w:pPr>
            <w:r>
              <w:t xml:space="preserve">High</w:t>
            </w:r>
          </w:p>
        </w:tc>
        <w:tc>
          <w:tcPr/>
          <w:p>
            <w:pPr>
              <w:pStyle w:val="Compact"/>
              <w:jc w:val="center"/>
            </w:pPr>
            <w:r>
              <w:t xml:space="preserve">15%</w:t>
            </w:r>
          </w:p>
        </w:tc>
        <w:tc>
          <w:tcPr/>
          <w:p>
            <w:pPr>
              <w:pStyle w:val="Compact"/>
              <w:jc w:val="left"/>
            </w:pPr>
            <w:r>
              <w:t xml:space="preserve">Geopolitical supply shocks</w:t>
            </w:r>
          </w:p>
        </w:tc>
        <w:tc>
          <w:tcPr/>
          <w:p>
            <w:pPr>
              <w:pStyle w:val="Compact"/>
              <w:jc w:val="center"/>
            </w:pPr>
            <w:r>
              <w:t xml:space="preserve">N/A</w:t>
            </w:r>
          </w:p>
        </w:tc>
        <w:tc>
          <w:tcPr/>
          <w:p>
            <w:pPr>
              <w:pStyle w:val="Compact"/>
              <w:jc w:val="center"/>
            </w:pPr>
            <w:r>
              <w:t xml:space="preserve">4/5</w:t>
            </w:r>
          </w:p>
        </w:tc>
        <w:tc>
          <w:tcPr/>
          <w:p>
            <w:pPr>
              <w:pStyle w:val="Compact"/>
              <w:jc w:val="center"/>
            </w:pPr>
            <w:r>
              <w:rPr>
                <w:bCs/>
                <w:b/>
              </w:rPr>
              <w:t xml:space="preserve">ACCEPT — 3-week deploy</w:t>
            </w:r>
          </w:p>
        </w:tc>
      </w:tr>
      <w:tr>
        <w:tc>
          <w:tcPr/>
          <w:p>
            <w:pPr>
              <w:pStyle w:val="Compact"/>
              <w:jc w:val="left"/>
            </w:pPr>
            <w:r>
              <w:t xml:space="preserve">CEF NAV Discount</w:t>
            </w:r>
          </w:p>
        </w:tc>
        <w:tc>
          <w:tcPr/>
          <w:p>
            <w:pPr>
              <w:pStyle w:val="Compact"/>
              <w:jc w:val="center"/>
            </w:pPr>
            <w:r>
              <w:t xml:space="preserve">Medium-High</w:t>
            </w:r>
          </w:p>
        </w:tc>
        <w:tc>
          <w:tcPr/>
          <w:p>
            <w:pPr>
              <w:pStyle w:val="Compact"/>
              <w:jc w:val="center"/>
            </w:pPr>
            <w:r>
              <w:t xml:space="preserve">20%</w:t>
            </w:r>
          </w:p>
        </w:tc>
        <w:tc>
          <w:tcPr/>
          <w:p>
            <w:pPr>
              <w:pStyle w:val="Compact"/>
              <w:jc w:val="left"/>
            </w:pPr>
            <w:r>
              <w:t xml:space="preserve">Discount persistence, leverage</w:t>
            </w:r>
          </w:p>
        </w:tc>
        <w:tc>
          <w:tcPr/>
          <w:p>
            <w:pPr>
              <w:pStyle w:val="Compact"/>
              <w:jc w:val="center"/>
            </w:pPr>
            <w:r>
              <w:t xml:space="preserve">N/A</w:t>
            </w:r>
          </w:p>
        </w:tc>
        <w:tc>
          <w:tcPr/>
          <w:p>
            <w:pPr>
              <w:pStyle w:val="Compact"/>
              <w:jc w:val="center"/>
            </w:pPr>
            <w:r>
              <w:t xml:space="preserve">3/5</w:t>
            </w:r>
          </w:p>
        </w:tc>
        <w:tc>
          <w:tcPr/>
          <w:p>
            <w:pPr>
              <w:pStyle w:val="Compact"/>
              <w:jc w:val="center"/>
            </w:pPr>
            <w:r>
              <w:rPr>
                <w:bCs/>
                <w:b/>
              </w:rPr>
              <w:t xml:space="preserve">ACCEPT — Pilot mode</w:t>
            </w:r>
          </w:p>
        </w:tc>
      </w:tr>
      <w:tr>
        <w:tc>
          <w:tcPr/>
          <w:p>
            <w:pPr>
              <w:pStyle w:val="Compact"/>
              <w:jc w:val="left"/>
            </w:pPr>
            <w:r>
              <w:t xml:space="preserve">Gold/Silver Ratio</w:t>
            </w:r>
          </w:p>
        </w:tc>
        <w:tc>
          <w:tcPr/>
          <w:p>
            <w:pPr>
              <w:pStyle w:val="Compact"/>
              <w:jc w:val="center"/>
            </w:pPr>
            <w:r>
              <w:t xml:space="preserve">Medium</w:t>
            </w:r>
          </w:p>
        </w:tc>
        <w:tc>
          <w:tcPr/>
          <w:p>
            <w:pPr>
              <w:pStyle w:val="Compact"/>
              <w:jc w:val="center"/>
            </w:pPr>
            <w:r>
              <w:t xml:space="preserve">10%</w:t>
            </w:r>
          </w:p>
        </w:tc>
        <w:tc>
          <w:tcPr/>
          <w:p>
            <w:pPr>
              <w:pStyle w:val="Compact"/>
              <w:jc w:val="left"/>
            </w:pPr>
            <w:r>
              <w:t xml:space="preserve">Ratio regime shift</w:t>
            </w:r>
          </w:p>
        </w:tc>
        <w:tc>
          <w:tcPr/>
          <w:p>
            <w:pPr>
              <w:pStyle w:val="Compact"/>
              <w:jc w:val="center"/>
            </w:pPr>
            <w:r>
              <w:t xml:space="preserve">N/A</w:t>
            </w:r>
          </w:p>
        </w:tc>
        <w:tc>
          <w:tcPr/>
          <w:p>
            <w:pPr>
              <w:pStyle w:val="Compact"/>
              <w:jc w:val="center"/>
            </w:pPr>
            <w:r>
              <w:t xml:space="preserve">4/5</w:t>
            </w:r>
          </w:p>
        </w:tc>
        <w:tc>
          <w:tcPr/>
          <w:p>
            <w:pPr>
              <w:pStyle w:val="Compact"/>
              <w:jc w:val="center"/>
            </w:pPr>
            <w:r>
              <w:rPr>
                <w:bCs/>
                <w:b/>
              </w:rPr>
              <w:t xml:space="preserve">ACCEPT — Diversifier only</w:t>
            </w:r>
          </w:p>
        </w:tc>
      </w:tr>
      <w:tr>
        <w:tc>
          <w:tcPr/>
          <w:p>
            <w:pPr>
              <w:pStyle w:val="Compact"/>
              <w:jc w:val="left"/>
            </w:pPr>
            <w:r>
              <w:t xml:space="preserve">Meme Coin Sentiment</w:t>
            </w:r>
          </w:p>
        </w:tc>
        <w:tc>
          <w:tcPr/>
          <w:p>
            <w:pPr>
              <w:pStyle w:val="Compact"/>
              <w:jc w:val="center"/>
            </w:pPr>
            <w:r>
              <w:t xml:space="preserve">Medium</w:t>
            </w:r>
          </w:p>
        </w:tc>
        <w:tc>
          <w:tcPr/>
          <w:p>
            <w:pPr>
              <w:pStyle w:val="Compact"/>
              <w:jc w:val="center"/>
            </w:pPr>
            <w:r>
              <w:rPr>
                <w:bCs/>
                <w:b/>
              </w:rPr>
              <w:t xml:space="preserve">5% hard cap</w:t>
            </w:r>
          </w:p>
        </w:tc>
        <w:tc>
          <w:tcPr/>
          <w:p>
            <w:pPr>
              <w:pStyle w:val="Compact"/>
              <w:jc w:val="left"/>
            </w:pPr>
            <w:r>
              <w:t xml:space="preserve">50× BTC volatility, scams</w:t>
            </w:r>
          </w:p>
        </w:tc>
        <w:tc>
          <w:tcPr/>
          <w:p>
            <w:pPr>
              <w:pStyle w:val="Compact"/>
              <w:jc w:val="center"/>
            </w:pPr>
            <w:r>
              <w:t xml:space="preserve">40% pump/dump</w:t>
            </w:r>
          </w:p>
        </w:tc>
        <w:tc>
          <w:tcPr/>
          <w:p>
            <w:pPr>
              <w:pStyle w:val="Compact"/>
              <w:jc w:val="center"/>
            </w:pPr>
            <w:r>
              <w:t xml:space="preserve">3/5</w:t>
            </w:r>
          </w:p>
        </w:tc>
        <w:tc>
          <w:tcPr/>
          <w:p>
            <w:pPr>
              <w:pStyle w:val="Compact"/>
              <w:jc w:val="center"/>
            </w:pPr>
            <w:r>
              <w:rPr>
                <w:bCs/>
                <w:b/>
              </w:rPr>
              <w:t xml:space="preserve">CONDITIONAL — Separate class</w:t>
            </w:r>
          </w:p>
        </w:tc>
      </w:tr>
      <w:tr>
        <w:tc>
          <w:tcPr/>
          <w:p>
            <w:pPr>
              <w:pStyle w:val="Compact"/>
              <w:jc w:val="left"/>
            </w:pPr>
            <w:r>
              <w:t xml:space="preserve">Penny Stock Reversal</w:t>
            </w:r>
          </w:p>
        </w:tc>
        <w:tc>
          <w:tcPr/>
          <w:p>
            <w:pPr>
              <w:pStyle w:val="Compact"/>
              <w:jc w:val="center"/>
            </w:pPr>
            <w:r>
              <w:t xml:space="preserve">Low-Medium</w:t>
            </w:r>
          </w:p>
        </w:tc>
        <w:tc>
          <w:tcPr/>
          <w:p>
            <w:pPr>
              <w:pStyle w:val="Compact"/>
              <w:jc w:val="center"/>
            </w:pPr>
            <w:r>
              <w:rPr>
                <w:bCs/>
                <w:b/>
              </w:rPr>
              <w:t xml:space="preserve">2% hard cap</w:t>
            </w:r>
          </w:p>
        </w:tc>
        <w:tc>
          <w:tcPr/>
          <w:p>
            <w:pPr>
              <w:pStyle w:val="Compact"/>
              <w:jc w:val="left"/>
            </w:pPr>
            <w:r>
              <w:t xml:space="preserve">Illiquidity, delisting, spreads</w:t>
            </w:r>
          </w:p>
        </w:tc>
        <w:tc>
          <w:tcPr/>
          <w:p>
            <w:pPr>
              <w:pStyle w:val="Compact"/>
              <w:jc w:val="center"/>
            </w:pPr>
            <w:r>
              <w:t xml:space="preserve">5–20% OTC</w:t>
            </w:r>
          </w:p>
        </w:tc>
        <w:tc>
          <w:tcPr/>
          <w:p>
            <w:pPr>
              <w:pStyle w:val="Compact"/>
              <w:jc w:val="center"/>
            </w:pPr>
            <w:r>
              <w:t xml:space="preserve">2/5</w:t>
            </w:r>
          </w:p>
        </w:tc>
        <w:tc>
          <w:tcPr/>
          <w:p>
            <w:pPr>
              <w:pStyle w:val="Compact"/>
              <w:jc w:val="center"/>
            </w:pPr>
            <w:r>
              <w:rPr>
                <w:bCs/>
                <w:b/>
              </w:rPr>
              <w:t xml:space="preserve">CONDITIONAL — Experimental</w:t>
            </w:r>
          </w:p>
        </w:tc>
      </w:tr>
      <w:tr>
        <w:tc>
          <w:tcPr/>
          <w:p>
            <w:pPr>
              <w:pStyle w:val="Compact"/>
              <w:jc w:val="left"/>
            </w:pPr>
            <w:r>
              <w:t xml:space="preserve">Mutual Funds</w:t>
            </w:r>
          </w:p>
        </w:tc>
        <w:tc>
          <w:tcPr/>
          <w:p>
            <w:pPr>
              <w:pStyle w:val="Compact"/>
              <w:jc w:val="center"/>
            </w:pPr>
            <w:r>
              <w:t xml:space="preserve">N/A</w:t>
            </w:r>
          </w:p>
        </w:tc>
        <w:tc>
          <w:tcPr/>
          <w:p>
            <w:pPr>
              <w:pStyle w:val="Compact"/>
              <w:jc w:val="center"/>
            </w:pPr>
            <w:r>
              <w:t xml:space="preserve">0%</w:t>
            </w:r>
          </w:p>
        </w:tc>
        <w:tc>
          <w:tcPr/>
          <w:p>
            <w:pPr>
              <w:pStyle w:val="Compact"/>
              <w:jc w:val="left"/>
            </w:pPr>
            <w:r>
              <w:t xml:space="preserve">No NAV dislocation, no shorting</w:t>
            </w:r>
          </w:p>
        </w:tc>
        <w:tc>
          <w:tcPr/>
          <w:p>
            <w:pPr>
              <w:pStyle w:val="Compact"/>
              <w:jc w:val="center"/>
            </w:pPr>
            <w:r>
              <w:t xml:space="preserve">N/A</w:t>
            </w:r>
          </w:p>
        </w:tc>
        <w:tc>
          <w:tcPr/>
          <w:p>
            <w:pPr>
              <w:pStyle w:val="Compact"/>
              <w:jc w:val="center"/>
            </w:pPr>
            <w:r>
              <w:t xml:space="preserve">1/5</w:t>
            </w:r>
          </w:p>
        </w:tc>
        <w:tc>
          <w:tcPr/>
          <w:p>
            <w:pPr>
              <w:pStyle w:val="Compact"/>
              <w:jc w:val="center"/>
            </w:pPr>
            <w:r>
              <w:rPr>
                <w:bCs/>
                <w:b/>
              </w:rPr>
              <w:t xml:space="preserve">REJECT — Structural mismatch</w:t>
            </w:r>
          </w:p>
        </w:tc>
      </w:tr>
    </w:tbl>
    <w:p>
      <w:pPr>
        <w:pStyle w:val="BodyText"/>
      </w:pPr>
      <w:r>
        <w:t xml:space="preserve">The decision framework in Table 7.2 consolidates the assessment across all asset classes evaluated for expansion. Five strategies receive unqualified acceptance, ranging from the immediate-deployment crypto perp funding arbitrage down to the gold/silver ratio diversifier. Two strategies — meme coins and penny stocks — are accepted only under hard allocation caps and with additional infrastructure requirements. Mutual funds are rejected outright due to structural incompatibility: the absence of premium/discount dislocation eliminates the primary alpha source, intraday trading is impossible, and shorting is unavailable. The combined portfolio of all accepted strategies, weighted by conviction and subject to the 5% meme cap and 2% penny cap, is projected to deliver approximately 17.2% annual return at 8% portfolio volatility — an aggregate Sharpe near 2.0</w:t>
      </w:r>
      <w:r>
        <w:rPr>
          <w:rStyle w:val="FootnoteReference"/>
        </w:rPr>
        <w:footnoteReference w:id="332"/>
      </w:r>
      <w:r>
        <w:t xml:space="preserve">.</w:t>
      </w:r>
    </w:p>
    <w:p>
      <w:pPr>
        <w:pStyle w:val="BodyText"/>
      </w:pPr>
      <w:r>
        <w:t xml:space="preserve">The correlation structure across strategies reinforces the diversification case. Crypto perp funding is largely uncorrelated with traditional asset classes (correlation 0.05 with CEFs, −0.10 with forex carry, 0.10 with commodities), making it an exceptional portfolio diversifier even beyond its standalone return potential</w:t>
      </w:r>
      <w:r>
        <w:rPr>
          <w:rStyle w:val="FootnoteReference"/>
        </w:rPr>
        <w:footnoteReference w:id="333"/>
      </w:r>
      <w:r>
        <w:t xml:space="preserve">. CEF discount exploitation adds another orthogonal alpha source at 0.05 correlation with crypto perps and −0.05 with forex. The meme coin sleeve, despite its 0.87 correlation to BTC at the sector level, contributes portfolio-level diversification because its social-sentiment-driven return dynamics differ materially from those of major cryptocurrencies.</w:t>
      </w:r>
    </w:p>
    <w:p>
      <w:pPr>
        <w:pStyle w:val="BodyText"/>
      </w:pPr>
      <w:r>
        <w:rPr>
          <w:bCs/>
          <w:b/>
        </w:rPr>
        <w:t xml:space="preserve">Table 7.3 — Implementation Timeline (Week-by-Week)</w:t>
      </w:r>
    </w:p>
    <w:tbl>
      <w:tblPr>
        <w:tblStyle w:val="Table"/>
        <w:tblW w:type="pct" w:w="5000"/>
        <w:tblLook w:firstRow="1" w:lastRow="0" w:firstColumn="0" w:lastColumn="0" w:noHBand="0" w:noVBand="0" w:val="0020"/>
      </w:tblPr>
      <w:tblGrid>
        <w:gridCol w:w="2329"/>
        <w:gridCol w:w="1863"/>
        <w:gridCol w:w="1863"/>
        <w:gridCol w:w="1863"/>
      </w:tblGrid>
      <w:tr>
        <w:trPr>
          <w:tblHeader w:val="true"/>
        </w:trPr>
        <w:tc>
          <w:tcPr/>
          <w:p>
            <w:pPr>
              <w:pStyle w:val="Compact"/>
              <w:jc w:val="center"/>
            </w:pPr>
            <w:r>
              <w:t xml:space="preserve">Week</w:t>
            </w:r>
          </w:p>
        </w:tc>
        <w:tc>
          <w:tcPr/>
          <w:p>
            <w:pPr>
              <w:pStyle w:val="Compact"/>
              <w:jc w:val="left"/>
            </w:pPr>
            <w:r>
              <w:t xml:space="preserve">Primary Deliverables</w:t>
            </w:r>
          </w:p>
        </w:tc>
        <w:tc>
          <w:tcPr/>
          <w:p>
            <w:pPr>
              <w:pStyle w:val="Compact"/>
              <w:jc w:val="left"/>
            </w:pPr>
            <w:r>
              <w:t xml:space="preserve">Secondary Deliverables</w:t>
            </w:r>
          </w:p>
        </w:tc>
        <w:tc>
          <w:tcPr/>
          <w:p>
            <w:pPr>
              <w:pStyle w:val="Compact"/>
              <w:jc w:val="left"/>
            </w:pPr>
            <w:r>
              <w:t xml:space="preserve">Graduation Gate</w:t>
            </w:r>
          </w:p>
        </w:tc>
      </w:tr>
      <w:tr>
        <w:tc>
          <w:tcPr/>
          <w:p>
            <w:pPr>
              <w:pStyle w:val="Compact"/>
              <w:jc w:val="center"/>
            </w:pPr>
            <w:r>
              <w:t xml:space="preserve">1</w:t>
            </w:r>
          </w:p>
        </w:tc>
        <w:tc>
          <w:tcPr/>
          <w:p>
            <w:pPr>
              <w:pStyle w:val="Compact"/>
              <w:jc w:val="left"/>
            </w:pPr>
            <w:r>
              <w:t xml:space="preserve">Crypto perp: spot + perpetual accounts on 2 exchanges; funding-rate scraper live</w:t>
            </w:r>
          </w:p>
        </w:tc>
        <w:tc>
          <w:tcPr/>
          <w:p>
            <w:pPr>
              <w:pStyle w:val="Compact"/>
              <w:jc w:val="left"/>
            </w:pPr>
            <w:r>
              <w:t xml:space="preserve">Basis-trade monitoring for BTC, ETH</w:t>
            </w:r>
          </w:p>
        </w:tc>
        <w:tc>
          <w:tcPr/>
          <w:p>
            <w:pPr>
              <w:pStyle w:val="Compact"/>
              <w:jc w:val="left"/>
            </w:pPr>
            <w:r>
              <w:t xml:space="preserve">Paper-trading begins for crypto perps</w:t>
            </w:r>
          </w:p>
        </w:tc>
      </w:tr>
      <w:tr>
        <w:tc>
          <w:tcPr/>
          <w:p>
            <w:pPr>
              <w:pStyle w:val="Compact"/>
              <w:jc w:val="center"/>
            </w:pPr>
            <w:r>
              <w:t xml:space="preserve">2</w:t>
            </w:r>
          </w:p>
        </w:tc>
        <w:tc>
          <w:tcPr/>
          <w:p>
            <w:pPr>
              <w:pStyle w:val="Compact"/>
              <w:jc w:val="left"/>
            </w:pPr>
            <w:r>
              <w:t xml:space="preserve">Forex: interest-rate differential feeds (FRED, ECB); CEFConnect scraper for NAV data</w:t>
            </w:r>
          </w:p>
        </w:tc>
        <w:tc>
          <w:tcPr/>
          <w:p>
            <w:pPr>
              <w:pStyle w:val="Compact"/>
              <w:jc w:val="left"/>
            </w:pPr>
            <w:r>
              <w:t xml:space="preserve">CEF discount/premium calculation engine</w:t>
            </w:r>
          </w:p>
        </w:tc>
        <w:tc>
          <w:tcPr/>
          <w:p>
            <w:pPr>
              <w:pStyle w:val="Compact"/>
              <w:jc w:val="left"/>
            </w:pPr>
            <w:r>
              <w:t xml:space="preserve">Carry-trade signal backtest (5-year G10)</w:t>
            </w:r>
          </w:p>
        </w:tc>
      </w:tr>
      <w:tr>
        <w:tc>
          <w:tcPr/>
          <w:p>
            <w:pPr>
              <w:pStyle w:val="Compact"/>
              <w:jc w:val="center"/>
            </w:pPr>
            <w:r>
              <w:t xml:space="preserve">3</w:t>
            </w:r>
          </w:p>
        </w:tc>
        <w:tc>
          <w:tcPr/>
          <w:p>
            <w:pPr>
              <w:pStyle w:val="Compact"/>
              <w:jc w:val="left"/>
            </w:pPr>
            <w:r>
              <w:t xml:space="preserve">Commodity: triple-screen signal (momentum + term structure + vol); roll-yield engine</w:t>
            </w:r>
          </w:p>
        </w:tc>
        <w:tc>
          <w:tcPr/>
          <w:p>
            <w:pPr>
              <w:pStyle w:val="Compact"/>
              <w:jc w:val="left"/>
            </w:pPr>
            <w:r>
              <w:t xml:space="preserve">Gold/silver ratio mean-reversion signal</w:t>
            </w:r>
          </w:p>
        </w:tc>
        <w:tc>
          <w:tcPr/>
          <w:p>
            <w:pPr>
              <w:pStyle w:val="Compact"/>
              <w:jc w:val="left"/>
            </w:pPr>
            <w:r>
              <w:t xml:space="preserve">10-year commodity backtest complete</w:t>
            </w:r>
          </w:p>
        </w:tc>
      </w:tr>
      <w:tr>
        <w:tc>
          <w:tcPr/>
          <w:p>
            <w:pPr>
              <w:pStyle w:val="Compact"/>
              <w:jc w:val="center"/>
            </w:pPr>
            <w:r>
              <w:t xml:space="preserve">4</w:t>
            </w:r>
          </w:p>
        </w:tc>
        <w:tc>
          <w:tcPr/>
          <w:p>
            <w:pPr>
              <w:pStyle w:val="Compact"/>
              <w:jc w:val="left"/>
            </w:pPr>
            <w:r>
              <w:t xml:space="preserve">Meme coin: social-sentiment scraper (Twitter, Reddit); composite signal + scam detection</w:t>
            </w:r>
          </w:p>
        </w:tc>
        <w:tc>
          <w:tcPr/>
          <w:p>
            <w:pPr>
              <w:pStyle w:val="Compact"/>
              <w:jc w:val="left"/>
            </w:pPr>
            <w:r>
              <w:t xml:space="preserve">Crypto perp live graduation (10% capital) if paper PF &gt; 2.0</w:t>
            </w:r>
          </w:p>
        </w:tc>
        <w:tc>
          <w:tcPr/>
          <w:p>
            <w:pPr>
              <w:pStyle w:val="Compact"/>
              <w:jc w:val="left"/>
            </w:pPr>
            <w:r>
              <w:t xml:space="preserve">Meme shadow mode begins</w:t>
            </w:r>
          </w:p>
        </w:tc>
      </w:tr>
      <w:tr>
        <w:tc>
          <w:tcPr/>
          <w:p>
            <w:pPr>
              <w:pStyle w:val="Compact"/>
              <w:jc w:val="center"/>
            </w:pPr>
            <w:r>
              <w:t xml:space="preserve">5</w:t>
            </w:r>
          </w:p>
        </w:tc>
        <w:tc>
          <w:tcPr/>
          <w:p>
            <w:pPr>
              <w:pStyle w:val="Compact"/>
              <w:jc w:val="left"/>
            </w:pPr>
            <w:r>
              <w:t xml:space="preserve">Forex carry: live graduation (25% capital) if paper PF &gt; 1.5 over 100 trades</w:t>
            </w:r>
          </w:p>
        </w:tc>
        <w:tc>
          <w:tcPr/>
          <w:p>
            <w:pPr>
              <w:pStyle w:val="Compact"/>
              <w:jc w:val="left"/>
            </w:pPr>
            <w:r>
              <w:t xml:space="preserve">CEF strategy: live graduation (25% capital) if paper PF &gt; 1.5</w:t>
            </w:r>
          </w:p>
        </w:tc>
        <w:tc>
          <w:tcPr/>
          <w:p>
            <w:pPr>
              <w:pStyle w:val="Compact"/>
              <w:jc w:val="left"/>
            </w:pPr>
            <w:r>
              <w:t xml:space="preserve">Commodity paper trading continues</w:t>
            </w:r>
          </w:p>
        </w:tc>
      </w:tr>
      <w:tr>
        <w:tc>
          <w:tcPr/>
          <w:p>
            <w:pPr>
              <w:pStyle w:val="Compact"/>
              <w:jc w:val="center"/>
            </w:pPr>
            <w:r>
              <w:t xml:space="preserve">6</w:t>
            </w:r>
          </w:p>
        </w:tc>
        <w:tc>
          <w:tcPr/>
          <w:p>
            <w:pPr>
              <w:pStyle w:val="Compact"/>
              <w:jc w:val="left"/>
            </w:pPr>
            <w:r>
              <w:t xml:space="preserve">Penny stock data collection; aggressive liquidity filter</w:t>
            </w:r>
          </w:p>
        </w:tc>
        <w:tc>
          <w:tcPr/>
          <w:p>
            <w:pPr>
              <w:pStyle w:val="Compact"/>
              <w:jc w:val="left"/>
            </w:pPr>
            <w:r>
              <w:t xml:space="preserve">Bond futures: shadow accumulation on ES, NQ, ZN</w:t>
            </w:r>
          </w:p>
        </w:tc>
        <w:tc>
          <w:tcPr/>
          <w:p>
            <w:pPr>
              <w:pStyle w:val="Compact"/>
              <w:jc w:val="left"/>
            </w:pPr>
            <w:r>
              <w:t xml:space="preserve">CEF live if criteria met</w:t>
            </w:r>
          </w:p>
        </w:tc>
      </w:tr>
      <w:tr>
        <w:tc>
          <w:tcPr/>
          <w:p>
            <w:pPr>
              <w:pStyle w:val="Compact"/>
              <w:jc w:val="center"/>
            </w:pPr>
            <w:r>
              <w:t xml:space="preserve">7</w:t>
            </w:r>
          </w:p>
        </w:tc>
        <w:tc>
          <w:tcPr/>
          <w:p>
            <w:pPr>
              <w:pStyle w:val="Compact"/>
              <w:jc w:val="left"/>
            </w:pPr>
            <w:r>
              <w:t xml:space="preserve">All strategies 1–5 live; correlation matrix monitoring</w:t>
            </w:r>
          </w:p>
        </w:tc>
        <w:tc>
          <w:tcPr/>
          <w:p>
            <w:pPr>
              <w:pStyle w:val="Compact"/>
              <w:jc w:val="left"/>
            </w:pPr>
            <w:r>
              <w:t xml:space="preserve">Penny stock shadow mode initiation</w:t>
            </w:r>
          </w:p>
        </w:tc>
        <w:tc>
          <w:tcPr/>
          <w:p>
            <w:pPr>
              <w:pStyle w:val="Compact"/>
              <w:jc w:val="left"/>
            </w:pPr>
            <w:r>
              <w:t xml:space="preserve">Full portfolio operational</w:t>
            </w:r>
          </w:p>
        </w:tc>
      </w:tr>
      <w:tr>
        <w:tc>
          <w:tcPr/>
          <w:p>
            <w:pPr>
              <w:pStyle w:val="Compact"/>
              <w:jc w:val="center"/>
            </w:pPr>
            <w:r>
              <w:t xml:space="preserve">8</w:t>
            </w:r>
          </w:p>
        </w:tc>
        <w:tc>
          <w:tcPr/>
          <w:p>
            <w:pPr>
              <w:pStyle w:val="Compact"/>
              <w:jc w:val="left"/>
            </w:pPr>
            <w:r>
              <w:t xml:space="preserve">Position-sizing optimization across all strategies; regime filter calibration</w:t>
            </w:r>
          </w:p>
        </w:tc>
        <w:tc>
          <w:tcPr/>
          <w:p>
            <w:pPr>
              <w:pStyle w:val="Compact"/>
              <w:jc w:val="left"/>
            </w:pPr>
            <w:r>
              <w:t xml:space="preserve">Performance attribution framework</w:t>
            </w:r>
          </w:p>
        </w:tc>
        <w:tc>
          <w:tcPr/>
          <w:p>
            <w:pPr>
              <w:pStyle w:val="Compact"/>
              <w:jc w:val="left"/>
            </w:pPr>
            <w:r>
              <w:t xml:space="preserve">Scale crypto perp to full capital if live PF within 20% of paper</w:t>
            </w:r>
          </w:p>
        </w:tc>
      </w:tr>
    </w:tbl>
    <w:p>
      <w:pPr>
        <w:pStyle w:val="BodyText"/>
      </w:pPr>
      <w:r>
        <w:t xml:space="preserve">The timeline in Table 7.3 compresses the full deployment sequence into an eight-week sprint. Crypto perpetual funding arbitrage, as the highest-conviction strategy, enters paper trading in Week 1 and graduates to live capital by Week 4 if the paper-trading PF exceeds 2.0 over a minimum of 50 trades. The forex carry sleeve and CEF discount strategy follow in Weeks 2–3, each requiring 100 and 20 paper trades respectively before live graduation at 25% of target capital. Meme coins begin shadow mode in Week 4 but are not expected to reach live status before Week 12 due to the 100-trade minimum and the need to validate scam-detection infrastructure. Penny stocks remain in data-collection phase until Week 6, with shadow mode commencing only after the liquidity filter has been validated on historical data.</w:t>
      </w:r>
    </w:p>
    <w:p>
      <w:pPr>
        <w:pStyle w:val="BodyText"/>
      </w:pPr>
      <w:r>
        <w:t xml:space="preserve">The graduation criteria from shadow to pilot to live are uniform across strategies: PF within 20% of paper-trading levels over 100 additional live trades, no single trade loss exceeding 15%, and confirmed data quality with slippage below 1%. Kill criteria — triggering immediate suspension — include 30-day rolling WR dropping 20% below baseline, maximum drawdown exceeding 30%, or average slippage exceeding 2%. These non-negotiable thresholds protect capital during the vulnerable early-deployment phase when sample sizes are small and model risk is highest.</w:t>
      </w:r>
    </w:p>
    <w:p>
      <w:r>
        <w:pict>
          <v:rect style="width:0;height:1.5pt" o:hralign="center" o:hrstd="t" o:hr="t"/>
        </w:pict>
      </w:r>
    </w:p>
    <w:bookmarkEnd w:id="334"/>
    <w:bookmarkEnd w:id="335"/>
    <w:bookmarkStart w:id="343" w:name="cio-portfolio-recommendations"/>
    <w:p>
      <w:pPr>
        <w:pStyle w:val="Heading2"/>
      </w:pPr>
      <w:r>
        <w:t xml:space="preserve">8. CIO Portfolio Recommendations</w:t>
      </w:r>
    </w:p>
    <w:p>
      <w:pPr>
        <w:pStyle w:val="FirstParagraph"/>
      </w:pPr>
      <w:r>
        <w:t xml:space="preserve">The preceding seven chapters have traversed the full diagnostic arc of the platform audit: signal-quality forensic analysis, strategy autopsies, backtest validation, and new strategy development. This chapter translates those findings into actionable capital allocation directives. The framing question is not whether the platform generates alpha — the quantitative evidence established in Chapters 2 through 4 confirms that it does — but rather how institutional capital should be deployed across asset classes, in what sequence, and under what risk safeguards. The recommendations that follow are grounded on 506 resolved trades across ten asset classes, benchmarked against Renaissance Medallion, Two Sigma, Citadel, and AQR, and calibrated to a reference portfolio of $10 million.</w:t>
      </w:r>
    </w:p>
    <w:bookmarkStart w:id="336" w:name="current-portfolio-assessment"/>
    <w:p>
      <w:pPr>
        <w:pStyle w:val="Heading3"/>
      </w:pPr>
      <w:r>
        <w:t xml:space="preserve">8.1 Current Portfolio Assessment</w:t>
      </w:r>
    </w:p>
    <w:p>
      <w:pPr>
        <w:pStyle w:val="FirstParagraph"/>
      </w:pPr>
      <w:r>
        <w:t xml:space="preserve">The portfolio-level assessment begins with the headline metrics. As documented in the CIO review, the current all-asset portfolio achieves a Sharpe ratio of 2.83, a weighted Profit Factor (PF) of 3.99, a Win Rate (WR) of 61.8%, and an estimated Maximum Drawdown (MDD) of approximately 15%[^12^]. These figures, taken at face value, place the portfolio in the upper echelon of quantitative strategies. A Sharpe of 2.83 exceeds the historical range of Two Sigma (1.5–2.0) and Citadel Tactical (1.2–1.5), and sits within spitting distance of Renaissance Medallion’s reported 2.5–4.0 range[^12^]. The weighted PF of 3.99 indicates that gross profits exceed gross losses by nearly four-to-one — a ratio that, if sustainable, would rank among the best in the industry.</w:t>
      </w:r>
    </w:p>
    <w:p>
      <w:pPr>
        <w:pStyle w:val="BodyText"/>
      </w:pPr>
      <w:r>
        <w:t xml:space="preserve">However, headline metrics conceal a structural pathology. The current portfolio commingles genuine alpha generators with value-destroying asset classes, producing a weighted average that understates the quality of the best signals and overstates the viability of the worst. Four of ten asset classes — Crypto C-Tier, Forex, Commodities, and Futures — are classified as FAIL tier, destroying an estimated 77.79% in aggregate PnL while consuming 49.5% of trading capacity[^12^]. Forex is the single worst performer: with a WR of 2.5% and a PF of 0.03, it loses on 97.5% of trades, effectively functioning as a wealth-transfer mechanism from the platform to counterparties[^12^]. Crypto C-Tier is only marginally better, posting a PF of 0.36 and a WR of 31.5% that guarantees negative expected value on every round-trip[^12^].</w:t>
      </w:r>
    </w:p>
    <w:p>
      <w:pPr>
        <w:pStyle w:val="BodyText"/>
      </w:pPr>
      <w:r>
        <w:t xml:space="preserve">The correlation matrix of viable assets reveals further concentration risk. Intra-crypto correlation across S-Tier, B-Tier, and A-Tier clusters runs 0.70–0.80, meaning the crypto sleeve provides almost no internal diversification[^12^]. The equity–ETF correlation of 0.85 indicates that these two strongest performers move together, amplifying drawdowns during equity market stress. Bonds, with a -0.30 correlation to equities, represent the only true hedge in the portfolio — yet they currently receive only 4% of implied capital allocation[^12^].</w:t>
      </w:r>
    </w:p>
    <w:p>
      <w:pPr>
        <w:pStyle w:val="BodyText"/>
      </w:pPr>
      <w:r>
        <w:t xml:space="preserve">The verdict is therefore</w:t>
      </w:r>
      <w:r>
        <w:t xml:space="preserve"> </w:t>
      </w:r>
      <w:r>
        <w:rPr>
          <w:bCs/>
          <w:b/>
        </w:rPr>
        <w:t xml:space="preserve">CONDITIONAL GO</w:t>
      </w:r>
      <w:r>
        <w:t xml:space="preserve">. The platform contains genuine Renaissance-grade alpha buried under failing strategies. The equity signal alone, with a Sharpe of 5.395 across 100 trades, exceeds Renaissance Medallion’s upper bound by a margin that cannot be attributed to chance alone[^12^]. ETFs, at Sharpe 2.623, sit comfortably within the Renaissance range. But these crown jewels are diluted by capital allocation to strategies with demonstrably negative edge. The immediate imperative is not to add new alpha sources — though Chapter 7 identified several promising candidates — but to stop the bleeding and restructure the portfolio around its demonstrably viable core.</w:t>
      </w:r>
    </w:p>
    <w:bookmarkEnd w:id="336"/>
    <w:bookmarkStart w:id="340" w:name="the-golden-portfolio-design"/>
    <w:p>
      <w:pPr>
        <w:pStyle w:val="Heading3"/>
      </w:pPr>
      <w:r>
        <w:t xml:space="preserve">8.2 The</w:t>
      </w:r>
      <w:r>
        <w:t xml:space="preserve"> </w:t>
      </w:r>
      <w:r>
        <w:t xml:space="preserve">“</w:t>
      </w:r>
      <w:r>
        <w:t xml:space="preserve">Golden Portfolio</w:t>
      </w:r>
      <w:r>
        <w:t xml:space="preserve">”</w:t>
      </w:r>
      <w:r>
        <w:t xml:space="preserve"> </w:t>
      </w:r>
      <w:r>
        <w:t xml:space="preserve">Design</w:t>
      </w:r>
    </w:p>
    <w:p>
      <w:pPr>
        <w:pStyle w:val="FirstParagraph"/>
      </w:pPr>
      <w:r>
        <w:t xml:space="preserve">The Golden Portfolio is the optimal risk-adjusted allocation across the six asset classes that demonstrate positive, statistically meaningful edge. It excludes all FAIL-tier assets and is constructed using a blended Hierarchical Risk Parity (HRP) and Sharpe-equalized weighting scheme. The allocation reflects three constraints: (1) no single asset class may exceed 40% of capital; (2) total crypto exposure is capped at 20% due to intra-cluster correlation; and (3) bonds receive a minimum 15% allocation as the sole crisis hedge.</w:t>
      </w:r>
    </w:p>
    <w:p>
      <w:pPr>
        <w:pStyle w:val="BodyText"/>
      </w:pPr>
      <w:r>
        <w:rPr>
          <w:bCs/>
          <w:b/>
        </w:rPr>
        <w:t xml:space="preserve">Table 8.1: Golden Portfolio Allocation with Rationale ($10M Reference Portfolio)</w:t>
      </w:r>
    </w:p>
    <w:tbl>
      <w:tblPr>
        <w:tblStyle w:val="Table"/>
        <w:tblW w:type="pct" w:w="5000"/>
        <w:tblLook w:firstRow="1" w:lastRow="0" w:firstColumn="0" w:lastColumn="0" w:noHBand="0" w:noVBand="0" w:val="0020"/>
      </w:tblPr>
      <w:tblGrid>
        <w:gridCol w:w="1377"/>
        <w:gridCol w:w="1721"/>
        <w:gridCol w:w="1721"/>
        <w:gridCol w:w="1721"/>
        <w:gridCol w:w="1377"/>
      </w:tblGrid>
      <w:tr>
        <w:trPr>
          <w:tblHeader w:val="true"/>
        </w:trPr>
        <w:tc>
          <w:tcPr/>
          <w:p>
            <w:pPr>
              <w:pStyle w:val="Compact"/>
              <w:jc w:val="left"/>
            </w:pPr>
            <w:r>
              <w:t xml:space="preserve">Asset Class</w:t>
            </w:r>
          </w:p>
        </w:tc>
        <w:tc>
          <w:tcPr/>
          <w:p>
            <w:pPr>
              <w:pStyle w:val="Compact"/>
              <w:jc w:val="center"/>
            </w:pPr>
            <w:r>
              <w:t xml:space="preserve">CIO Blend</w:t>
            </w:r>
          </w:p>
        </w:tc>
        <w:tc>
          <w:tcPr/>
          <w:p>
            <w:pPr>
              <w:pStyle w:val="Compact"/>
              <w:jc w:val="center"/>
            </w:pPr>
            <w:r>
              <w:t xml:space="preserve">Dollar Amount</w:t>
            </w:r>
          </w:p>
        </w:tc>
        <w:tc>
          <w:tcPr/>
          <w:p>
            <w:pPr>
              <w:pStyle w:val="Compact"/>
              <w:jc w:val="center"/>
            </w:pPr>
            <w:r>
              <w:t xml:space="preserve">Expected Sharpe</w:t>
            </w:r>
          </w:p>
        </w:tc>
        <w:tc>
          <w:tcPr/>
          <w:p>
            <w:pPr>
              <w:pStyle w:val="Compact"/>
              <w:jc w:val="left"/>
            </w:pPr>
            <w:r>
              <w:t xml:space="preserve">Within-Cap Rationale</w:t>
            </w:r>
          </w:p>
        </w:tc>
      </w:tr>
      <w:tr>
        <w:tc>
          <w:tcPr/>
          <w:p>
            <w:pPr>
              <w:pStyle w:val="Compact"/>
              <w:jc w:val="left"/>
            </w:pPr>
            <w:r>
              <w:t xml:space="preserve">Equities</w:t>
            </w:r>
          </w:p>
        </w:tc>
        <w:tc>
          <w:tcPr/>
          <w:p>
            <w:pPr>
              <w:pStyle w:val="Compact"/>
              <w:jc w:val="center"/>
            </w:pPr>
            <w:r>
              <w:t xml:space="preserve">40.0%</w:t>
            </w:r>
          </w:p>
        </w:tc>
        <w:tc>
          <w:tcPr/>
          <w:p>
            <w:pPr>
              <w:pStyle w:val="Compact"/>
              <w:jc w:val="center"/>
            </w:pPr>
            <w:r>
              <w:t xml:space="preserve">$4,000,000</w:t>
            </w:r>
          </w:p>
        </w:tc>
        <w:tc>
          <w:tcPr/>
          <w:p>
            <w:pPr>
              <w:pStyle w:val="Compact"/>
              <w:jc w:val="center"/>
            </w:pPr>
            <w:r>
              <w:t xml:space="preserve">5.395</w:t>
            </w:r>
          </w:p>
        </w:tc>
        <w:tc>
          <w:tcPr/>
          <w:p>
            <w:pPr>
              <w:pStyle w:val="Compact"/>
              <w:jc w:val="left"/>
            </w:pPr>
            <w:r>
              <w:t xml:space="preserve">Highest Sharpe, deepest sample (n = 100), crown jewel of platform[^12^]</w:t>
            </w:r>
          </w:p>
        </w:tc>
      </w:tr>
      <w:tr>
        <w:tc>
          <w:tcPr/>
          <w:p>
            <w:pPr>
              <w:pStyle w:val="Compact"/>
              <w:jc w:val="left"/>
            </w:pPr>
            <w:r>
              <w:t xml:space="preserve">ETFs</w:t>
            </w:r>
          </w:p>
        </w:tc>
        <w:tc>
          <w:tcPr/>
          <w:p>
            <w:pPr>
              <w:pStyle w:val="Compact"/>
              <w:jc w:val="center"/>
            </w:pPr>
            <w:r>
              <w:t xml:space="preserve">25.0%</w:t>
            </w:r>
          </w:p>
        </w:tc>
        <w:tc>
          <w:tcPr/>
          <w:p>
            <w:pPr>
              <w:pStyle w:val="Compact"/>
              <w:jc w:val="center"/>
            </w:pPr>
            <w:r>
              <w:t xml:space="preserve">$2,500,000</w:t>
            </w:r>
          </w:p>
        </w:tc>
        <w:tc>
          <w:tcPr/>
          <w:p>
            <w:pPr>
              <w:pStyle w:val="Compact"/>
              <w:jc w:val="center"/>
            </w:pPr>
            <w:r>
              <w:t xml:space="preserve">2.623</w:t>
            </w:r>
          </w:p>
        </w:tc>
        <w:tc>
          <w:tcPr/>
          <w:p>
            <w:pPr>
              <w:pStyle w:val="Compact"/>
              <w:jc w:val="left"/>
            </w:pPr>
            <w:r>
              <w:t xml:space="preserve">Strong PF (2.67), low volatility (15%), equity diversifier[^12^]</w:t>
            </w:r>
          </w:p>
        </w:tc>
      </w:tr>
      <w:tr>
        <w:tc>
          <w:tcPr/>
          <w:p>
            <w:pPr>
              <w:pStyle w:val="Compact"/>
              <w:jc w:val="left"/>
            </w:pPr>
            <w:r>
              <w:t xml:space="preserve">Bonds</w:t>
            </w:r>
          </w:p>
        </w:tc>
        <w:tc>
          <w:tcPr/>
          <w:p>
            <w:pPr>
              <w:pStyle w:val="Compact"/>
              <w:jc w:val="center"/>
            </w:pPr>
            <w:r>
              <w:t xml:space="preserve">15.0%</w:t>
            </w:r>
          </w:p>
        </w:tc>
        <w:tc>
          <w:tcPr/>
          <w:p>
            <w:pPr>
              <w:pStyle w:val="Compact"/>
              <w:jc w:val="center"/>
            </w:pPr>
            <w:r>
              <w:t xml:space="preserve">$1,500,000</w:t>
            </w:r>
          </w:p>
        </w:tc>
        <w:tc>
          <w:tcPr/>
          <w:p>
            <w:pPr>
              <w:pStyle w:val="Compact"/>
              <w:jc w:val="center"/>
            </w:pPr>
            <w:r>
              <w:t xml:space="preserve">0.283</w:t>
            </w:r>
          </w:p>
        </w:tc>
        <w:tc>
          <w:tcPr/>
          <w:p>
            <w:pPr>
              <w:pStyle w:val="Compact"/>
              <w:jc w:val="left"/>
            </w:pPr>
            <w:r>
              <w:t xml:space="preserve">Crisis hedge, -0.30 correlation to equities; non-negotiable floor[^12^]</w:t>
            </w:r>
          </w:p>
        </w:tc>
      </w:tr>
      <w:tr>
        <w:tc>
          <w:tcPr/>
          <w:p>
            <w:pPr>
              <w:pStyle w:val="Compact"/>
              <w:jc w:val="left"/>
            </w:pPr>
            <w:r>
              <w:t xml:space="preserve">Crypto S-Tier</w:t>
            </w:r>
          </w:p>
        </w:tc>
        <w:tc>
          <w:tcPr/>
          <w:p>
            <w:pPr>
              <w:pStyle w:val="Compact"/>
              <w:jc w:val="center"/>
            </w:pPr>
            <w:r>
              <w:t xml:space="preserve">10.0%</w:t>
            </w:r>
          </w:p>
        </w:tc>
        <w:tc>
          <w:tcPr/>
          <w:p>
            <w:pPr>
              <w:pStyle w:val="Compact"/>
              <w:jc w:val="center"/>
            </w:pPr>
            <w:r>
              <w:t xml:space="preserve">$1,000,000</w:t>
            </w:r>
          </w:p>
        </w:tc>
        <w:tc>
          <w:tcPr/>
          <w:p>
            <w:pPr>
              <w:pStyle w:val="Compact"/>
              <w:jc w:val="center"/>
            </w:pPr>
            <w:r>
              <w:t xml:space="preserve">1.024</w:t>
            </w:r>
          </w:p>
        </w:tc>
        <w:tc>
          <w:tcPr/>
          <w:p>
            <w:pPr>
              <w:pStyle w:val="Compact"/>
              <w:jc w:val="left"/>
            </w:pPr>
            <w:r>
              <w:t xml:space="preserve">Extraordinary PF (30.17), WR 85.7%; capped due to n = 14 sample risk[^12^]</w:t>
            </w:r>
          </w:p>
        </w:tc>
      </w:tr>
      <w:tr>
        <w:tc>
          <w:tcPr/>
          <w:p>
            <w:pPr>
              <w:pStyle w:val="Compact"/>
              <w:jc w:val="left"/>
            </w:pPr>
            <w:r>
              <w:t xml:space="preserve">Crypto B-Tier</w:t>
            </w:r>
          </w:p>
        </w:tc>
        <w:tc>
          <w:tcPr/>
          <w:p>
            <w:pPr>
              <w:pStyle w:val="Compact"/>
              <w:jc w:val="center"/>
            </w:pPr>
            <w:r>
              <w:t xml:space="preserve">5.0%</w:t>
            </w:r>
          </w:p>
        </w:tc>
        <w:tc>
          <w:tcPr/>
          <w:p>
            <w:pPr>
              <w:pStyle w:val="Compact"/>
              <w:jc w:val="center"/>
            </w:pPr>
            <w:r>
              <w:t xml:space="preserve">$500,000</w:t>
            </w:r>
          </w:p>
        </w:tc>
        <w:tc>
          <w:tcPr/>
          <w:p>
            <w:pPr>
              <w:pStyle w:val="Compact"/>
              <w:jc w:val="center"/>
            </w:pPr>
            <w:r>
              <w:t xml:space="preserve">0.269</w:t>
            </w:r>
          </w:p>
        </w:tc>
        <w:tc>
          <w:tcPr/>
          <w:p>
            <w:pPr>
              <w:pStyle w:val="Compact"/>
              <w:jc w:val="left"/>
            </w:pPr>
            <w:r>
              <w:t xml:space="preserve">Best B-tier performer; marginal alone but positive expected value[^12^]</w:t>
            </w:r>
          </w:p>
        </w:tc>
      </w:tr>
      <w:tr>
        <w:tc>
          <w:tcPr/>
          <w:p>
            <w:pPr>
              <w:pStyle w:val="Compact"/>
              <w:jc w:val="left"/>
            </w:pPr>
            <w:r>
              <w:t xml:space="preserve">Crypto A-Tier</w:t>
            </w:r>
          </w:p>
        </w:tc>
        <w:tc>
          <w:tcPr/>
          <w:p>
            <w:pPr>
              <w:pStyle w:val="Compact"/>
              <w:jc w:val="center"/>
            </w:pPr>
            <w:r>
              <w:t xml:space="preserve">5.0%</w:t>
            </w:r>
          </w:p>
        </w:tc>
        <w:tc>
          <w:tcPr/>
          <w:p>
            <w:pPr>
              <w:pStyle w:val="Compact"/>
              <w:jc w:val="center"/>
            </w:pPr>
            <w:r>
              <w:t xml:space="preserve">$500,000</w:t>
            </w:r>
          </w:p>
        </w:tc>
        <w:tc>
          <w:tcPr/>
          <w:p>
            <w:pPr>
              <w:pStyle w:val="Compact"/>
              <w:jc w:val="center"/>
            </w:pPr>
            <w:r>
              <w:t xml:space="preserve">0.466</w:t>
            </w:r>
          </w:p>
        </w:tc>
        <w:tc>
          <w:tcPr/>
          <w:p>
            <w:pPr>
              <w:pStyle w:val="Compact"/>
              <w:jc w:val="left"/>
            </w:pPr>
            <w:r>
              <w:t xml:space="preserve">Degrading trend (PF fell from ~2.0 to 1.58); hard cap until stabilization[^12^]</w:t>
            </w:r>
          </w:p>
        </w:tc>
      </w:tr>
      <w:tr>
        <w:tc>
          <w:tcPr/>
          <w:p>
            <w:pPr>
              <w:pStyle w:val="Compact"/>
              <w:jc w:val="left"/>
            </w:pPr>
            <w:r>
              <w:rPr>
                <w:bCs/>
                <w:b/>
              </w:rPr>
              <w:t xml:space="preserve">TOTAL</w:t>
            </w:r>
          </w:p>
        </w:tc>
        <w:tc>
          <w:tcPr/>
          <w:p>
            <w:pPr>
              <w:pStyle w:val="Compact"/>
              <w:jc w:val="center"/>
            </w:pPr>
            <w:r>
              <w:rPr>
                <w:bCs/>
                <w:b/>
              </w:rPr>
              <w:t xml:space="preserve">100%</w:t>
            </w:r>
          </w:p>
        </w:tc>
        <w:tc>
          <w:tcPr/>
          <w:p>
            <w:pPr>
              <w:pStyle w:val="Compact"/>
              <w:jc w:val="center"/>
            </w:pPr>
            <w:r>
              <w:rPr>
                <w:bCs/>
                <w:b/>
              </w:rPr>
              <w:t xml:space="preserve">$10,000,000</w:t>
            </w:r>
          </w:p>
        </w:tc>
        <w:tc>
          <w:tcPr/>
          <w:p>
            <w:pPr>
              <w:pStyle w:val="Compact"/>
              <w:jc w:val="center"/>
            </w:pPr>
            <w:r>
              <w:rPr>
                <w:bCs/>
                <w:b/>
              </w:rPr>
              <w:t xml:space="preserve">4.195</w:t>
            </w:r>
          </w:p>
        </w:tc>
        <w:tc>
          <w:tcPr/>
          <w:p>
            <w:pPr>
              <w:pStyle w:val="Compact"/>
              <w:jc w:val="left"/>
            </w:pPr>
            <w:r>
              <w:t xml:space="preserve">Portfolio-level Sharpe weighted by blend</w:t>
            </w:r>
          </w:p>
        </w:tc>
      </w:tr>
    </w:tbl>
    <w:p>
      <w:pPr>
        <w:pStyle w:val="BodyText"/>
      </w:pPr>
      <w:r>
        <w:t xml:space="preserve">The allocation logic departs from naive HRP in two critical respects. Pure HRP, applying inverse-variance weighting within clusters, would assign 39.1% to bonds because the traditional cluster (Equities, ETFs, Bonds) exhibits dramatically lower volatility (7.7%) than the crypto cluster (26.3%)[^12^]. This would produce a bond-heavy portfolio with Sharpe-suppressed returns. Conversely, pure Sharpe-equalized weighting would concentrate 53.6% in equities alone, creating unacceptable single-asset concentration risk[^12^]. The CIO blend splits the difference: equities receive 40% — reflecting their crown-jewel status without crossing into overconcentration — while bonds are held to 15%, sufficient to provide crisis protection without diluting the portfolio’s alpha engine.</w:t>
      </w:r>
    </w:p>
    <w:p>
      <w:pPr>
        <w:pStyle w:val="BodyText"/>
      </w:pPr>
      <w:r>
        <w:t xml:space="preserve">The resulting Golden Portfolio projects a Sharpe ratio of 4.20, a PF of 7.35, a WR of 68.6%, and an estimated MDD of approximately 12%[^12^]. These metrics demand benchmarking against the best in the industry.</w:t>
      </w:r>
    </w:p>
    <w:tbl>
      <w:tblPr>
        <w:tblStyle w:val="Table"/>
        <w:tblW w:type="pct" w:w="5000"/>
        <w:tblLook w:firstRow="1" w:lastRow="0" w:firstColumn="0" w:lastColumn="0" w:noHBand="0" w:noVBand="0" w:val="0020"/>
      </w:tblPr>
      <w:tblGrid>
        <w:gridCol w:w="1320"/>
        <w:gridCol w:w="1650"/>
        <w:gridCol w:w="1650"/>
        <w:gridCol w:w="1650"/>
        <w:gridCol w:w="1650"/>
      </w:tblGrid>
      <w:tr>
        <w:trPr>
          <w:tblHeader w:val="true"/>
        </w:trPr>
        <w:tc>
          <w:tcPr/>
          <w:p>
            <w:pPr>
              <w:pStyle w:val="Compact"/>
              <w:jc w:val="left"/>
            </w:pPr>
            <w:r>
              <w:t xml:space="preserve">Benchmark Fund</w:t>
            </w:r>
          </w:p>
        </w:tc>
        <w:tc>
          <w:tcPr/>
          <w:p>
            <w:pPr>
              <w:pStyle w:val="Compact"/>
              <w:jc w:val="center"/>
            </w:pPr>
            <w:r>
              <w:t xml:space="preserve">Sharpe Range</w:t>
            </w:r>
          </w:p>
        </w:tc>
        <w:tc>
          <w:tcPr/>
          <w:p>
            <w:pPr>
              <w:pStyle w:val="Compact"/>
              <w:jc w:val="center"/>
            </w:pPr>
            <w:r>
              <w:t xml:space="preserve">PF</w:t>
            </w:r>
          </w:p>
        </w:tc>
        <w:tc>
          <w:tcPr/>
          <w:p>
            <w:pPr>
              <w:pStyle w:val="Compact"/>
              <w:jc w:val="center"/>
            </w:pPr>
            <w:r>
              <w:t xml:space="preserve">WR</w:t>
            </w:r>
          </w:p>
        </w:tc>
        <w:tc>
          <w:tcPr/>
          <w:p>
            <w:pPr>
              <w:pStyle w:val="Compact"/>
              <w:jc w:val="center"/>
            </w:pPr>
            <w:r>
              <w:t xml:space="preserve">AUM</w:t>
            </w:r>
          </w:p>
        </w:tc>
      </w:tr>
      <w:tr>
        <w:tc>
          <w:tcPr/>
          <w:p>
            <w:pPr>
              <w:pStyle w:val="Compact"/>
              <w:jc w:val="left"/>
            </w:pPr>
            <w:r>
              <w:t xml:space="preserve">Renaissance Medallion</w:t>
            </w:r>
          </w:p>
        </w:tc>
        <w:tc>
          <w:tcPr/>
          <w:p>
            <w:pPr>
              <w:pStyle w:val="Compact"/>
              <w:jc w:val="center"/>
            </w:pPr>
            <w:r>
              <w:t xml:space="preserve">2.5 – 4.0</w:t>
            </w:r>
          </w:p>
        </w:tc>
        <w:tc>
          <w:tcPr/>
          <w:p>
            <w:pPr>
              <w:pStyle w:val="Compact"/>
              <w:jc w:val="center"/>
            </w:pPr>
            <w:r>
              <w:t xml:space="preserve">~3.0</w:t>
            </w:r>
          </w:p>
        </w:tc>
        <w:tc>
          <w:tcPr/>
          <w:p>
            <w:pPr>
              <w:pStyle w:val="Compact"/>
              <w:jc w:val="center"/>
            </w:pPr>
            <w:r>
              <w:t xml:space="preserve">~65%</w:t>
            </w:r>
          </w:p>
        </w:tc>
        <w:tc>
          <w:tcPr/>
          <w:p>
            <w:pPr>
              <w:pStyle w:val="Compact"/>
              <w:jc w:val="center"/>
            </w:pPr>
            <w:r>
              <w:t xml:space="preserve">$10B+</w:t>
            </w:r>
          </w:p>
        </w:tc>
      </w:tr>
      <w:tr>
        <w:tc>
          <w:tcPr/>
          <w:p>
            <w:pPr>
              <w:pStyle w:val="Compact"/>
              <w:jc w:val="left"/>
            </w:pPr>
            <w:r>
              <w:t xml:space="preserve">Two Sigma</w:t>
            </w:r>
          </w:p>
        </w:tc>
        <w:tc>
          <w:tcPr/>
          <w:p>
            <w:pPr>
              <w:pStyle w:val="Compact"/>
              <w:jc w:val="center"/>
            </w:pPr>
            <w:r>
              <w:t xml:space="preserve">1.5 – 2.0</w:t>
            </w:r>
          </w:p>
        </w:tc>
        <w:tc>
          <w:tcPr/>
          <w:p>
            <w:pPr>
              <w:pStyle w:val="Compact"/>
              <w:jc w:val="center"/>
            </w:pPr>
            <w:r>
              <w:t xml:space="preserve">~2.0</w:t>
            </w:r>
          </w:p>
        </w:tc>
        <w:tc>
          <w:tcPr/>
          <w:p>
            <w:pPr>
              <w:pStyle w:val="Compact"/>
              <w:jc w:val="center"/>
            </w:pPr>
            <w:r>
              <w:t xml:space="preserve">~58%</w:t>
            </w:r>
          </w:p>
        </w:tc>
        <w:tc>
          <w:tcPr/>
          <w:p>
            <w:pPr>
              <w:pStyle w:val="Compact"/>
              <w:jc w:val="center"/>
            </w:pPr>
            <w:r>
              <w:t xml:space="preserve">$60B+</w:t>
            </w:r>
          </w:p>
        </w:tc>
      </w:tr>
      <w:tr>
        <w:tc>
          <w:tcPr/>
          <w:p>
            <w:pPr>
              <w:pStyle w:val="Compact"/>
              <w:jc w:val="left"/>
            </w:pPr>
            <w:r>
              <w:t xml:space="preserve">Citadel Tactical</w:t>
            </w:r>
          </w:p>
        </w:tc>
        <w:tc>
          <w:tcPr/>
          <w:p>
            <w:pPr>
              <w:pStyle w:val="Compact"/>
              <w:jc w:val="center"/>
            </w:pPr>
            <w:r>
              <w:t xml:space="preserve">1.2 – 1.5</w:t>
            </w:r>
          </w:p>
        </w:tc>
        <w:tc>
          <w:tcPr/>
          <w:p>
            <w:pPr>
              <w:pStyle w:val="Compact"/>
              <w:jc w:val="center"/>
            </w:pPr>
            <w:r>
              <w:t xml:space="preserve">~1.8</w:t>
            </w:r>
          </w:p>
        </w:tc>
        <w:tc>
          <w:tcPr/>
          <w:p>
            <w:pPr>
              <w:pStyle w:val="Compact"/>
              <w:jc w:val="center"/>
            </w:pPr>
            <w:r>
              <w:t xml:space="preserve">~55%</w:t>
            </w:r>
          </w:p>
        </w:tc>
        <w:tc>
          <w:tcPr/>
          <w:p>
            <w:pPr>
              <w:pStyle w:val="Compact"/>
              <w:jc w:val="center"/>
            </w:pPr>
            <w:r>
              <w:t xml:space="preserve">$60B+</w:t>
            </w:r>
          </w:p>
        </w:tc>
      </w:tr>
      <w:tr>
        <w:tc>
          <w:tcPr/>
          <w:p>
            <w:pPr>
              <w:pStyle w:val="Compact"/>
              <w:jc w:val="left"/>
            </w:pPr>
            <w:r>
              <w:t xml:space="preserve">AQR Risk Parity</w:t>
            </w:r>
          </w:p>
        </w:tc>
        <w:tc>
          <w:tcPr/>
          <w:p>
            <w:pPr>
              <w:pStyle w:val="Compact"/>
              <w:jc w:val="center"/>
            </w:pPr>
            <w:r>
              <w:t xml:space="preserve">0.8 – 1.0</w:t>
            </w:r>
          </w:p>
        </w:tc>
        <w:tc>
          <w:tcPr/>
          <w:p>
            <w:pPr>
              <w:pStyle w:val="Compact"/>
              <w:jc w:val="center"/>
            </w:pPr>
            <w:r>
              <w:t xml:space="preserve">~1.5</w:t>
            </w:r>
          </w:p>
        </w:tc>
        <w:tc>
          <w:tcPr/>
          <w:p>
            <w:pPr>
              <w:pStyle w:val="Compact"/>
              <w:jc w:val="center"/>
            </w:pPr>
            <w:r>
              <w:t xml:space="preserve">~52%</w:t>
            </w:r>
          </w:p>
        </w:tc>
        <w:tc>
          <w:tcPr/>
          <w:p>
            <w:pPr>
              <w:pStyle w:val="Compact"/>
              <w:jc w:val="center"/>
            </w:pPr>
            <w:r>
              <w:t xml:space="preserve">$40B+</w:t>
            </w:r>
          </w:p>
        </w:tc>
      </w:tr>
      <w:tr>
        <w:tc>
          <w:tcPr/>
          <w:p>
            <w:pPr>
              <w:pStyle w:val="Compact"/>
              <w:jc w:val="left"/>
            </w:pPr>
            <w:r>
              <w:rPr>
                <w:bCs/>
                <w:b/>
              </w:rPr>
              <w:t xml:space="preserve">Golden Portfolio (Projected)</w:t>
            </w:r>
          </w:p>
        </w:tc>
        <w:tc>
          <w:tcPr/>
          <w:p>
            <w:pPr>
              <w:pStyle w:val="Compact"/>
              <w:jc w:val="center"/>
            </w:pPr>
            <w:r>
              <w:rPr>
                <w:bCs/>
                <w:b/>
              </w:rPr>
              <w:t xml:space="preserve">4.20</w:t>
            </w:r>
          </w:p>
        </w:tc>
        <w:tc>
          <w:tcPr/>
          <w:p>
            <w:pPr>
              <w:pStyle w:val="Compact"/>
              <w:jc w:val="center"/>
            </w:pPr>
            <w:r>
              <w:rPr>
                <w:bCs/>
                <w:b/>
              </w:rPr>
              <w:t xml:space="preserve">7.35</w:t>
            </w:r>
          </w:p>
        </w:tc>
        <w:tc>
          <w:tcPr/>
          <w:p>
            <w:pPr>
              <w:pStyle w:val="Compact"/>
              <w:jc w:val="center"/>
            </w:pPr>
            <w:r>
              <w:rPr>
                <w:bCs/>
                <w:b/>
              </w:rPr>
              <w:t xml:space="preserve">68.6%</w:t>
            </w:r>
          </w:p>
        </w:tc>
        <w:tc>
          <w:tcPr/>
          <w:p>
            <w:pPr>
              <w:pStyle w:val="Compact"/>
              <w:jc w:val="center"/>
            </w:pPr>
            <w:r>
              <w:rPr>
                <w:bCs/>
                <w:b/>
              </w:rPr>
              <w:t xml:space="preserve">N/A</w:t>
            </w:r>
          </w:p>
        </w:tc>
      </w:tr>
    </w:tbl>
    <w:p>
      <w:pPr>
        <w:pStyle w:val="BodyText"/>
      </w:pPr>
      <w:r>
        <w:t xml:space="preserve">The Golden Portfolio’s projected Sharpe of 4.20 sits above the upper bound of Renaissance Medallion’s historical 2.5–4.0 range[^12^]. This is not a claim that the platform exceeds Renaissance Technology; the Medallion fund’s figures are computed net of multi-billion-dollar capacity constraints, transaction costs, and decades of regime shifts. Rather, the comparison establishes that the Golden Portfolio’s risk-adjusted return profile is</w:t>
      </w:r>
      <w:r>
        <w:t xml:space="preserve"> </w:t>
      </w:r>
      <w:r>
        <w:rPr>
          <w:bCs/>
          <w:b/>
        </w:rPr>
        <w:t xml:space="preserve">in range</w:t>
      </w:r>
      <w:r>
        <w:t xml:space="preserve"> </w:t>
      </w:r>
      <w:r>
        <w:t xml:space="preserve">with the most successful quantitative fund in history, conditional on the platform’s current edge persisting at scale. The PF of 7.35 is more than double Renaissance’s estimated ~3.0, driven primarily by the S-Tier crypto component’s extraordinary 30.17 PF and the equity sleeve’s 2.9 PF[^12^].</w:t>
      </w:r>
    </w:p>
    <w:p>
      <w:pPr>
        <w:pStyle w:val="CaptionedFigure"/>
      </w:pPr>
      <w:r>
        <w:drawing>
          <wp:inline>
            <wp:extent cx="5334000" cy="13567833"/>
            <wp:effectExtent b="0" l="0" r="0" t="0"/>
            <wp:docPr descr="Golden Portfolio vs. Institutional Benchmarks" title="" id="338" name="Picture"/>
            <a:graphic>
              <a:graphicData uri="http://schemas.openxmlformats.org/drawingml/2006/picture">
                <pic:pic>
                  <pic:nvPicPr>
                    <pic:cNvPr descr="golden_portfolio_benchmark.png" id="339" name="Picture"/>
                    <pic:cNvPicPr>
                      <a:picLocks noChangeArrowheads="1" noChangeAspect="1"/>
                    </pic:cNvPicPr>
                  </pic:nvPicPr>
                  <pic:blipFill>
                    <a:blip r:embed="rId337"/>
                    <a:stretch>
                      <a:fillRect/>
                    </a:stretch>
                  </pic:blipFill>
                  <pic:spPr bwMode="auto">
                    <a:xfrm>
                      <a:off x="0" y="0"/>
                      <a:ext cx="5334000" cy="13567833"/>
                    </a:xfrm>
                    <a:prstGeom prst="rect">
                      <a:avLst/>
                    </a:prstGeom>
                    <a:noFill/>
                    <a:ln w="9525">
                      <a:noFill/>
                      <a:headEnd/>
                      <a:tailEnd/>
                    </a:ln>
                  </pic:spPr>
                </pic:pic>
              </a:graphicData>
            </a:graphic>
          </wp:inline>
        </w:drawing>
      </w:r>
    </w:p>
    <w:p>
      <w:pPr>
        <w:pStyle w:val="ImageCaption"/>
      </w:pPr>
      <w:r>
        <w:t xml:space="preserve">Golden Portfolio vs. Institutional Benchmarks</w:t>
      </w:r>
    </w:p>
    <w:p>
      <w:pPr>
        <w:pStyle w:val="BodyText"/>
      </w:pPr>
      <w:r>
        <w:rPr>
          <w:iCs/>
          <w:i/>
        </w:rPr>
        <w:t xml:space="preserve">Figure 8.1: Risk–return scatter of the Golden Portfolio against institutional benchmarks (bubble size ∝ capital scale). The Golden Portfolio positions above the Renaissance Medallion historical range on the Sharpe = 4.0 isoquant line, while maintaining volatility below that of a passive SPY holding. Source: CIO Review compilation from platform trade data and published fund disclosures.</w:t>
      </w:r>
    </w:p>
    <w:p>
      <w:pPr>
        <w:pStyle w:val="BodyText"/>
      </w:pPr>
      <w:r>
        <w:t xml:space="preserve">The tail risk profile warrants specific attention. Under normal market conditions, the Golden Portfolio projects 15.3% annualized volatility and a 64.0% annual return[^12^]. Stress testing reveals vulnerability in systemic events: a 2008-style crisis projects a 74.8% volatility spike and an estimated 55% MDD — unacceptable for institutional capital[^12^]. This is precisely why the 15% bond allocation is non-negotiable. In the 2008 crisis, intermediate-term U.S. Treasuries were among the few positive-returning assets; their -0.30 correlation to equities provides the only structural hedge in the portfolio. A March 2020 COVID-crash scenario projects 49.6% volatility and a 31% MDD — stressful but survivable with the kill-switch ladder described in Section 8.4[^12^].</w:t>
      </w:r>
    </w:p>
    <w:bookmarkEnd w:id="340"/>
    <w:bookmarkStart w:id="341" w:name="asset-class-triage"/>
    <w:p>
      <w:pPr>
        <w:pStyle w:val="Heading3"/>
      </w:pPr>
      <w:r>
        <w:t xml:space="preserve">8.3 Asset Class Triage</w:t>
      </w:r>
    </w:p>
    <w:p>
      <w:pPr>
        <w:pStyle w:val="FirstParagraph"/>
      </w:pPr>
      <w:r>
        <w:t xml:space="preserve">The triage framework assigns every asset class to one of four action categories: ELIMINATE, SCALE, MONITOR, or DEVELOP. The categorization is based on three criteria: realized Sharpe ratio, statistical significance of edge (sample size), and trajectory (improving, stable, or degrading). The framework is dynamic — assets can be promoted or demoted as new data accumulates.</w:t>
      </w:r>
    </w:p>
    <w:p>
      <w:pPr>
        <w:pStyle w:val="BodyText"/>
      </w:pPr>
      <w:r>
        <w:rPr>
          <w:bCs/>
          <w:b/>
        </w:rPr>
        <w:t xml:space="preserve">Table 8.2: Asset Class Triage Matrix</w:t>
      </w:r>
    </w:p>
    <w:tbl>
      <w:tblPr>
        <w:tblStyle w:val="Table"/>
        <w:tblW w:type="pct" w:w="5000"/>
        <w:tblLook w:firstRow="1" w:lastRow="0" w:firstColumn="0" w:lastColumn="0" w:noHBand="0" w:noVBand="0" w:val="0020"/>
      </w:tblPr>
      <w:tblGrid>
        <w:gridCol w:w="990"/>
        <w:gridCol w:w="990"/>
        <w:gridCol w:w="1237"/>
        <w:gridCol w:w="1237"/>
        <w:gridCol w:w="1237"/>
        <w:gridCol w:w="990"/>
        <w:gridCol w:w="1237"/>
      </w:tblGrid>
      <w:tr>
        <w:trPr>
          <w:tblHeader w:val="true"/>
        </w:trPr>
        <w:tc>
          <w:tcPr/>
          <w:p>
            <w:pPr>
              <w:pStyle w:val="Compact"/>
              <w:jc w:val="left"/>
            </w:pPr>
            <w:r>
              <w:t xml:space="preserve">Action</w:t>
            </w:r>
          </w:p>
        </w:tc>
        <w:tc>
          <w:tcPr/>
          <w:p>
            <w:pPr>
              <w:pStyle w:val="Compact"/>
              <w:jc w:val="left"/>
            </w:pPr>
            <w:r>
              <w:t xml:space="preserve">Asset Class</w:t>
            </w:r>
          </w:p>
        </w:tc>
        <w:tc>
          <w:tcPr/>
          <w:p>
            <w:pPr>
              <w:pStyle w:val="Compact"/>
              <w:jc w:val="center"/>
            </w:pPr>
            <w:r>
              <w:t xml:space="preserve">Current Sharpe</w:t>
            </w:r>
          </w:p>
        </w:tc>
        <w:tc>
          <w:tcPr/>
          <w:p>
            <w:pPr>
              <w:pStyle w:val="Compact"/>
              <w:jc w:val="center"/>
            </w:pPr>
            <w:r>
              <w:t xml:space="preserve">Current PF</w:t>
            </w:r>
          </w:p>
        </w:tc>
        <w:tc>
          <w:tcPr/>
          <w:p>
            <w:pPr>
              <w:pStyle w:val="Compact"/>
              <w:jc w:val="center"/>
            </w:pPr>
            <w:r>
              <w:t xml:space="preserve">Sample (n)</w:t>
            </w:r>
          </w:p>
        </w:tc>
        <w:tc>
          <w:tcPr/>
          <w:p>
            <w:pPr>
              <w:pStyle w:val="Compact"/>
              <w:jc w:val="left"/>
            </w:pPr>
            <w:r>
              <w:t xml:space="preserve">Threshold / Trigger</w:t>
            </w:r>
          </w:p>
        </w:tc>
        <w:tc>
          <w:tcPr/>
          <w:p>
            <w:pPr>
              <w:pStyle w:val="Compact"/>
              <w:jc w:val="center"/>
            </w:pPr>
            <w:r>
              <w:t xml:space="preserve">Timeline</w:t>
            </w:r>
          </w:p>
        </w:tc>
      </w:tr>
      <w:tr>
        <w:tc>
          <w:tcPr/>
          <w:p>
            <w:pPr>
              <w:pStyle w:val="Compact"/>
              <w:jc w:val="left"/>
            </w:pPr>
            <w:r>
              <w:rPr>
                <w:bCs/>
                <w:b/>
              </w:rPr>
              <w:t xml:space="preserve">ELIMINATE</w:t>
            </w:r>
          </w:p>
        </w:tc>
        <w:tc>
          <w:tcPr/>
          <w:p>
            <w:pPr>
              <w:pStyle w:val="Compact"/>
              <w:jc w:val="left"/>
            </w:pPr>
            <w:r>
              <w:t xml:space="preserve">Crypto C-Tier</w:t>
            </w:r>
          </w:p>
        </w:tc>
        <w:tc>
          <w:tcPr/>
          <w:p>
            <w:pPr>
              <w:pStyle w:val="Compact"/>
              <w:jc w:val="center"/>
            </w:pPr>
            <w:r>
              <w:t xml:space="preserve">-0.794</w:t>
            </w:r>
          </w:p>
        </w:tc>
        <w:tc>
          <w:tcPr/>
          <w:p>
            <w:pPr>
              <w:pStyle w:val="Compact"/>
              <w:jc w:val="center"/>
            </w:pPr>
            <w:r>
              <w:t xml:space="preserve">0.36</w:t>
            </w:r>
          </w:p>
        </w:tc>
        <w:tc>
          <w:tcPr/>
          <w:p>
            <w:pPr>
              <w:pStyle w:val="Compact"/>
              <w:jc w:val="center"/>
            </w:pPr>
            <w:r>
              <w:t xml:space="preserve">50</w:t>
            </w:r>
          </w:p>
        </w:tc>
        <w:tc>
          <w:tcPr/>
          <w:p>
            <w:pPr>
              <w:pStyle w:val="Compact"/>
              <w:jc w:val="left"/>
            </w:pPr>
            <w:r>
              <w:t xml:space="preserve">PF &lt; 1.0 = guaranteed negative EV</w:t>
            </w:r>
          </w:p>
        </w:tc>
        <w:tc>
          <w:tcPr/>
          <w:p>
            <w:pPr>
              <w:pStyle w:val="Compact"/>
              <w:jc w:val="center"/>
            </w:pPr>
            <w:r>
              <w:t xml:space="preserve">Immediate[^12^]</w:t>
            </w:r>
          </w:p>
        </w:tc>
      </w:tr>
      <w:tr>
        <w:tc>
          <w:tcPr/>
          <w:p>
            <w:pPr>
              <w:pStyle w:val="Compact"/>
              <w:jc w:val="left"/>
            </w:pPr>
            <w:r>
              <w:rPr>
                <w:bCs/>
                <w:b/>
              </w:rPr>
              <w:t xml:space="preserve">ELIMINATE</w:t>
            </w:r>
          </w:p>
        </w:tc>
        <w:tc>
          <w:tcPr/>
          <w:p>
            <w:pPr>
              <w:pStyle w:val="Compact"/>
              <w:jc w:val="left"/>
            </w:pPr>
            <w:r>
              <w:t xml:space="preserve">Forex</w:t>
            </w:r>
          </w:p>
        </w:tc>
        <w:tc>
          <w:tcPr/>
          <w:p>
            <w:pPr>
              <w:pStyle w:val="Compact"/>
              <w:jc w:val="center"/>
            </w:pPr>
            <w:r>
              <w:t xml:space="preserve">-2.488</w:t>
            </w:r>
          </w:p>
        </w:tc>
        <w:tc>
          <w:tcPr/>
          <w:p>
            <w:pPr>
              <w:pStyle w:val="Compact"/>
              <w:jc w:val="center"/>
            </w:pPr>
            <w:r>
              <w:t xml:space="preserve">0.03</w:t>
            </w:r>
          </w:p>
        </w:tc>
        <w:tc>
          <w:tcPr/>
          <w:p>
            <w:pPr>
              <w:pStyle w:val="Compact"/>
              <w:jc w:val="center"/>
            </w:pPr>
            <w:r>
              <w:t xml:space="preserve">100</w:t>
            </w:r>
          </w:p>
        </w:tc>
        <w:tc>
          <w:tcPr/>
          <w:p>
            <w:pPr>
              <w:pStyle w:val="Compact"/>
              <w:jc w:val="left"/>
            </w:pPr>
            <w:r>
              <w:t xml:space="preserve">WR 2.5% = 97.5% loss rate</w:t>
            </w:r>
          </w:p>
        </w:tc>
        <w:tc>
          <w:tcPr/>
          <w:p>
            <w:pPr>
              <w:pStyle w:val="Compact"/>
              <w:jc w:val="center"/>
            </w:pPr>
            <w:r>
              <w:t xml:space="preserve">Immediate[^12^]</w:t>
            </w:r>
          </w:p>
        </w:tc>
      </w:tr>
      <w:tr>
        <w:tc>
          <w:tcPr/>
          <w:p>
            <w:pPr>
              <w:pStyle w:val="Compact"/>
              <w:jc w:val="left"/>
            </w:pPr>
            <w:r>
              <w:rPr>
                <w:bCs/>
                <w:b/>
              </w:rPr>
              <w:t xml:space="preserve">ELIMINATE</w:t>
            </w:r>
          </w:p>
        </w:tc>
        <w:tc>
          <w:tcPr/>
          <w:p>
            <w:pPr>
              <w:pStyle w:val="Compact"/>
              <w:jc w:val="left"/>
            </w:pPr>
            <w:r>
              <w:t xml:space="preserve">Commodities</w:t>
            </w:r>
          </w:p>
        </w:tc>
        <w:tc>
          <w:tcPr/>
          <w:p>
            <w:pPr>
              <w:pStyle w:val="Compact"/>
              <w:jc w:val="center"/>
            </w:pPr>
            <w:r>
              <w:t xml:space="preserve">-0.102</w:t>
            </w:r>
          </w:p>
        </w:tc>
        <w:tc>
          <w:tcPr/>
          <w:p>
            <w:pPr>
              <w:pStyle w:val="Compact"/>
              <w:jc w:val="center"/>
            </w:pPr>
            <w:r>
              <w:t xml:space="preserve">0.95</w:t>
            </w:r>
          </w:p>
        </w:tc>
        <w:tc>
          <w:tcPr/>
          <w:p>
            <w:pPr>
              <w:pStyle w:val="Compact"/>
              <w:jc w:val="center"/>
            </w:pPr>
            <w:r>
              <w:t xml:space="preserve">100</w:t>
            </w:r>
          </w:p>
        </w:tc>
        <w:tc>
          <w:tcPr/>
          <w:p>
            <w:pPr>
              <w:pStyle w:val="Compact"/>
              <w:jc w:val="left"/>
            </w:pPr>
            <w:r>
              <w:t xml:space="preserve">No demonstrable edge; WR below random</w:t>
            </w:r>
          </w:p>
        </w:tc>
        <w:tc>
          <w:tcPr/>
          <w:p>
            <w:pPr>
              <w:pStyle w:val="Compact"/>
              <w:jc w:val="center"/>
            </w:pPr>
            <w:r>
              <w:t xml:space="preserve">Immediate[^12^]</w:t>
            </w:r>
          </w:p>
        </w:tc>
      </w:tr>
      <w:tr>
        <w:tc>
          <w:tcPr/>
          <w:p>
            <w:pPr>
              <w:pStyle w:val="Compact"/>
              <w:jc w:val="left"/>
            </w:pPr>
            <w:r>
              <w:rPr>
                <w:bCs/>
                <w:b/>
              </w:rPr>
              <w:t xml:space="preserve">ELIMINATE</w:t>
            </w:r>
          </w:p>
        </w:tc>
        <w:tc>
          <w:tcPr/>
          <w:p>
            <w:pPr>
              <w:pStyle w:val="Compact"/>
              <w:jc w:val="left"/>
            </w:pPr>
            <w:r>
              <w:t xml:space="preserve">Futures</w:t>
            </w:r>
          </w:p>
        </w:tc>
        <w:tc>
          <w:tcPr/>
          <w:p>
            <w:pPr>
              <w:pStyle w:val="Compact"/>
              <w:jc w:val="center"/>
            </w:pPr>
            <w:r>
              <w:t xml:space="preserve">N/A</w:t>
            </w:r>
          </w:p>
        </w:tc>
        <w:tc>
          <w:tcPr/>
          <w:p>
            <w:pPr>
              <w:pStyle w:val="Compact"/>
              <w:jc w:val="center"/>
            </w:pPr>
            <w:r>
              <w:t xml:space="preserve">N/A</w:t>
            </w:r>
          </w:p>
        </w:tc>
        <w:tc>
          <w:tcPr/>
          <w:p>
            <w:pPr>
              <w:pStyle w:val="Compact"/>
              <w:jc w:val="center"/>
            </w:pPr>
            <w:r>
              <w:t xml:space="preserve">2</w:t>
            </w:r>
          </w:p>
        </w:tc>
        <w:tc>
          <w:tcPr/>
          <w:p>
            <w:pPr>
              <w:pStyle w:val="Compact"/>
              <w:jc w:val="left"/>
            </w:pPr>
            <w:r>
              <w:t xml:space="preserve">Inconclusive; pause until n &gt; 20</w:t>
            </w:r>
          </w:p>
        </w:tc>
        <w:tc>
          <w:tcPr/>
          <w:p>
            <w:pPr>
              <w:pStyle w:val="Compact"/>
              <w:jc w:val="center"/>
            </w:pPr>
            <w:r>
              <w:t xml:space="preserve">Immediate[^12^]</w:t>
            </w:r>
          </w:p>
        </w:tc>
      </w:tr>
      <w:tr>
        <w:tc>
          <w:tcPr/>
          <w:p>
            <w:pPr>
              <w:pStyle w:val="Compact"/>
              <w:jc w:val="left"/>
            </w:pPr>
            <w:r>
              <w:rPr>
                <w:bCs/>
                <w:b/>
              </w:rPr>
              <w:t xml:space="preserve">SCALE</w:t>
            </w:r>
          </w:p>
        </w:tc>
        <w:tc>
          <w:tcPr/>
          <w:p>
            <w:pPr>
              <w:pStyle w:val="Compact"/>
              <w:jc w:val="left"/>
            </w:pPr>
            <w:r>
              <w:t xml:space="preserve">Equities</w:t>
            </w:r>
          </w:p>
        </w:tc>
        <w:tc>
          <w:tcPr/>
          <w:p>
            <w:pPr>
              <w:pStyle w:val="Compact"/>
              <w:jc w:val="center"/>
            </w:pPr>
            <w:r>
              <w:t xml:space="preserve">5.395</w:t>
            </w:r>
          </w:p>
        </w:tc>
        <w:tc>
          <w:tcPr/>
          <w:p>
            <w:pPr>
              <w:pStyle w:val="Compact"/>
              <w:jc w:val="center"/>
            </w:pPr>
            <w:r>
              <w:t xml:space="preserve">2.90</w:t>
            </w:r>
          </w:p>
        </w:tc>
        <w:tc>
          <w:tcPr/>
          <w:p>
            <w:pPr>
              <w:pStyle w:val="Compact"/>
              <w:jc w:val="center"/>
            </w:pPr>
            <w:r>
              <w:t xml:space="preserve">100</w:t>
            </w:r>
          </w:p>
        </w:tc>
        <w:tc>
          <w:tcPr/>
          <w:p>
            <w:pPr>
              <w:pStyle w:val="Compact"/>
              <w:jc w:val="left"/>
            </w:pPr>
            <w:r>
              <w:t xml:space="preserve">Increase from ~20% to 35–45% of capital</w:t>
            </w:r>
          </w:p>
        </w:tc>
        <w:tc>
          <w:tcPr/>
          <w:p>
            <w:pPr>
              <w:pStyle w:val="Compact"/>
              <w:jc w:val="center"/>
            </w:pPr>
            <w:r>
              <w:t xml:space="preserve">Weeks 1–4[^12^]</w:t>
            </w:r>
          </w:p>
        </w:tc>
      </w:tr>
      <w:tr>
        <w:tc>
          <w:tcPr/>
          <w:p>
            <w:pPr>
              <w:pStyle w:val="Compact"/>
              <w:jc w:val="left"/>
            </w:pPr>
            <w:r>
              <w:rPr>
                <w:bCs/>
                <w:b/>
              </w:rPr>
              <w:t xml:space="preserve">SCALE</w:t>
            </w:r>
          </w:p>
        </w:tc>
        <w:tc>
          <w:tcPr/>
          <w:p>
            <w:pPr>
              <w:pStyle w:val="Compact"/>
              <w:jc w:val="left"/>
            </w:pPr>
            <w:r>
              <w:t xml:space="preserve">ETFs</w:t>
            </w:r>
          </w:p>
        </w:tc>
        <w:tc>
          <w:tcPr/>
          <w:p>
            <w:pPr>
              <w:pStyle w:val="Compact"/>
              <w:jc w:val="center"/>
            </w:pPr>
            <w:r>
              <w:t xml:space="preserve">2.623</w:t>
            </w:r>
          </w:p>
        </w:tc>
        <w:tc>
          <w:tcPr/>
          <w:p>
            <w:pPr>
              <w:pStyle w:val="Compact"/>
              <w:jc w:val="center"/>
            </w:pPr>
            <w:r>
              <w:t xml:space="preserve">2.67</w:t>
            </w:r>
          </w:p>
        </w:tc>
        <w:tc>
          <w:tcPr/>
          <w:p>
            <w:pPr>
              <w:pStyle w:val="Compact"/>
              <w:jc w:val="center"/>
            </w:pPr>
            <w:r>
              <w:t xml:space="preserve">50</w:t>
            </w:r>
          </w:p>
        </w:tc>
        <w:tc>
          <w:tcPr/>
          <w:p>
            <w:pPr>
              <w:pStyle w:val="Compact"/>
              <w:jc w:val="left"/>
            </w:pPr>
            <w:r>
              <w:t xml:space="preserve">Increase from ~10% to 20–25% of capital</w:t>
            </w:r>
          </w:p>
        </w:tc>
        <w:tc>
          <w:tcPr/>
          <w:p>
            <w:pPr>
              <w:pStyle w:val="Compact"/>
              <w:jc w:val="center"/>
            </w:pPr>
            <w:r>
              <w:t xml:space="preserve">Weeks 1–4[^12^]</w:t>
            </w:r>
          </w:p>
        </w:tc>
      </w:tr>
      <w:tr>
        <w:tc>
          <w:tcPr/>
          <w:p>
            <w:pPr>
              <w:pStyle w:val="Compact"/>
              <w:jc w:val="left"/>
            </w:pPr>
            <w:r>
              <w:rPr>
                <w:bCs/>
                <w:b/>
              </w:rPr>
              <w:t xml:space="preserve">MONITOR</w:t>
            </w:r>
          </w:p>
        </w:tc>
        <w:tc>
          <w:tcPr/>
          <w:p>
            <w:pPr>
              <w:pStyle w:val="Compact"/>
              <w:jc w:val="left"/>
            </w:pPr>
            <w:r>
              <w:t xml:space="preserve">Crypto A-Tier</w:t>
            </w:r>
          </w:p>
        </w:tc>
        <w:tc>
          <w:tcPr/>
          <w:p>
            <w:pPr>
              <w:pStyle w:val="Compact"/>
              <w:jc w:val="center"/>
            </w:pPr>
            <w:r>
              <w:t xml:space="preserve">0.466</w:t>
            </w:r>
          </w:p>
        </w:tc>
        <w:tc>
          <w:tcPr/>
          <w:p>
            <w:pPr>
              <w:pStyle w:val="Compact"/>
              <w:jc w:val="center"/>
            </w:pPr>
            <w:r>
              <w:t xml:space="preserve">1.58</w:t>
            </w:r>
          </w:p>
        </w:tc>
        <w:tc>
          <w:tcPr/>
          <w:p>
            <w:pPr>
              <w:pStyle w:val="Compact"/>
              <w:jc w:val="center"/>
            </w:pPr>
            <w:r>
              <w:t xml:space="preserve">50</w:t>
            </w:r>
          </w:p>
        </w:tc>
        <w:tc>
          <w:tcPr/>
          <w:p>
            <w:pPr>
              <w:pStyle w:val="Compact"/>
              <w:jc w:val="left"/>
            </w:pPr>
            <w:r>
              <w:t xml:space="preserve">Kill if PF &lt; 1.3 or WR &lt; 50%</w:t>
            </w:r>
          </w:p>
        </w:tc>
        <w:tc>
          <w:tcPr/>
          <w:p>
            <w:pPr>
              <w:pStyle w:val="Compact"/>
              <w:jc w:val="center"/>
            </w:pPr>
            <w:r>
              <w:t xml:space="preserve">Ongoing[^12^]</w:t>
            </w:r>
          </w:p>
        </w:tc>
      </w:tr>
      <w:tr>
        <w:tc>
          <w:tcPr/>
          <w:p>
            <w:pPr>
              <w:pStyle w:val="Compact"/>
              <w:jc w:val="left"/>
            </w:pPr>
            <w:r>
              <w:rPr>
                <w:bCs/>
                <w:b/>
              </w:rPr>
              <w:t xml:space="preserve">MONITOR</w:t>
            </w:r>
          </w:p>
        </w:tc>
        <w:tc>
          <w:tcPr/>
          <w:p>
            <w:pPr>
              <w:pStyle w:val="Compact"/>
              <w:jc w:val="left"/>
            </w:pPr>
            <w:r>
              <w:t xml:space="preserve">Crypto B-Tier</w:t>
            </w:r>
          </w:p>
        </w:tc>
        <w:tc>
          <w:tcPr/>
          <w:p>
            <w:pPr>
              <w:pStyle w:val="Compact"/>
              <w:jc w:val="center"/>
            </w:pPr>
            <w:r>
              <w:t xml:space="preserve">0.269</w:t>
            </w:r>
          </w:p>
        </w:tc>
        <w:tc>
          <w:tcPr/>
          <w:p>
            <w:pPr>
              <w:pStyle w:val="Compact"/>
              <w:jc w:val="center"/>
            </w:pPr>
            <w:r>
              <w:t xml:space="preserve">2.04</w:t>
            </w:r>
          </w:p>
        </w:tc>
        <w:tc>
          <w:tcPr/>
          <w:p>
            <w:pPr>
              <w:pStyle w:val="Compact"/>
              <w:jc w:val="center"/>
            </w:pPr>
            <w:r>
              <w:t xml:space="preserve">20</w:t>
            </w:r>
          </w:p>
        </w:tc>
        <w:tc>
          <w:tcPr/>
          <w:p>
            <w:pPr>
              <w:pStyle w:val="Compact"/>
              <w:jc w:val="left"/>
            </w:pPr>
            <w:r>
              <w:t xml:space="preserve">Kill if PF &lt; 2.0 or WR &lt; 55%</w:t>
            </w:r>
          </w:p>
        </w:tc>
        <w:tc>
          <w:tcPr/>
          <w:p>
            <w:pPr>
              <w:pStyle w:val="Compact"/>
              <w:jc w:val="center"/>
            </w:pPr>
            <w:r>
              <w:t xml:space="preserve">Ongoing[^12^]</w:t>
            </w:r>
          </w:p>
        </w:tc>
      </w:tr>
      <w:tr>
        <w:tc>
          <w:tcPr/>
          <w:p>
            <w:pPr>
              <w:pStyle w:val="Compact"/>
              <w:jc w:val="left"/>
            </w:pPr>
            <w:r>
              <w:rPr>
                <w:bCs/>
                <w:b/>
              </w:rPr>
              <w:t xml:space="preserve">MONITOR</w:t>
            </w:r>
          </w:p>
        </w:tc>
        <w:tc>
          <w:tcPr/>
          <w:p>
            <w:pPr>
              <w:pStyle w:val="Compact"/>
              <w:jc w:val="left"/>
            </w:pPr>
            <w:r>
              <w:t xml:space="preserve">Bonds</w:t>
            </w:r>
          </w:p>
        </w:tc>
        <w:tc>
          <w:tcPr/>
          <w:p>
            <w:pPr>
              <w:pStyle w:val="Compact"/>
              <w:jc w:val="center"/>
            </w:pPr>
            <w:r>
              <w:t xml:space="preserve">0.283</w:t>
            </w:r>
          </w:p>
        </w:tc>
        <w:tc>
          <w:tcPr/>
          <w:p>
            <w:pPr>
              <w:pStyle w:val="Compact"/>
              <w:jc w:val="center"/>
            </w:pPr>
            <w:r>
              <w:t xml:space="preserve">1.50</w:t>
            </w:r>
          </w:p>
        </w:tc>
        <w:tc>
          <w:tcPr/>
          <w:p>
            <w:pPr>
              <w:pStyle w:val="Compact"/>
              <w:jc w:val="center"/>
            </w:pPr>
            <w:r>
              <w:t xml:space="preserve">20</w:t>
            </w:r>
          </w:p>
        </w:tc>
        <w:tc>
          <w:tcPr/>
          <w:p>
            <w:pPr>
              <w:pStyle w:val="Compact"/>
              <w:jc w:val="left"/>
            </w:pPr>
            <w:r>
              <w:t xml:space="preserve">Scale up if PF &gt; 2.0 with n ≥ 50</w:t>
            </w:r>
          </w:p>
        </w:tc>
        <w:tc>
          <w:tcPr/>
          <w:p>
            <w:pPr>
              <w:pStyle w:val="Compact"/>
              <w:jc w:val="center"/>
            </w:pPr>
            <w:r>
              <w:t xml:space="preserve">Ongoing[^12^]</w:t>
            </w:r>
          </w:p>
        </w:tc>
      </w:tr>
      <w:tr>
        <w:tc>
          <w:tcPr/>
          <w:p>
            <w:pPr>
              <w:pStyle w:val="Compact"/>
              <w:jc w:val="left"/>
            </w:pPr>
            <w:r>
              <w:rPr>
                <w:bCs/>
                <w:b/>
              </w:rPr>
              <w:t xml:space="preserve">DEVELOP</w:t>
            </w:r>
          </w:p>
        </w:tc>
        <w:tc>
          <w:tcPr/>
          <w:p>
            <w:pPr>
              <w:pStyle w:val="Compact"/>
              <w:jc w:val="left"/>
            </w:pPr>
            <w:r>
              <w:t xml:space="preserve">Crypto Perps</w:t>
            </w:r>
          </w:p>
        </w:tc>
        <w:tc>
          <w:tcPr/>
          <w:p>
            <w:pPr>
              <w:pStyle w:val="Compact"/>
              <w:jc w:val="center"/>
            </w:pPr>
            <w:r>
              <w:t xml:space="preserve">2.5–3.5 (est.)</w:t>
            </w:r>
          </w:p>
        </w:tc>
        <w:tc>
          <w:tcPr/>
          <w:p>
            <w:pPr>
              <w:pStyle w:val="Compact"/>
              <w:jc w:val="center"/>
            </w:pPr>
            <w:r>
              <w:t xml:space="preserve">5.0–8.0 (est.)</w:t>
            </w:r>
          </w:p>
        </w:tc>
        <w:tc>
          <w:tcPr/>
          <w:p>
            <w:pPr>
              <w:pStyle w:val="Compact"/>
              <w:jc w:val="center"/>
            </w:pPr>
            <w:r>
              <w:t xml:space="preserve">Shadow</w:t>
            </w:r>
          </w:p>
        </w:tc>
        <w:tc>
          <w:tcPr/>
          <w:p>
            <w:pPr>
              <w:pStyle w:val="Compact"/>
              <w:jc w:val="left"/>
            </w:pPr>
            <w:r>
              <w:t xml:space="preserve">Deploy in shadow mode; validate 20+ trades</w:t>
            </w:r>
          </w:p>
        </w:tc>
        <w:tc>
          <w:tcPr/>
          <w:p>
            <w:pPr>
              <w:pStyle w:val="Compact"/>
              <w:jc w:val="center"/>
            </w:pPr>
            <w:r>
              <w:t xml:space="preserve">Weeks 6–10[^13^]</w:t>
            </w:r>
          </w:p>
        </w:tc>
      </w:tr>
      <w:tr>
        <w:tc>
          <w:tcPr/>
          <w:p>
            <w:pPr>
              <w:pStyle w:val="Compact"/>
              <w:jc w:val="left"/>
            </w:pPr>
            <w:r>
              <w:rPr>
                <w:bCs/>
                <w:b/>
              </w:rPr>
              <w:t xml:space="preserve">DEVELOP</w:t>
            </w:r>
          </w:p>
        </w:tc>
        <w:tc>
          <w:tcPr/>
          <w:p>
            <w:pPr>
              <w:pStyle w:val="Compact"/>
              <w:jc w:val="left"/>
            </w:pPr>
            <w:r>
              <w:t xml:space="preserve">CEFs</w:t>
            </w:r>
          </w:p>
        </w:tc>
        <w:tc>
          <w:tcPr/>
          <w:p>
            <w:pPr>
              <w:pStyle w:val="Compact"/>
              <w:jc w:val="center"/>
            </w:pPr>
            <w:r>
              <w:t xml:space="preserve">1.0–1.5 (est.)</w:t>
            </w:r>
          </w:p>
        </w:tc>
        <w:tc>
          <w:tcPr/>
          <w:p>
            <w:pPr>
              <w:pStyle w:val="Compact"/>
              <w:jc w:val="center"/>
            </w:pPr>
            <w:r>
              <w:t xml:space="preserve">1.5–2.0 (est.)</w:t>
            </w:r>
          </w:p>
        </w:tc>
        <w:tc>
          <w:tcPr/>
          <w:p>
            <w:pPr>
              <w:pStyle w:val="Compact"/>
              <w:jc w:val="center"/>
            </w:pPr>
            <w:r>
              <w:t xml:space="preserve">Shadow</w:t>
            </w:r>
          </w:p>
        </w:tc>
        <w:tc>
          <w:tcPr/>
          <w:p>
            <w:pPr>
              <w:pStyle w:val="Compact"/>
              <w:jc w:val="left"/>
            </w:pPr>
            <w:r>
              <w:t xml:space="preserve">NAV discount mean reversion; pilot $100K</w:t>
            </w:r>
          </w:p>
        </w:tc>
        <w:tc>
          <w:tcPr/>
          <w:p>
            <w:pPr>
              <w:pStyle w:val="Compact"/>
              <w:jc w:val="center"/>
            </w:pPr>
            <w:r>
              <w:t xml:space="preserve">Weeks 8–12[^14^]</w:t>
            </w:r>
          </w:p>
        </w:tc>
      </w:tr>
      <w:tr>
        <w:tc>
          <w:tcPr/>
          <w:p>
            <w:pPr>
              <w:pStyle w:val="Compact"/>
              <w:jc w:val="left"/>
            </w:pPr>
            <w:r>
              <w:rPr>
                <w:bCs/>
                <w:b/>
              </w:rPr>
              <w:t xml:space="preserve">DEVELOP</w:t>
            </w:r>
          </w:p>
        </w:tc>
        <w:tc>
          <w:tcPr/>
          <w:p>
            <w:pPr>
              <w:pStyle w:val="Compact"/>
              <w:jc w:val="left"/>
            </w:pPr>
            <w:r>
              <w:t xml:space="preserve">Meme Coins</w:t>
            </w:r>
          </w:p>
        </w:tc>
        <w:tc>
          <w:tcPr/>
          <w:p>
            <w:pPr>
              <w:pStyle w:val="Compact"/>
              <w:jc w:val="center"/>
            </w:pPr>
            <w:r>
              <w:t xml:space="preserve">0.7–1.0 (est.)</w:t>
            </w:r>
          </w:p>
        </w:tc>
        <w:tc>
          <w:tcPr/>
          <w:p>
            <w:pPr>
              <w:pStyle w:val="Compact"/>
              <w:jc w:val="center"/>
            </w:pPr>
            <w:r>
              <w:t xml:space="preserve">1.3–1.8 (est.)</w:t>
            </w:r>
          </w:p>
        </w:tc>
        <w:tc>
          <w:tcPr/>
          <w:p>
            <w:pPr>
              <w:pStyle w:val="Compact"/>
              <w:jc w:val="center"/>
            </w:pPr>
            <w:r>
              <w:t xml:space="preserve">Shadow</w:t>
            </w:r>
          </w:p>
        </w:tc>
        <w:tc>
          <w:tcPr/>
          <w:p>
            <w:pPr>
              <w:pStyle w:val="Compact"/>
              <w:jc w:val="left"/>
            </w:pPr>
            <w:r>
              <w:t xml:space="preserve">Sentiment + momentum composite; ≤2% cap</w:t>
            </w:r>
          </w:p>
        </w:tc>
        <w:tc>
          <w:tcPr/>
          <w:p>
            <w:pPr>
              <w:pStyle w:val="Compact"/>
              <w:jc w:val="center"/>
            </w:pPr>
            <w:r>
              <w:t xml:space="preserve">Weeks 10–12[^15^]</w:t>
            </w:r>
          </w:p>
        </w:tc>
      </w:tr>
    </w:tbl>
    <w:p>
      <w:pPr>
        <w:pStyle w:val="BodyText"/>
      </w:pPr>
      <w:r>
        <w:t xml:space="preserve">The ELIMINATE category is non-negotiable. Crypto C-Tier, Forex, and Commodities collectively destroyed -77.79% in PnL while occupying 49.5% of trading bandwidth[^12^]. Every dollar allocated to these asset classes has negative expected value. The Capital Commitment Framework in Section 8.4 makes their elimination a prerequisite for any capital deployment. Futures, with only two resolved trades, is inconclusive rather than proven-failed; it enters a data-accumulation phase with zero live capital.</w:t>
      </w:r>
    </w:p>
    <w:p>
      <w:pPr>
        <w:pStyle w:val="BodyText"/>
      </w:pPr>
      <w:r>
        <w:t xml:space="preserve">The SCALE category contains the portfolio’s twin engines. Equities, with a Sharpe of 5.395 on 100 trades, represent the single strongest signal identified across the entire research program. The equity sleeve should absorb 35–45% of portfolio capital, up from its current implied ~20% allocation. ETFs provide lower-volatility equity-market exposure with a 72% WR and PF of 2.67, serving as a stabilizer during equity drawdowns[^12^]. The equity–ETF correlation of 0.85 means these two assets will experience concurrent drawdowns; the bond allocation exists precisely to absorb this joint stress.</w:t>
      </w:r>
    </w:p>
    <w:p>
      <w:pPr>
        <w:pStyle w:val="BodyText"/>
      </w:pPr>
      <w:r>
        <w:t xml:space="preserve">The MONITOR category requires active surveillance. Crypto A-Tier exhibits a degrading trajectory: its PF has fallen from approximately 2.0 to 1.58 as the sample has grown, suggesting that early positive results may have been favorable draw luck[^12^]. If the PF crosses below 1.3 or the WR drops below 50%, A-Tier should be immediately reclassified to ELIMINATE and its 5% allocation redistributed to equities. Bonds are promising but underpowered: at n = 20 and PF = 1.50, they sit below the threshold for scaling. Once the sample reaches 50 trades and the PF exceeds 2.0, bond allocation can increase from 15% to 20–25%.</w:t>
      </w:r>
    </w:p>
    <w:p>
      <w:pPr>
        <w:pStyle w:val="BodyText"/>
      </w:pPr>
      <w:r>
        <w:t xml:space="preserve">The DEVELOP category draws directly from Chapter 7’s strategy pipeline. Crypto perpetual futures funding-rate arbitrage, with projected PF of 5.0–8.0 and near-zero market beta, is the highest-conviction new strategy[^13^]. Academic validation from He &amp; Manela (2024), forthcoming in the</w:t>
      </w:r>
      <w:r>
        <w:t xml:space="preserve"> </w:t>
      </w:r>
      <w:r>
        <w:rPr>
          <w:iCs/>
          <w:i/>
        </w:rPr>
        <w:t xml:space="preserve">Journal of Finance</w:t>
      </w:r>
      <w:r>
        <w:t xml:space="preserve">, provides the theoretical foundation for expected returns of 25–40% annually at 8–12% volatility[^13^]. Closed-end fund (CEF) NAV discount mean reversion offers a second orthogonal alpha source, with CUNY academic research documenting 17.3% annualized returns at Sharpe 1.862[^14^]. Meme coin sentiment-driven strategies, validated by 74% prediction accuracy in recent sentiment-analysis research, occupy a speculative but potentially high-convexity niche capped at 2% of portfolio capital[^15^]. All three DEVELOP strategies enter in shadow mode — generating signals without live capital — until 20+ resolved trades confirm projected metrics.</w:t>
      </w:r>
    </w:p>
    <w:bookmarkEnd w:id="341"/>
    <w:bookmarkStart w:id="342" w:name="capital-commitment-framework-1"/>
    <w:p>
      <w:pPr>
        <w:pStyle w:val="Heading3"/>
      </w:pPr>
      <w:r>
        <w:t xml:space="preserve">8.4 Capital Commitment Framework</w:t>
      </w:r>
    </w:p>
    <w:p>
      <w:pPr>
        <w:pStyle w:val="FirstParagraph"/>
      </w:pPr>
      <w:r>
        <w:t xml:space="preserve">Institutional capital deployment follows a four-phase gating structure. Each phase has explicit entry criteria, capital limits, and automatic halting conditions. The framework is designed to ensure that capital is never at risk until the preceding phase’s milestones are independently verified. Total portfolio reference size is $10 million, with the final phase scaling to $25 million and beyond contingent on full audit clearance.</w:t>
      </w:r>
    </w:p>
    <w:p>
      <w:pPr>
        <w:pStyle w:val="BodyText"/>
      </w:pPr>
      <w:r>
        <w:rPr>
          <w:bCs/>
          <w:b/>
        </w:rPr>
        <w:t xml:space="preserve">Table 8.3: Capital Commitment Framework with Milestones</w:t>
      </w:r>
    </w:p>
    <w:tbl>
      <w:tblPr>
        <w:tblStyle w:val="Table"/>
        <w:tblW w:type="pct" w:w="5000"/>
        <w:tblLook w:firstRow="1" w:lastRow="0" w:firstColumn="0" w:lastColumn="0" w:noHBand="0" w:noVBand="0" w:val="0020"/>
      </w:tblPr>
      <w:tblGrid>
        <w:gridCol w:w="1440"/>
        <w:gridCol w:w="1800"/>
        <w:gridCol w:w="1800"/>
        <w:gridCol w:w="1440"/>
        <w:gridCol w:w="1440"/>
      </w:tblGrid>
      <w:tr>
        <w:trPr>
          <w:tblHeader w:val="true"/>
        </w:trPr>
        <w:tc>
          <w:tcPr/>
          <w:p>
            <w:pPr>
              <w:pStyle w:val="Compact"/>
              <w:jc w:val="left"/>
            </w:pPr>
            <w:r>
              <w:t xml:space="preserve">Phase</w:t>
            </w:r>
          </w:p>
        </w:tc>
        <w:tc>
          <w:tcPr/>
          <w:p>
            <w:pPr>
              <w:pStyle w:val="Compact"/>
              <w:jc w:val="center"/>
            </w:pPr>
            <w:r>
              <w:t xml:space="preserve">Capital</w:t>
            </w:r>
          </w:p>
        </w:tc>
        <w:tc>
          <w:tcPr/>
          <w:p>
            <w:pPr>
              <w:pStyle w:val="Compact"/>
              <w:jc w:val="center"/>
            </w:pPr>
            <w:r>
              <w:t xml:space="preserve">Timeline</w:t>
            </w:r>
          </w:p>
        </w:tc>
        <w:tc>
          <w:tcPr/>
          <w:p>
            <w:pPr>
              <w:pStyle w:val="Compact"/>
              <w:jc w:val="left"/>
            </w:pPr>
            <w:r>
              <w:t xml:space="preserve">Entry Gate (ALL Required)</w:t>
            </w:r>
          </w:p>
        </w:tc>
        <w:tc>
          <w:tcPr/>
          <w:p>
            <w:pPr>
              <w:pStyle w:val="Compact"/>
              <w:jc w:val="left"/>
            </w:pPr>
            <w:r>
              <w:t xml:space="preserve">Automatic Halt Trigger</w:t>
            </w:r>
          </w:p>
        </w:tc>
      </w:tr>
      <w:tr>
        <w:tc>
          <w:tcPr/>
          <w:p>
            <w:pPr>
              <w:pStyle w:val="Compact"/>
              <w:jc w:val="left"/>
            </w:pPr>
            <w:r>
              <w:rPr>
                <w:bCs/>
                <w:b/>
              </w:rPr>
              <w:t xml:space="preserve">Phase 0: Due Diligence</w:t>
            </w:r>
          </w:p>
        </w:tc>
        <w:tc>
          <w:tcPr/>
          <w:p>
            <w:pPr>
              <w:pStyle w:val="Compact"/>
              <w:jc w:val="center"/>
            </w:pPr>
            <w:r>
              <w:t xml:space="preserve">$0</w:t>
            </w:r>
          </w:p>
        </w:tc>
        <w:tc>
          <w:tcPr/>
          <w:p>
            <w:pPr>
              <w:pStyle w:val="Compact"/>
              <w:jc w:val="center"/>
            </w:pPr>
            <w:r>
              <w:t xml:space="preserve">Weeks 1–4</w:t>
            </w:r>
          </w:p>
        </w:tc>
        <w:tc>
          <w:tcPr/>
          <w:p>
            <w:pPr>
              <w:pStyle w:val="Compact"/>
              <w:jc w:val="left"/>
            </w:pPr>
            <w:r>
              <w:t xml:space="preserve">Week 1–4 milestones verified; kill-switch ladder deployed; C-Tier, Forex, Commodities eliminated[^12^]</w:t>
            </w:r>
          </w:p>
        </w:tc>
        <w:tc>
          <w:tcPr/>
          <w:p>
            <w:pPr>
              <w:pStyle w:val="Compact"/>
              <w:jc w:val="left"/>
            </w:pPr>
            <w:r>
              <w:t xml:space="preserve">Any ELIMINATE asset still receiving capital; kill-switch not operational</w:t>
            </w:r>
          </w:p>
        </w:tc>
      </w:tr>
      <w:tr>
        <w:tc>
          <w:tcPr/>
          <w:p>
            <w:pPr>
              <w:pStyle w:val="Compact"/>
              <w:jc w:val="left"/>
            </w:pPr>
            <w:r>
              <w:rPr>
                <w:bCs/>
                <w:b/>
              </w:rPr>
              <w:t xml:space="preserve">Phase 1: Seed</w:t>
            </w:r>
          </w:p>
        </w:tc>
        <w:tc>
          <w:tcPr/>
          <w:p>
            <w:pPr>
              <w:pStyle w:val="Compact"/>
              <w:jc w:val="center"/>
            </w:pPr>
            <w:r>
              <w:t xml:space="preserve">$1M</w:t>
            </w:r>
          </w:p>
        </w:tc>
        <w:tc>
          <w:tcPr/>
          <w:p>
            <w:pPr>
              <w:pStyle w:val="Compact"/>
              <w:jc w:val="center"/>
            </w:pPr>
            <w:r>
              <w:t xml:space="preserve">Weeks 4–8</w:t>
            </w:r>
          </w:p>
        </w:tc>
        <w:tc>
          <w:tcPr/>
          <w:p>
            <w:pPr>
              <w:pStyle w:val="Compact"/>
              <w:jc w:val="left"/>
            </w:pPr>
            <w:r>
              <w:t xml:space="preserve">Vol targeting live at 15% ± 2%; HRP allocator deployed; PSR &gt; 0.95 for all T1 assets[^12^]</w:t>
            </w:r>
          </w:p>
        </w:tc>
        <w:tc>
          <w:tcPr/>
          <w:p>
            <w:pPr>
              <w:pStyle w:val="Compact"/>
              <w:jc w:val="left"/>
            </w:pPr>
            <w:r>
              <w:t xml:space="preserve">Volatility exceeds 20% for 3+ consecutive days; any T1 asset PSR &lt; 0.90</w:t>
            </w:r>
          </w:p>
        </w:tc>
      </w:tr>
      <w:tr>
        <w:tc>
          <w:tcPr/>
          <w:p>
            <w:pPr>
              <w:pStyle w:val="Compact"/>
              <w:jc w:val="left"/>
            </w:pPr>
            <w:r>
              <w:rPr>
                <w:bCs/>
                <w:b/>
              </w:rPr>
              <w:t xml:space="preserve">Phase 2: Scale</w:t>
            </w:r>
          </w:p>
        </w:tc>
        <w:tc>
          <w:tcPr/>
          <w:p>
            <w:pPr>
              <w:pStyle w:val="Compact"/>
              <w:jc w:val="center"/>
            </w:pPr>
            <w:r>
              <w:t xml:space="preserve">$5M</w:t>
            </w:r>
          </w:p>
        </w:tc>
        <w:tc>
          <w:tcPr/>
          <w:p>
            <w:pPr>
              <w:pStyle w:val="Compact"/>
              <w:jc w:val="center"/>
            </w:pPr>
            <w:r>
              <w:t xml:space="preserve">Weeks 8–10</w:t>
            </w:r>
          </w:p>
        </w:tc>
        <w:tc>
          <w:tcPr/>
          <w:p>
            <w:pPr>
              <w:pStyle w:val="Compact"/>
              <w:jc w:val="left"/>
            </w:pPr>
            <w:r>
              <w:t xml:space="preserve">Golden Portfolio PF &gt; 5.0 sustained for 2 consecutive weeks; WR &gt; 65%; MDD &lt; 15%[^12^]</w:t>
            </w:r>
          </w:p>
        </w:tc>
        <w:tc>
          <w:tcPr/>
          <w:p>
            <w:pPr>
              <w:pStyle w:val="Compact"/>
              <w:jc w:val="left"/>
            </w:pPr>
            <w:r>
              <w:t xml:space="preserve">Golden Portfolio PF &lt; 3.0 for 1 week; MDD exceeds 18%</w:t>
            </w:r>
          </w:p>
        </w:tc>
      </w:tr>
      <w:tr>
        <w:tc>
          <w:tcPr/>
          <w:p>
            <w:pPr>
              <w:pStyle w:val="Compact"/>
              <w:jc w:val="left"/>
            </w:pPr>
            <w:r>
              <w:rPr>
                <w:bCs/>
                <w:b/>
              </w:rPr>
              <w:t xml:space="preserve">Phase 3: Institutional</w:t>
            </w:r>
          </w:p>
        </w:tc>
        <w:tc>
          <w:tcPr/>
          <w:p>
            <w:pPr>
              <w:pStyle w:val="Compact"/>
              <w:jc w:val="center"/>
            </w:pPr>
            <w:r>
              <w:t xml:space="preserve">$25M+</w:t>
            </w:r>
          </w:p>
        </w:tc>
        <w:tc>
          <w:tcPr/>
          <w:p>
            <w:pPr>
              <w:pStyle w:val="Compact"/>
              <w:jc w:val="center"/>
            </w:pPr>
            <w:r>
              <w:t xml:space="preserve">Week 12+</w:t>
            </w:r>
          </w:p>
        </w:tc>
        <w:tc>
          <w:tcPr/>
          <w:p>
            <w:pPr>
              <w:pStyle w:val="Compact"/>
              <w:jc w:val="left"/>
            </w:pPr>
            <w:r>
              <w:t xml:space="preserve">Full Week 12 audit passed; all targets met; CVaR &lt; 5% at 95% confidence; Sortino &gt; 3.0[^12^]</w:t>
            </w:r>
          </w:p>
        </w:tc>
        <w:tc>
          <w:tcPr/>
          <w:p>
            <w:pPr>
              <w:pStyle w:val="Compact"/>
              <w:jc w:val="left"/>
            </w:pPr>
            <w:r>
              <w:t xml:space="preserve">Any BLACK-level kill-switch trigger (PF &lt; 1.0 or WR &lt; 40%); full liquidation[^12^]</w:t>
            </w:r>
          </w:p>
        </w:tc>
      </w:tr>
    </w:tbl>
    <w:p>
      <w:pPr>
        <w:pStyle w:val="BodyText"/>
      </w:pPr>
      <w:r>
        <w:t xml:space="preserve">Phase 0 is the only phase with zero capital at risk. Its purpose is to verify that the operational infrastructure necessary to protect capital is in place before a single dollar is deployed. The three ELIMINATE asset classes — Crypto C-Tier, Forex, and Commodities — must have zero new capital flowing to them. The kill-switch ladder, a five-tier automatic risk reduction system, must be operational with live monitoring[^12^]. The tiers are: GREEN (PF &gt; 2.0 and WR &gt; 55%, full allocation), YELLOW (PF 1.5–2.0 or WR 50–55%, reduce 25%), AMBER (PF 1.2–1.5 or WR 45–50%, reduce 50%), RED (PF &lt; 1.2 or WR &lt; 45%, reduce 75%), and BLACK (PF &lt; 1.0 or WR &lt; 40%, full liquidation)[^12^]. Phase 0 does not complete until this ladder is deployed and tested with simulated triggers.</w:t>
      </w:r>
    </w:p>
    <w:p>
      <w:pPr>
        <w:pStyle w:val="BodyText"/>
      </w:pPr>
      <w:r>
        <w:t xml:space="preserve">Phase 1 introduces the first $1 million in seed capital. Entry requires three simultaneous conditions: volatility targeting is live with the portfolio tracking within 15% ± 2% annualized volatility; the HRP allocator is deployed and producing tracking error below 3% versus the CIO blend target; and all T1 assets (Equities, ETFs, Crypto S-Tier) have Probabilistic Sharpe Ratios (PSR) above 0.95[^12^]. The PSR threshold is critical — without it, there is no statistical basis for distinguishing skill from luck. Automatic halt triggers activate if realized volatility spikes above 20% for three consecutive days or if any T1 asset’s PSR drops below 0.90, indicating that the observed Sharpe ratio may be a statistical artifact.</w:t>
      </w:r>
    </w:p>
    <w:p>
      <w:pPr>
        <w:pStyle w:val="BodyText"/>
      </w:pPr>
      <w:r>
        <w:t xml:space="preserve">Phase 2 scales capital to $5 million contingent on Golden Portfolio validation. The entry gate is demanding: the Golden Portfolio must sustain a PF above 5.0 for two consecutive weeks, with WR above 65% and MDD below 15%[^12^]. This is not a theoretical test — it requires live performance of the blended allocation under real market conditions. The two-week minimum prevents single-outlier weeks from driving premature scaling. Halt triggers at this phase are correspondingly tighter: a PF drop below 3.0 for even one week triggers an automatic return to Phase 1 capital levels, and an MDD breach of 18% forces a full re-evaluation of position sizing.</w:t>
      </w:r>
    </w:p>
    <w:p>
      <w:pPr>
        <w:pStyle w:val="BodyText"/>
      </w:pPr>
      <w:r>
        <w:t xml:space="preserve">Phase 3 is institutional allocation at $25 million and above. This is the only phase that requires full audit clearance at Week 12, including Conditional Value-at-Risk (CVaR) below 5% at 95% confidence and a Sortino ratio above 3.0[^12^]. The Sortino requirement, which penalizes downside volatility exclusively, ensures that the portfolio’s return distribution is not merely high-mean but positively skewed. At this scale, the BLACK kill-switch trigger — PF below 1.0 or WR below 40% — mandates full liquidation and a complete model review before any capital can be redeployed[^12^].</w:t>
      </w:r>
    </w:p>
    <w:p>
      <w:pPr>
        <w:pStyle w:val="BodyText"/>
      </w:pPr>
      <w:r>
        <w:t xml:space="preserve">The correlation matrix of the Golden Portfolio, reproduced here for risk reference, governs how capital is distributed across positions within each phase: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pPr>
          </w:p>
        </w:tc>
        <w:tc>
          <w:tcPr/>
          <w:p>
            <w:pPr>
              <w:pStyle w:val="Compact"/>
              <w:jc w:val="center"/>
            </w:pPr>
            <w:r>
              <w:t xml:space="preserve">S-Tier</w:t>
            </w:r>
          </w:p>
        </w:tc>
        <w:tc>
          <w:tcPr/>
          <w:p>
            <w:pPr>
              <w:pStyle w:val="Compact"/>
              <w:jc w:val="center"/>
            </w:pPr>
            <w:r>
              <w:t xml:space="preserve">B-Tier</w:t>
            </w:r>
          </w:p>
        </w:tc>
        <w:tc>
          <w:tcPr/>
          <w:p>
            <w:pPr>
              <w:pStyle w:val="Compact"/>
              <w:jc w:val="center"/>
            </w:pPr>
            <w:r>
              <w:t xml:space="preserve">A-Tier</w:t>
            </w:r>
          </w:p>
        </w:tc>
        <w:tc>
          <w:tcPr/>
          <w:p>
            <w:pPr>
              <w:pStyle w:val="Compact"/>
              <w:jc w:val="center"/>
            </w:pPr>
            <w:r>
              <w:t xml:space="preserve">Equity</w:t>
            </w:r>
          </w:p>
        </w:tc>
        <w:tc>
          <w:tcPr/>
          <w:p>
            <w:pPr>
              <w:pStyle w:val="Compact"/>
              <w:jc w:val="center"/>
            </w:pPr>
            <w:r>
              <w:t xml:space="preserve">ETF</w:t>
            </w:r>
          </w:p>
        </w:tc>
        <w:tc>
          <w:tcPr/>
          <w:p>
            <w:pPr>
              <w:pStyle w:val="Compact"/>
              <w:jc w:val="center"/>
            </w:pPr>
            <w:r>
              <w:t xml:space="preserve">Bonds</w:t>
            </w:r>
          </w:p>
        </w:tc>
      </w:tr>
      <w:tr>
        <w:tc>
          <w:tcPr/>
          <w:p>
            <w:pPr>
              <w:pStyle w:val="Compact"/>
              <w:jc w:val="left"/>
            </w:pPr>
            <w:r>
              <w:rPr>
                <w:bCs/>
                <w:b/>
              </w:rPr>
              <w:t xml:space="preserve">S-Tier</w:t>
            </w:r>
          </w:p>
        </w:tc>
        <w:tc>
          <w:tcPr/>
          <w:p>
            <w:pPr>
              <w:pStyle w:val="Compact"/>
              <w:jc w:val="center"/>
            </w:pPr>
            <w:r>
              <w:t xml:space="preserve">1.00</w:t>
            </w:r>
          </w:p>
        </w:tc>
        <w:tc>
          <w:tcPr/>
          <w:p>
            <w:pPr>
              <w:pStyle w:val="Compact"/>
              <w:jc w:val="center"/>
            </w:pPr>
            <w:r>
              <w:t xml:space="preserve">0.75</w:t>
            </w:r>
          </w:p>
        </w:tc>
        <w:tc>
          <w:tcPr/>
          <w:p>
            <w:pPr>
              <w:pStyle w:val="Compact"/>
              <w:jc w:val="center"/>
            </w:pPr>
            <w:r>
              <w:t xml:space="preserve">0.70</w:t>
            </w:r>
          </w:p>
        </w:tc>
        <w:tc>
          <w:tcPr/>
          <w:p>
            <w:pPr>
              <w:pStyle w:val="Compact"/>
              <w:jc w:val="center"/>
            </w:pPr>
            <w:r>
              <w:t xml:space="preserve">0.15</w:t>
            </w:r>
          </w:p>
        </w:tc>
        <w:tc>
          <w:tcPr/>
          <w:p>
            <w:pPr>
              <w:pStyle w:val="Compact"/>
              <w:jc w:val="center"/>
            </w:pPr>
            <w:r>
              <w:t xml:space="preserve">0.12</w:t>
            </w:r>
          </w:p>
        </w:tc>
        <w:tc>
          <w:tcPr/>
          <w:p>
            <w:pPr>
              <w:pStyle w:val="Compact"/>
              <w:jc w:val="center"/>
            </w:pPr>
            <w:r>
              <w:t xml:space="preserve">-0.05</w:t>
            </w:r>
          </w:p>
        </w:tc>
      </w:tr>
      <w:tr>
        <w:tc>
          <w:tcPr/>
          <w:p>
            <w:pPr>
              <w:pStyle w:val="Compact"/>
              <w:jc w:val="left"/>
            </w:pPr>
            <w:r>
              <w:rPr>
                <w:bCs/>
                <w:b/>
              </w:rPr>
              <w:t xml:space="preserve">B-Tier</w:t>
            </w:r>
          </w:p>
        </w:tc>
        <w:tc>
          <w:tcPr/>
          <w:p>
            <w:pPr>
              <w:pStyle w:val="Compact"/>
              <w:jc w:val="center"/>
            </w:pPr>
            <w:r>
              <w:t xml:space="preserve">0.75</w:t>
            </w:r>
          </w:p>
        </w:tc>
        <w:tc>
          <w:tcPr/>
          <w:p>
            <w:pPr>
              <w:pStyle w:val="Compact"/>
              <w:jc w:val="center"/>
            </w:pPr>
            <w:r>
              <w:t xml:space="preserve">1.00</w:t>
            </w:r>
          </w:p>
        </w:tc>
        <w:tc>
          <w:tcPr/>
          <w:p>
            <w:pPr>
              <w:pStyle w:val="Compact"/>
              <w:jc w:val="center"/>
            </w:pPr>
            <w:r>
              <w:t xml:space="preserve">0.80</w:t>
            </w:r>
          </w:p>
        </w:tc>
        <w:tc>
          <w:tcPr/>
          <w:p>
            <w:pPr>
              <w:pStyle w:val="Compact"/>
              <w:jc w:val="center"/>
            </w:pPr>
            <w:r>
              <w:t xml:space="preserve">0.18</w:t>
            </w:r>
          </w:p>
        </w:tc>
        <w:tc>
          <w:tcPr/>
          <w:p>
            <w:pPr>
              <w:pStyle w:val="Compact"/>
              <w:jc w:val="center"/>
            </w:pPr>
            <w:r>
              <w:t xml:space="preserve">0.15</w:t>
            </w:r>
          </w:p>
        </w:tc>
        <w:tc>
          <w:tcPr/>
          <w:p>
            <w:pPr>
              <w:pStyle w:val="Compact"/>
              <w:jc w:val="center"/>
            </w:pPr>
            <w:r>
              <w:t xml:space="preserve">-0.03</w:t>
            </w:r>
          </w:p>
        </w:tc>
      </w:tr>
      <w:tr>
        <w:tc>
          <w:tcPr/>
          <w:p>
            <w:pPr>
              <w:pStyle w:val="Compact"/>
              <w:jc w:val="left"/>
            </w:pPr>
            <w:r>
              <w:rPr>
                <w:bCs/>
                <w:b/>
              </w:rPr>
              <w:t xml:space="preserve">A-Tier</w:t>
            </w:r>
          </w:p>
        </w:tc>
        <w:tc>
          <w:tcPr/>
          <w:p>
            <w:pPr>
              <w:pStyle w:val="Compact"/>
              <w:jc w:val="center"/>
            </w:pPr>
            <w:r>
              <w:t xml:space="preserve">0.70</w:t>
            </w:r>
          </w:p>
        </w:tc>
        <w:tc>
          <w:tcPr/>
          <w:p>
            <w:pPr>
              <w:pStyle w:val="Compact"/>
              <w:jc w:val="center"/>
            </w:pPr>
            <w:r>
              <w:t xml:space="preserve">0.80</w:t>
            </w:r>
          </w:p>
        </w:tc>
        <w:tc>
          <w:tcPr/>
          <w:p>
            <w:pPr>
              <w:pStyle w:val="Compact"/>
              <w:jc w:val="center"/>
            </w:pPr>
            <w:r>
              <w:t xml:space="preserve">1.00</w:t>
            </w:r>
          </w:p>
        </w:tc>
        <w:tc>
          <w:tcPr/>
          <w:p>
            <w:pPr>
              <w:pStyle w:val="Compact"/>
              <w:jc w:val="center"/>
            </w:pPr>
            <w:r>
              <w:t xml:space="preserve">0.20</w:t>
            </w:r>
          </w:p>
        </w:tc>
        <w:tc>
          <w:tcPr/>
          <w:p>
            <w:pPr>
              <w:pStyle w:val="Compact"/>
              <w:jc w:val="center"/>
            </w:pPr>
            <w:r>
              <w:t xml:space="preserve">0.18</w:t>
            </w:r>
          </w:p>
        </w:tc>
        <w:tc>
          <w:tcPr/>
          <w:p>
            <w:pPr>
              <w:pStyle w:val="Compact"/>
              <w:jc w:val="center"/>
            </w:pPr>
            <w:r>
              <w:t xml:space="preserve">-0.02</w:t>
            </w:r>
          </w:p>
        </w:tc>
      </w:tr>
      <w:tr>
        <w:tc>
          <w:tcPr/>
          <w:p>
            <w:pPr>
              <w:pStyle w:val="Compact"/>
              <w:jc w:val="left"/>
            </w:pPr>
            <w:r>
              <w:rPr>
                <w:bCs/>
                <w:b/>
              </w:rPr>
              <w:t xml:space="preserve">Equity</w:t>
            </w:r>
          </w:p>
        </w:tc>
        <w:tc>
          <w:tcPr/>
          <w:p>
            <w:pPr>
              <w:pStyle w:val="Compact"/>
              <w:jc w:val="center"/>
            </w:pPr>
            <w:r>
              <w:t xml:space="preserve">0.15</w:t>
            </w:r>
          </w:p>
        </w:tc>
        <w:tc>
          <w:tcPr/>
          <w:p>
            <w:pPr>
              <w:pStyle w:val="Compact"/>
              <w:jc w:val="center"/>
            </w:pPr>
            <w:r>
              <w:t xml:space="preserve">0.18</w:t>
            </w:r>
          </w:p>
        </w:tc>
        <w:tc>
          <w:tcPr/>
          <w:p>
            <w:pPr>
              <w:pStyle w:val="Compact"/>
              <w:jc w:val="center"/>
            </w:pPr>
            <w:r>
              <w:t xml:space="preserve">0.20</w:t>
            </w:r>
          </w:p>
        </w:tc>
        <w:tc>
          <w:tcPr/>
          <w:p>
            <w:pPr>
              <w:pStyle w:val="Compact"/>
              <w:jc w:val="center"/>
            </w:pPr>
            <w:r>
              <w:t xml:space="preserve">1.00</w:t>
            </w:r>
          </w:p>
        </w:tc>
        <w:tc>
          <w:tcPr/>
          <w:p>
            <w:pPr>
              <w:pStyle w:val="Compact"/>
              <w:jc w:val="center"/>
            </w:pPr>
            <w:r>
              <w:t xml:space="preserve">0.85</w:t>
            </w:r>
          </w:p>
        </w:tc>
        <w:tc>
          <w:tcPr/>
          <w:p>
            <w:pPr>
              <w:pStyle w:val="Compact"/>
              <w:jc w:val="center"/>
            </w:pPr>
            <w:r>
              <w:t xml:space="preserve">-0.30</w:t>
            </w:r>
          </w:p>
        </w:tc>
      </w:tr>
      <w:tr>
        <w:tc>
          <w:tcPr/>
          <w:p>
            <w:pPr>
              <w:pStyle w:val="Compact"/>
              <w:jc w:val="left"/>
            </w:pPr>
            <w:r>
              <w:rPr>
                <w:bCs/>
                <w:b/>
              </w:rPr>
              <w:t xml:space="preserve">ETF</w:t>
            </w:r>
          </w:p>
        </w:tc>
        <w:tc>
          <w:tcPr/>
          <w:p>
            <w:pPr>
              <w:pStyle w:val="Compact"/>
              <w:jc w:val="center"/>
            </w:pPr>
            <w:r>
              <w:t xml:space="preserve">0.12</w:t>
            </w:r>
          </w:p>
        </w:tc>
        <w:tc>
          <w:tcPr/>
          <w:p>
            <w:pPr>
              <w:pStyle w:val="Compact"/>
              <w:jc w:val="center"/>
            </w:pPr>
            <w:r>
              <w:t xml:space="preserve">0.15</w:t>
            </w:r>
          </w:p>
        </w:tc>
        <w:tc>
          <w:tcPr/>
          <w:p>
            <w:pPr>
              <w:pStyle w:val="Compact"/>
              <w:jc w:val="center"/>
            </w:pPr>
            <w:r>
              <w:t xml:space="preserve">0.18</w:t>
            </w:r>
          </w:p>
        </w:tc>
        <w:tc>
          <w:tcPr/>
          <w:p>
            <w:pPr>
              <w:pStyle w:val="Compact"/>
              <w:jc w:val="center"/>
            </w:pPr>
            <w:r>
              <w:t xml:space="preserve">0.85</w:t>
            </w:r>
          </w:p>
        </w:tc>
        <w:tc>
          <w:tcPr/>
          <w:p>
            <w:pPr>
              <w:pStyle w:val="Compact"/>
              <w:jc w:val="center"/>
            </w:pPr>
            <w:r>
              <w:t xml:space="preserve">1.00</w:t>
            </w:r>
          </w:p>
        </w:tc>
        <w:tc>
          <w:tcPr/>
          <w:p>
            <w:pPr>
              <w:pStyle w:val="Compact"/>
              <w:jc w:val="center"/>
            </w:pPr>
            <w:r>
              <w:t xml:space="preserve">-0.25</w:t>
            </w:r>
          </w:p>
        </w:tc>
      </w:tr>
      <w:tr>
        <w:tc>
          <w:tcPr/>
          <w:p>
            <w:pPr>
              <w:pStyle w:val="Compact"/>
              <w:jc w:val="left"/>
            </w:pPr>
            <w:r>
              <w:rPr>
                <w:bCs/>
                <w:b/>
              </w:rPr>
              <w:t xml:space="preserve">Bonds</w:t>
            </w:r>
          </w:p>
        </w:tc>
        <w:tc>
          <w:tcPr/>
          <w:p>
            <w:pPr>
              <w:pStyle w:val="Compact"/>
              <w:jc w:val="center"/>
            </w:pPr>
            <w:r>
              <w:t xml:space="preserve">-0.05</w:t>
            </w:r>
          </w:p>
        </w:tc>
        <w:tc>
          <w:tcPr/>
          <w:p>
            <w:pPr>
              <w:pStyle w:val="Compact"/>
              <w:jc w:val="center"/>
            </w:pPr>
            <w:r>
              <w:t xml:space="preserve">-0.03</w:t>
            </w:r>
          </w:p>
        </w:tc>
        <w:tc>
          <w:tcPr/>
          <w:p>
            <w:pPr>
              <w:pStyle w:val="Compact"/>
              <w:jc w:val="center"/>
            </w:pPr>
            <w:r>
              <w:t xml:space="preserve">-0.02</w:t>
            </w:r>
          </w:p>
        </w:tc>
        <w:tc>
          <w:tcPr/>
          <w:p>
            <w:pPr>
              <w:pStyle w:val="Compact"/>
              <w:jc w:val="center"/>
            </w:pPr>
            <w:r>
              <w:t xml:space="preserve">-0.30</w:t>
            </w:r>
          </w:p>
        </w:tc>
        <w:tc>
          <w:tcPr/>
          <w:p>
            <w:pPr>
              <w:pStyle w:val="Compact"/>
              <w:jc w:val="center"/>
            </w:pPr>
            <w:r>
              <w:t xml:space="preserve">-0.25</w:t>
            </w:r>
          </w:p>
        </w:tc>
        <w:tc>
          <w:tcPr/>
          <w:p>
            <w:pPr>
              <w:pStyle w:val="Compact"/>
              <w:jc w:val="center"/>
            </w:pPr>
            <w:r>
              <w:t xml:space="preserve">1.00</w:t>
            </w:r>
          </w:p>
        </w:tc>
      </w:tr>
    </w:tbl>
    <w:p>
      <w:pPr>
        <w:pStyle w:val="BodyText"/>
      </w:pPr>
      <w:r>
        <w:t xml:space="preserve">The matrix confirms three risk concentrations that the Capital Commitment Framework must address. First, the crypto cluster (0.70–0.80 intra-correlation) behaves as a single risk factor; the 20% aggregate cap is therefore a hard constraint, not a guideline. Second, the equity–ETF correlation of 0.85 means that the combined 65% allocation to these two assets will experience joint drawdowns during equity market stress; the bond allocation is the designated shock absorber. Third, bonds are the only asset with negative correlation to the portfolio’s primary return drivers, making their 15% floor a structural requirement for institutional viability.</w:t>
      </w:r>
    </w:p>
    <w:p>
      <w:pPr>
        <w:pStyle w:val="BodyText"/>
      </w:pPr>
      <w:r>
        <w:t xml:space="preserve">Position sizing within each phase follows quarter-Kelly discipline. Full Kelly would recommend 44.9% for equities, 61.5% for ETFs, and 85.2% for Crypto S-Tier — allocations that ignore parameter uncertainty and fat-tail risk[^12^]. Quarter-Kelly halves these figures twice, producing portfolio-level caps of 40% for equities, 25% for ETFs, and 10% for S-Tier crypto. The S-Tier cap is further reduced from its quarter-Kelly implied 21.3% to 10% because the sample size of 14 trades introduces unacceptable estimation error in the true edge[^12^]. If the true S-Tier PF is half the observed 30.17, the portfolio Sharpe drops to approximately 3.5 — still elite, but no longer above Renaissance’s upper bound.</w:t>
      </w:r>
    </w:p>
    <w:p>
      <w:pPr>
        <w:pStyle w:val="BodyText"/>
      </w:pPr>
      <w:r>
        <w:t xml:space="preserve">The projected performance trajectory across phases is as follows. At Phase 1 ($1M), the Golden Portfolio is expected to generate annualized returns of 32–48% as it operates at half its target scale with some assets still ramping. At Phase 2 ($5M), full allocation across all six asset classes should produce the target 64% annual return at 15.3% volatility, assuming edge persistence[^12^]. At Phase 3 ($25M+), capacity effects may compress the equity Sharpe from 5.4 to an estimated 3.5–4.0 range — still above Renaissance’s lower bound — while the ETF and bond sleeves should remain capacity-unconstrained. The overall portfolio Sharpe at institutional scale is projected at 3.0–3.5, contingent on signal decay rates that can only be observed as capital scales.</w:t>
      </w:r>
    </w:p>
    <w:p>
      <w:pPr>
        <w:pStyle w:val="BodyText"/>
      </w:pPr>
      <w:r>
        <w:t xml:space="preserve">The single largest risk to this framework is not market risk but operational risk: the failure to execute the triage and restructuring program. Every week that capital continues flowing to Crypto C-Tier, Forex, and Commodities reduces the portfolio’s expected return by an estimated 78 basis points per trade[^12^]. Over 506 trades, that drag compounds to a -77.79% opportunity cost — the difference between the current all-asset portfolio’s estimated 35% annual return and the Golden Portfolio’s projected 64%[^12^]. The Capital Commitment Framework is designed to ensure that no institutional dollar is deployed until this operational risk is fully extinguished.</w:t>
      </w:r>
    </w:p>
    <w:p>
      <w:r>
        <w:pict>
          <v:rect style="width:0;height:1.5pt" o:hralign="center" o:hrstd="t" o:hr="t"/>
        </w:pict>
      </w:r>
    </w:p>
    <w:bookmarkEnd w:id="342"/>
    <w:bookmarkEnd w:id="343"/>
    <w:bookmarkStart w:id="384" w:name="implementation-roadmap"/>
    <w:p>
      <w:pPr>
        <w:pStyle w:val="Heading2"/>
      </w:pPr>
      <w:r>
        <w:t xml:space="preserve">9. Implementation Roadmap</w:t>
      </w:r>
    </w:p>
    <w:p>
      <w:pPr>
        <w:pStyle w:val="FirstParagraph"/>
      </w:pPr>
      <w:r>
        <w:t xml:space="preserve">The preceding eight chapters established the diagnostic and prescriptive foundation. Chapter 1 identified Crypto C-Tier as a -46.59% value destroyer requiring immediate suspension</w:t>
      </w:r>
      <w:r>
        <w:t xml:space="preserve"> </w:t>
      </w:r>
      <w:r>
        <w:rPr>
          <w:rStyle w:val="FootnoteReference"/>
        </w:rPr>
        <w:footnoteReference w:id="344"/>
      </w:r>
      <w:r>
        <w:t xml:space="preserve">. Chapter 3 traced the forex 0% WR to a measurement artifact and projected T3 confirmation by Week 4</w:t>
      </w:r>
      <w:r>
        <w:t xml:space="preserve"> </w:t>
      </w:r>
      <w:r>
        <w:rPr>
          <w:rStyle w:val="FootnoteReference"/>
        </w:rPr>
        <w:footnoteReference w:id="345"/>
      </w:r>
      <w:r>
        <w:t xml:space="preserve">. Chapter 4 determined that bond</w:t>
      </w:r>
      <w:r>
        <w:t xml:space="preserve"> </w:t>
      </w:r>
      <w:r>
        <w:rPr>
          <w:rStyle w:val="VerbatimChar"/>
        </w:rPr>
        <w:t xml:space="preserve">elite_score</w:t>
      </w:r>
      <w:r>
        <w:t xml:space="preserve"> </w:t>
      </w:r>
      <w:r>
        <w:t xml:space="preserve">floor reduction from 30 to 15 would unblock 3–5 picks monthly</w:t>
      </w:r>
      <w:r>
        <w:t xml:space="preserve"> </w:t>
      </w:r>
      <w:r>
        <w:rPr>
          <w:rStyle w:val="FootnoteReference"/>
        </w:rPr>
        <w:footnoteReference w:id="346"/>
      </w:r>
      <w:r>
        <w:t xml:space="preserve">. Chapter 5 quantified +969.50% in killed alpha from over-restrictive gates</w:t>
      </w:r>
      <w:r>
        <w:t xml:space="preserve"> </w:t>
      </w:r>
      <w:r>
        <w:rPr>
          <w:rStyle w:val="FootnoteReference"/>
        </w:rPr>
        <w:footnoteReference w:id="347"/>
      </w:r>
      <w:r>
        <w:t xml:space="preserve">. Chapter 6 catalogued 37 data integrity issues across</w:t>
      </w:r>
      <w:r>
        <w:t xml:space="preserve"> </w:t>
      </w:r>
      <w:r>
        <w:rPr>
          <w:rStyle w:val="VerbatimChar"/>
        </w:rPr>
        <w:t xml:space="preserve">outcome_resolver.py</w:t>
      </w:r>
      <w:r>
        <w:t xml:space="preserve">,</w:t>
      </w:r>
      <w:r>
        <w:t xml:space="preserve"> </w:t>
      </w:r>
      <w:r>
        <w:rPr>
          <w:rStyle w:val="VerbatimChar"/>
        </w:rPr>
        <w:t xml:space="preserve">hc_filter.js</w:t>
      </w:r>
      <w:r>
        <w:t xml:space="preserve">, and</w:t>
      </w:r>
      <w:r>
        <w:t xml:space="preserve"> </w:t>
      </w:r>
      <w:r>
        <w:rPr>
          <w:rStyle w:val="VerbatimChar"/>
        </w:rPr>
        <w:t xml:space="preserve">hedge_fund_quality_gate.py</w:t>
      </w:r>
      <w:r>
        <w:t xml:space="preserve"> </w:t>
      </w:r>
      <w:r>
        <w:rPr>
          <w:rStyle w:val="FootnoteReference"/>
        </w:rPr>
        <w:footnoteReference w:id="348"/>
      </w:r>
      <w:r>
        <w:t xml:space="preserve">. Chapter 7 validated seven new strategies</w:t>
      </w:r>
      <w:r>
        <w:t xml:space="preserve"> </w:t>
      </w:r>
      <w:r>
        <w:rPr>
          <w:rStyle w:val="FootnoteReference"/>
        </w:rPr>
        <w:footnoteReference w:id="349"/>
      </w:r>
      <w:r>
        <w:t xml:space="preserve">. Chapter 8 specified a four-phase capital commitment framework scaling from $0 to $25M+</w:t>
      </w:r>
      <w:r>
        <w:t xml:space="preserve"> </w:t>
      </w:r>
      <w:r>
        <w:rPr>
          <w:rStyle w:val="FootnoteReference"/>
        </w:rPr>
        <w:footnoteReference w:id="350"/>
      </w:r>
      <w:r>
        <w:t xml:space="preserve">. This chapter converts those findings into a sequenced, owner-assigned implementation program.</w:t>
      </w:r>
    </w:p>
    <w:p>
      <w:pPr>
        <w:pStyle w:val="BodyText"/>
      </w:pPr>
      <w:r>
        <w:t xml:space="preserve">The roadmap comprises four phases: Phase 0 (Emergency Triage, Weeks 1–2) arrests active value destruction; Phase 1 (Infrastructure, Weeks 3–4) deploys the statistical backbone; Phase 2 (Golden Portfolio Launch, Weeks 5–8) activates the optimal multi-asset allocation; and Phase 3 (Institutional Readiness, Weeks 9–12) validates statistical rigor for scaled capital commitment.</w:t>
      </w:r>
    </w:p>
    <w:p>
      <w:pPr>
        <w:pStyle w:val="CaptionedFigure"/>
      </w:pPr>
      <w:r>
        <w:drawing>
          <wp:inline>
            <wp:extent cx="5334000" cy="3340519"/>
            <wp:effectExtent b="0" l="0" r="0" t="0"/>
            <wp:docPr descr="12-Week Implementation Roadmap — Gantt Timeline" title="" id="352" name="Picture"/>
            <a:graphic>
              <a:graphicData uri="http://schemas.openxmlformats.org/drawingml/2006/picture">
                <pic:pic>
                  <pic:nvPicPr>
                    <pic:cNvPr descr="implementation_roadmap_gantt.png" id="353" name="Picture"/>
                    <pic:cNvPicPr>
                      <a:picLocks noChangeArrowheads="1" noChangeAspect="1"/>
                    </pic:cNvPicPr>
                  </pic:nvPicPr>
                  <pic:blipFill>
                    <a:blip r:embed="rId351"/>
                    <a:stretch>
                      <a:fillRect/>
                    </a:stretch>
                  </pic:blipFill>
                  <pic:spPr bwMode="auto">
                    <a:xfrm>
                      <a:off x="0" y="0"/>
                      <a:ext cx="5334000" cy="3340519"/>
                    </a:xfrm>
                    <a:prstGeom prst="rect">
                      <a:avLst/>
                    </a:prstGeom>
                    <a:noFill/>
                    <a:ln w="9525">
                      <a:noFill/>
                      <a:headEnd/>
                      <a:tailEnd/>
                    </a:ln>
                  </pic:spPr>
                </pic:pic>
              </a:graphicData>
            </a:graphic>
          </wp:inline>
        </w:drawing>
      </w:r>
    </w:p>
    <w:p>
      <w:pPr>
        <w:pStyle w:val="ImageCaption"/>
      </w:pPr>
      <w:r>
        <w:t xml:space="preserve">12-Week Implementation Roadmap — Gantt Timeline</w:t>
      </w:r>
    </w:p>
    <w:p>
      <w:pPr>
        <w:pStyle w:val="BodyText"/>
      </w:pPr>
      <w:r>
        <w:rPr>
          <w:iCs/>
          <w:i/>
        </w:rPr>
        <w:t xml:space="preserve">Figure 9.1: Gantt timeline of the 12-week implementation program. Phase 0 executes emergency gate changes; Phase 1 deploys statistical infrastructure; Phase 2 launches the Golden Portfolio; Phase 3 validates institutional-grade rigor.</w:t>
      </w:r>
    </w:p>
    <w:bookmarkStart w:id="364" w:name="phase-0-emergency-triage-weeks-12"/>
    <w:p>
      <w:pPr>
        <w:pStyle w:val="Heading3"/>
      </w:pPr>
      <w:r>
        <w:t xml:space="preserve">9.1 Phase 0: Emergency Triage (Weeks 1–2)</w:t>
      </w:r>
    </w:p>
    <w:p>
      <w:pPr>
        <w:pStyle w:val="FirstParagraph"/>
      </w:pPr>
      <w:r>
        <w:t xml:space="preserve">Phase 0 has one objective: stop the bleeding. Four asset classes — Crypto C-Tier, Forex, Commodities, and Futures — are classified as FAIL tier, destroying -77.79% in PnL while occupying 49.5% of trading bandwidth</w:t>
      </w:r>
      <w:r>
        <w:t xml:space="preserve"> </w:t>
      </w:r>
      <w:r>
        <w:rPr>
          <w:rStyle w:val="FootnoteReference"/>
        </w:rPr>
        <w:footnoteReference w:id="354"/>
      </w:r>
      <w:r>
        <w:t xml:space="preserve">. Every day these classes receive capital inflicts an estimated 78 basis points per trade in foregone returns.</w:t>
      </w:r>
    </w:p>
    <w:p>
      <w:pPr>
        <w:pStyle w:val="BodyText"/>
      </w:pPr>
      <w:r>
        <w:rPr>
          <w:bCs/>
          <w:b/>
        </w:rPr>
        <w:t xml:space="preserve">Day 1–3: Suspend Crypto C-Tier, abolish WINNER_FILTER, replace</w:t>
      </w:r>
      <w:r>
        <w:rPr>
          <w:bCs/>
          <w:b/>
        </w:rPr>
        <w:t xml:space="preserve"> </w:t>
      </w:r>
      <w:r>
        <w:rPr>
          <w:rStyle w:val="VerbatimChar"/>
          <w:bCs/>
          <w:b/>
        </w:rPr>
        <w:t xml:space="preserve">elite_score</w:t>
      </w:r>
      <w:r>
        <w:rPr>
          <w:bCs/>
          <w:b/>
        </w:rPr>
        <w:t xml:space="preserve"> </w:t>
      </w:r>
      <w:r>
        <w:rPr>
          <w:bCs/>
          <w:b/>
        </w:rPr>
        <w:t xml:space="preserve">with</w:t>
      </w:r>
      <w:r>
        <w:rPr>
          <w:bCs/>
          <w:b/>
        </w:rPr>
        <w:t xml:space="preserve"> </w:t>
      </w:r>
      <w:r>
        <w:rPr>
          <w:rStyle w:val="VerbatimChar"/>
          <w:bCs/>
          <w:b/>
        </w:rPr>
        <w:t xml:space="preserve">ml_score</w:t>
      </w:r>
      <w:r>
        <w:rPr>
          <w:bCs/>
          <w:b/>
        </w:rPr>
        <w:t xml:space="preserve"> </w:t>
      </w:r>
      <w:r>
        <w:rPr>
          <w:bCs/>
          <w:b/>
        </w:rPr>
        <w:t xml:space="preserve">≥ 0.82.</w:t>
      </w:r>
    </w:p>
    <w:p>
      <w:pPr>
        <w:pStyle w:val="BodyText"/>
      </w:pPr>
      <w:r>
        <w:t xml:space="preserve">C-Tier suspension requires setting</w:t>
      </w:r>
      <w:r>
        <w:t xml:space="preserve"> </w:t>
      </w:r>
      <w:r>
        <w:rPr>
          <w:rStyle w:val="VerbatimChar"/>
        </w:rPr>
        <w:t xml:space="preserve">cryptoCTierEnabled</w:t>
      </w:r>
      <w:r>
        <w:t xml:space="preserve"> </w:t>
      </w:r>
      <w:r>
        <w:t xml:space="preserve">to</w:t>
      </w:r>
      <w:r>
        <w:t xml:space="preserve"> </w:t>
      </w:r>
      <w:r>
        <w:rPr>
          <w:rStyle w:val="VerbatimChar"/>
        </w:rPr>
        <w:t xml:space="preserve">false</w:t>
      </w:r>
      <w:r>
        <w:t xml:space="preserve"> </w:t>
      </w:r>
      <w:r>
        <w:t xml:space="preserve">in</w:t>
      </w:r>
      <w:r>
        <w:t xml:space="preserve"> </w:t>
      </w:r>
      <w:r>
        <w:rPr>
          <w:rStyle w:val="VerbatimChar"/>
        </w:rPr>
        <w:t xml:space="preserve">hf_quality_gates.json</w:t>
      </w:r>
      <w:r>
        <w:t xml:space="preserve"> </w:t>
      </w:r>
      <w:r>
        <w:t xml:space="preserve">and adding a hard block in</w:t>
      </w:r>
      <w:r>
        <w:t xml:space="preserve"> </w:t>
      </w:r>
      <w:r>
        <w:rPr>
          <w:rStyle w:val="VerbatimChar"/>
        </w:rPr>
        <w:t xml:space="preserve">hedge_fund_quality_gate.py</w:t>
      </w:r>
      <w:r>
        <w:t xml:space="preserve"> </w:t>
      </w:r>
      <w:r>
        <w:t xml:space="preserve">at line 21 rejecting any pick with</w:t>
      </w:r>
      <w:r>
        <w:t xml:space="preserve"> </w:t>
      </w:r>
      <w:r>
        <w:rPr>
          <w:rStyle w:val="VerbatimChar"/>
        </w:rPr>
        <w:t xml:space="preserve">tier == 'C'</w:t>
      </w:r>
      <w:r>
        <w:t xml:space="preserve">. C-Tier’s 41.2% WR and PF 0.84 across 318 trades represent guaranteed negative expected value</w:t>
      </w:r>
      <w:r>
        <w:t xml:space="preserve"> </w:t>
      </w:r>
      <w:r>
        <w:rPr>
          <w:rStyle w:val="FootnoteReference"/>
        </w:rPr>
        <w:footnoteReference w:id="355"/>
      </w:r>
      <w:r>
        <w:t xml:space="preserve">. WINNER_FILTER abolition removes the gate function from</w:t>
      </w:r>
      <w:r>
        <w:t xml:space="preserve"> </w:t>
      </w:r>
      <w:r>
        <w:rPr>
          <w:rStyle w:val="VerbatimChar"/>
        </w:rPr>
        <w:t xml:space="preserve">hc_filter.js</w:t>
      </w:r>
      <w:r>
        <w:t xml:space="preserve"> </w:t>
      </w:r>
      <w:r>
        <w:t xml:space="preserve">(lines 298–420) that blocks confidence &gt; 0.85 picks — a filter delivering 100% kill rate with zero correct blocks</w:t>
      </w:r>
      <w:r>
        <w:t xml:space="preserve"> </w:t>
      </w:r>
      <w:r>
        <w:rPr>
          <w:rStyle w:val="FootnoteReference"/>
        </w:rPr>
        <w:footnoteReference w:id="356"/>
      </w:r>
      <w:r>
        <w:t xml:space="preserve">. The</w:t>
      </w:r>
      <w:r>
        <w:t xml:space="preserve"> </w:t>
      </w:r>
      <w:r>
        <w:rPr>
          <w:rStyle w:val="VerbatimChar"/>
        </w:rPr>
        <w:t xml:space="preserve">elite_score</w:t>
      </w:r>
      <w:r>
        <w:t xml:space="preserve"> </w:t>
      </w:r>
      <w:r>
        <w:t xml:space="preserve">→</w:t>
      </w:r>
      <w:r>
        <w:t xml:space="preserve"> </w:t>
      </w:r>
      <w:r>
        <w:rPr>
          <w:rStyle w:val="VerbatimChar"/>
        </w:rPr>
        <w:t xml:space="preserve">ml_score</w:t>
      </w:r>
      <w:r>
        <w:t xml:space="preserve"> </w:t>
      </w:r>
      <w:r>
        <w:t xml:space="preserve">replacement changes QUALITY_GATE from</w:t>
      </w:r>
      <w:r>
        <w:t xml:space="preserve"> </w:t>
      </w:r>
      <w:r>
        <w:rPr>
          <w:rStyle w:val="VerbatimChar"/>
        </w:rPr>
        <w:t xml:space="preserve">elite_score &lt; 30</w:t>
      </w:r>
      <w:r>
        <w:t xml:space="preserve"> </w:t>
      </w:r>
      <w:r>
        <w:t xml:space="preserve">(44.1% accuracy, -0.17 correlation with profitability) to</w:t>
      </w:r>
      <w:r>
        <w:t xml:space="preserve"> </w:t>
      </w:r>
      <w:r>
        <w:rPr>
          <w:rStyle w:val="VerbatimChar"/>
        </w:rPr>
        <w:t xml:space="preserve">ml_score &gt;= 0.82 &amp;&amp; confidence &gt;= 0.70</w:t>
      </w:r>
      <w:r>
        <w:t xml:space="preserve"> </w:t>
      </w:r>
      <w:r>
        <w:rPr>
          <w:rStyle w:val="FootnoteReference"/>
        </w:rPr>
        <w:footnoteReference w:id="357"/>
      </w:r>
      <w:r>
        <w:t xml:space="preserve">. The 0.82 threshold was selected because shadow-blocked analysis shows picks at this level achieving 58.8% WR</w:t>
      </w:r>
      <w:r>
        <w:t xml:space="preserve"> </w:t>
      </w:r>
      <w:r>
        <w:rPr>
          <w:rStyle w:val="FootnoteReference"/>
        </w:rPr>
        <w:footnoteReference w:id="358"/>
      </w:r>
      <w:r>
        <w:t xml:space="preserve">.</w:t>
      </w:r>
    </w:p>
    <w:p>
      <w:pPr>
        <w:pStyle w:val="BodyText"/>
      </w:pPr>
      <w:r>
        <w:rPr>
          <w:bCs/>
          <w:b/>
        </w:rPr>
        <w:t xml:space="preserve">Done criterion:</w:t>
      </w:r>
      <w:r>
        <w:t xml:space="preserve"> </w:t>
      </w:r>
      <w:r>
        <w:t xml:space="preserve">C-Tier produces zero new picks; WINNER_FILTER removed;</w:t>
      </w:r>
      <w:r>
        <w:t xml:space="preserve"> </w:t>
      </w:r>
      <w:r>
        <w:rPr>
          <w:rStyle w:val="VerbatimChar"/>
        </w:rPr>
        <w:t xml:space="preserve">ml_score &gt;= 0.82</w:t>
      </w:r>
      <w:r>
        <w:t xml:space="preserve"> </w:t>
      </w:r>
      <w:r>
        <w:t xml:space="preserve">active; 48-hour shadow log clean.</w:t>
      </w:r>
    </w:p>
    <w:p>
      <w:pPr>
        <w:pStyle w:val="BodyText"/>
      </w:pPr>
      <w:r>
        <w:rPr>
          <w:bCs/>
          <w:b/>
        </w:rPr>
        <w:t xml:space="preserve">Day 4–7: Lower R:R gate from 1.5 to 1.25, unblock confidence 0.85–0.90 sweet spot.</w:t>
      </w:r>
    </w:p>
    <w:p>
      <w:pPr>
        <w:pStyle w:val="BodyText"/>
      </w:pPr>
      <w:r>
        <w:t xml:space="preserve">The RR_GATE at 1.5 blocks 63 picks with 50.0% kill rate — equivalent to a coin flip</w:t>
      </w:r>
      <w:r>
        <w:t xml:space="preserve"> </w:t>
      </w:r>
      <w:r>
        <w:rPr>
          <w:rStyle w:val="FootnoteReference"/>
        </w:rPr>
        <w:footnoteReference w:id="359"/>
      </w:r>
      <w:r>
        <w:t xml:space="preserve">. The R:R 1.25–1.5 band contains picks with 51.2% WR and positive aggregate PnL</w:t>
      </w:r>
      <w:r>
        <w:t xml:space="preserve"> </w:t>
      </w:r>
      <w:r>
        <w:rPr>
          <w:rStyle w:val="FootnoteReference"/>
        </w:rPr>
        <w:footnoteReference w:id="360"/>
      </w:r>
      <w:r>
        <w:t xml:space="preserve">. Lowering the floor to 1.25 requires changing</w:t>
      </w:r>
      <w:r>
        <w:t xml:space="preserve"> </w:t>
      </w:r>
      <w:r>
        <w:rPr>
          <w:rStyle w:val="VerbatimChar"/>
        </w:rPr>
        <w:t xml:space="preserve">riskRewardFloor</w:t>
      </w:r>
      <w:r>
        <w:t xml:space="preserve"> </w:t>
      </w:r>
      <w:r>
        <w:t xml:space="preserve">from</w:t>
      </w:r>
      <w:r>
        <w:t xml:space="preserve"> </w:t>
      </w:r>
      <w:r>
        <w:rPr>
          <w:rStyle w:val="VerbatimChar"/>
        </w:rPr>
        <w:t xml:space="preserve">1.50</w:t>
      </w:r>
      <w:r>
        <w:t xml:space="preserve"> </w:t>
      </w:r>
      <w:r>
        <w:t xml:space="preserve">to</w:t>
      </w:r>
      <w:r>
        <w:t xml:space="preserve"> </w:t>
      </w:r>
      <w:r>
        <w:rPr>
          <w:rStyle w:val="VerbatimChar"/>
        </w:rPr>
        <w:t xml:space="preserve">1.25</w:t>
      </w:r>
      <w:r>
        <w:t xml:space="preserve"> </w:t>
      </w:r>
      <w:r>
        <w:t xml:space="preserve">in</w:t>
      </w:r>
      <w:r>
        <w:t xml:space="preserve"> </w:t>
      </w:r>
      <w:r>
        <w:rPr>
          <w:rStyle w:val="VerbatimChar"/>
        </w:rPr>
        <w:t xml:space="preserve">hf_quality_gates.json</w:t>
      </w:r>
      <w:r>
        <w:t xml:space="preserve">. The confidence 0.85–0.90 band shows 82% WR and PF 11.8 in live data</w:t>
      </w:r>
      <w:r>
        <w:t xml:space="preserve"> </w:t>
      </w:r>
      <w:r>
        <w:rPr>
          <w:rStyle w:val="FootnoteReference"/>
        </w:rPr>
        <w:footnoteReference w:id="361"/>
      </w:r>
      <w:r>
        <w:t xml:space="preserve">; with WINNER_FILTER abolished, these picks flow through automatically. Combined effect: projected +15–20% annual alpha recovery.</w:t>
      </w:r>
    </w:p>
    <w:p>
      <w:pPr>
        <w:pStyle w:val="BodyText"/>
      </w:pPr>
      <w:r>
        <w:rPr>
          <w:bCs/>
          <w:b/>
        </w:rPr>
        <w:t xml:space="preserve">Done criterion:</w:t>
      </w:r>
      <w:r>
        <w:t xml:space="preserve"> </w:t>
      </w:r>
      <w:r>
        <w:t xml:space="preserve">R:R floor at 1.25 confirmed; confidence 0.85–0.90 picks passing gates; no quality degradation in shadow log.</w:t>
      </w:r>
    </w:p>
    <w:p>
      <w:pPr>
        <w:pStyle w:val="BodyText"/>
      </w:pPr>
      <w:r>
        <w:rPr>
          <w:bCs/>
          <w:b/>
        </w:rPr>
        <w:t xml:space="preserve">Day 8–14: Forex recovery verification, bond</w:t>
      </w:r>
      <w:r>
        <w:rPr>
          <w:bCs/>
          <w:b/>
        </w:rPr>
        <w:t xml:space="preserve"> </w:t>
      </w:r>
      <w:r>
        <w:rPr>
          <w:rStyle w:val="VerbatimChar"/>
          <w:bCs/>
          <w:b/>
        </w:rPr>
        <w:t xml:space="preserve">elite_score</w:t>
      </w:r>
      <w:r>
        <w:rPr>
          <w:bCs/>
          <w:b/>
        </w:rPr>
        <w:t xml:space="preserve"> </w:t>
      </w:r>
      <w:r>
        <w:rPr>
          <w:bCs/>
          <w:b/>
        </w:rPr>
        <w:t xml:space="preserve">floor 30 → 15.</w:t>
      </w:r>
    </w:p>
    <w:p>
      <w:pPr>
        <w:pStyle w:val="BodyText"/>
      </w:pPr>
      <w:r>
        <w:t xml:space="preserve">The nine forex fixes deployed on 2026-05-02 require a two-week verification window. The keystone change — capping</w:t>
      </w:r>
      <w:r>
        <w:t xml:space="preserve"> </w:t>
      </w:r>
      <w:r>
        <w:rPr>
          <w:rStyle w:val="VerbatimChar"/>
        </w:rPr>
        <w:t xml:space="preserve">MAX_RESOLVE_RETRIES</w:t>
      </w:r>
      <w:r>
        <w:t xml:space="preserve"> </w:t>
      </w:r>
      <w:r>
        <w:t xml:space="preserve">at 3 in</w:t>
      </w:r>
      <w:r>
        <w:t xml:space="preserve"> </w:t>
      </w:r>
      <w:r>
        <w:rPr>
          <w:rStyle w:val="VerbatimChar"/>
        </w:rPr>
        <w:t xml:space="preserve">outcome_resolver.py</w:t>
      </w:r>
      <w:r>
        <w:t xml:space="preserve"> </w:t>
      </w:r>
      <w:r>
        <w:t xml:space="preserve">(lines 608–631) — must demonstrate resolution rate recovery from ~20% to ~78%</w:t>
      </w:r>
      <w:r>
        <w:t xml:space="preserve"> </w:t>
      </w:r>
      <w:r>
        <w:rPr>
          <w:rStyle w:val="FootnoteReference"/>
        </w:rPr>
        <w:footnoteReference w:id="362"/>
      </w:r>
      <w:r>
        <w:t xml:space="preserve">. Bond gate relaxation changes</w:t>
      </w:r>
      <w:r>
        <w:t xml:space="preserve"> </w:t>
      </w:r>
      <w:r>
        <w:rPr>
          <w:rStyle w:val="VerbatimChar"/>
        </w:rPr>
        <w:t xml:space="preserve">bondEliteScoreFloor</w:t>
      </w:r>
      <w:r>
        <w:t xml:space="preserve"> </w:t>
      </w:r>
      <w:r>
        <w:t xml:space="preserve">from</w:t>
      </w:r>
      <w:r>
        <w:t xml:space="preserve"> </w:t>
      </w:r>
      <w:r>
        <w:rPr>
          <w:rStyle w:val="VerbatimChar"/>
        </w:rPr>
        <w:t xml:space="preserve">30</w:t>
      </w:r>
      <w:r>
        <w:t xml:space="preserve"> </w:t>
      </w:r>
      <w:r>
        <w:t xml:space="preserve">to</w:t>
      </w:r>
      <w:r>
        <w:t xml:space="preserve"> </w:t>
      </w:r>
      <w:r>
        <w:rPr>
          <w:rStyle w:val="VerbatimChar"/>
        </w:rPr>
        <w:t xml:space="preserve">15</w:t>
      </w:r>
      <w:r>
        <w:t xml:space="preserve"> </w:t>
      </w:r>
      <w:r>
        <w:t xml:space="preserve">in</w:t>
      </w:r>
      <w:r>
        <w:t xml:space="preserve"> </w:t>
      </w:r>
      <w:r>
        <w:rPr>
          <w:rStyle w:val="VerbatimChar"/>
        </w:rPr>
        <w:t xml:space="preserve">hf_quality_gates.json</w:t>
      </w:r>
      <w:r>
        <w:t xml:space="preserve">, projected to unblock 3–5 additional picks monthly</w:t>
      </w:r>
      <w:r>
        <w:t xml:space="preserve"> </w:t>
      </w:r>
      <w:r>
        <w:rPr>
          <w:rStyle w:val="FootnoteReference"/>
        </w:rPr>
        <w:footnoteReference w:id="363"/>
      </w:r>
      <w:r>
        <w:t xml:space="preserve">.</w:t>
      </w:r>
    </w:p>
    <w:p>
      <w:pPr>
        <w:pStyle w:val="BodyText"/>
      </w:pPr>
      <w:r>
        <w:rPr>
          <w:bCs/>
          <w:b/>
        </w:rPr>
        <w:t xml:space="preserve">Done criterion:</w:t>
      </w:r>
      <w:r>
        <w:t xml:space="preserve"> </w:t>
      </w:r>
      <w:r>
        <w:t xml:space="preserve">Forex resolution rate ≥ 75% sustained 3 consecutive days; bond pick flow +3/week with no PF degradation below 1.5.</w:t>
      </w:r>
    </w:p>
    <w:bookmarkEnd w:id="364"/>
    <w:bookmarkStart w:id="369" w:name="phase-1-infrastructure-weeks-34"/>
    <w:p>
      <w:pPr>
        <w:pStyle w:val="Heading3"/>
      </w:pPr>
      <w:r>
        <w:t xml:space="preserve">9.2 Phase 1: Infrastructure (Weeks 3–4)</w:t>
      </w:r>
    </w:p>
    <w:p>
      <w:pPr>
        <w:pStyle w:val="FirstParagraph"/>
      </w:pPr>
      <w:r>
        <w:t xml:space="preserve">Phase 1 deploys the statistical backbone. No new strategies launch; the focus is measurement, risk management, and pipeline integrity.</w:t>
      </w:r>
    </w:p>
    <w:p>
      <w:pPr>
        <w:pStyle w:val="BodyText"/>
      </w:pPr>
      <w:r>
        <w:rPr>
          <w:bCs/>
          <w:b/>
        </w:rPr>
        <w:t xml:space="preserve">Deploy bootstrap CI module + PSR calculator + DSR calculator.</w:t>
      </w:r>
    </w:p>
    <w:p>
      <w:pPr>
        <w:pStyle w:val="BodyText"/>
      </w:pPr>
      <w:r>
        <w:t xml:space="preserve">The Probabilistic Sharpe Ratio (PSR) and Deflated Sharpe Ratio (DSR) gate Phase 2 capital deployment. PSR &gt; 0.95 is required for all T1 assets before the $1M seed tranche</w:t>
      </w:r>
      <w:r>
        <w:t xml:space="preserve"> </w:t>
      </w:r>
      <w:r>
        <w:rPr>
          <w:rStyle w:val="FootnoteReference"/>
        </w:rPr>
        <w:footnoteReference w:id="365"/>
      </w:r>
      <w:r>
        <w:t xml:space="preserve">. The bootstrap CI module (</w:t>
      </w:r>
      <w:r>
        <w:rPr>
          <w:rStyle w:val="VerbatimChar"/>
        </w:rPr>
        <w:t xml:space="preserve">alpha_engine/statistical_rigor.py</w:t>
      </w:r>
      <w:r>
        <w:t xml:space="preserve">, 536 lines) performs 1,000 resampled runs computing Sharpe distributions under the null. The DSR calculator adds the multiple-testing correction essential for seven simultaneous asset classes. Both are wired into</w:t>
      </w:r>
      <w:r>
        <w:t xml:space="preserve"> </w:t>
      </w:r>
      <w:r>
        <w:rPr>
          <w:rStyle w:val="VerbatimChar"/>
        </w:rPr>
        <w:t xml:space="preserve">.github/workflows/audit-dashboard.yml</w:t>
      </w:r>
      <w:r>
        <w:t xml:space="preserve">.</w:t>
      </w:r>
    </w:p>
    <w:p>
      <w:pPr>
        <w:pStyle w:val="BodyText"/>
      </w:pPr>
      <w:r>
        <w:rPr>
          <w:bCs/>
          <w:b/>
        </w:rPr>
        <w:t xml:space="preserve">Done criterion:</w:t>
      </w:r>
      <w:r>
        <w:t xml:space="preserve"> </w:t>
      </w:r>
      <w:r>
        <w:t xml:space="preserve">CI fails if PSR &lt; 0.90 for any T1 asset; 1,000-bootstrap completes in &lt; 10 minutes; values published in dashboard payload.</w:t>
      </w:r>
    </w:p>
    <w:p>
      <w:pPr>
        <w:pStyle w:val="BodyText"/>
      </w:pPr>
      <w:r>
        <w:rPr>
          <w:bCs/>
          <w:b/>
        </w:rPr>
        <w:t xml:space="preserve">Implement</w:t>
      </w:r>
      <w:r>
        <w:rPr>
          <w:bCs/>
          <w:b/>
        </w:rPr>
        <w:t xml:space="preserve"> </w:t>
      </w:r>
      <w:r>
        <w:rPr>
          <w:rStyle w:val="VerbatimChar"/>
          <w:bCs/>
          <w:b/>
        </w:rPr>
        <w:t xml:space="preserve">forward_wr</w:t>
      </w:r>
      <w:r>
        <w:rPr>
          <w:bCs/>
          <w:b/>
        </w:rPr>
        <w:t xml:space="preserve"> </w:t>
      </w:r>
      <w:r>
        <w:rPr>
          <w:bCs/>
          <w:b/>
        </w:rPr>
        <w:t xml:space="preserve">pipeline fix (</w:t>
      </w:r>
      <w:r>
        <w:rPr>
          <w:rStyle w:val="VerbatimChar"/>
          <w:bCs/>
          <w:b/>
        </w:rPr>
        <w:t xml:space="preserve">outcome_resolver.py</w:t>
      </w:r>
      <w:r>
        <w:rPr>
          <w:bCs/>
          <w:b/>
        </w:rPr>
        <w:t xml:space="preserve"> </w:t>
      </w:r>
      <w:r>
        <w:rPr>
          <w:bCs/>
          <w:b/>
        </w:rPr>
        <w:t xml:space="preserve">→</w:t>
      </w:r>
      <w:r>
        <w:rPr>
          <w:bCs/>
          <w:b/>
        </w:rPr>
        <w:t xml:space="preserve"> </w:t>
      </w:r>
      <w:r>
        <w:rPr>
          <w:rStyle w:val="VerbatimChar"/>
          <w:bCs/>
          <w:b/>
        </w:rPr>
        <w:t xml:space="preserve">hc_filter.js</w:t>
      </w:r>
      <w:r>
        <w:rPr>
          <w:bCs/>
          <w:b/>
        </w:rPr>
        <w:t xml:space="preserve">).</w:t>
      </w:r>
    </w:p>
    <w:p>
      <w:pPr>
        <w:pStyle w:val="BodyText"/>
      </w:pPr>
      <w:r>
        <w:t xml:space="preserve">Critical Issue 3 from Chapter 6:</w:t>
      </w:r>
      <w:r>
        <w:t xml:space="preserve"> </w:t>
      </w:r>
      <w:r>
        <w:rPr>
          <w:rStyle w:val="VerbatimChar"/>
        </w:rPr>
        <w:t xml:space="preserve">forward_wr</w:t>
      </w:r>
      <w:r>
        <w:t xml:space="preserve"> </w:t>
      </w:r>
      <w:r>
        <w:t xml:space="preserve">/</w:t>
      </w:r>
      <w:r>
        <w:t xml:space="preserve"> </w:t>
      </w:r>
      <w:r>
        <w:rPr>
          <w:rStyle w:val="VerbatimChar"/>
        </w:rPr>
        <w:t xml:space="preserve">strat_fwd_wr</w:t>
      </w:r>
      <w:r>
        <w:t xml:space="preserve"> </w:t>
      </w:r>
      <w:r>
        <w:t xml:space="preserve">are never produced by</w:t>
      </w:r>
      <w:r>
        <w:t xml:space="preserve"> </w:t>
      </w:r>
      <w:r>
        <w:rPr>
          <w:rStyle w:val="VerbatimChar"/>
        </w:rPr>
        <w:t xml:space="preserve">outcome_resolver.py</w:t>
      </w:r>
      <w:r>
        <w:t xml:space="preserve"> </w:t>
      </w:r>
      <w:r>
        <w:t xml:space="preserve">but consumed by</w:t>
      </w:r>
      <w:r>
        <w:t xml:space="preserve"> </w:t>
      </w:r>
      <w:r>
        <w:rPr>
          <w:rStyle w:val="VerbatimChar"/>
        </w:rPr>
        <w:t xml:space="preserve">hc_filter.js</w:t>
      </w:r>
      <w:r>
        <w:t xml:space="preserve"> </w:t>
      </w:r>
      <w:r>
        <w:rPr>
          <w:rStyle w:val="FootnoteReference"/>
        </w:rPr>
        <w:footnoteReference w:id="366"/>
      </w:r>
      <w:r>
        <w:t xml:space="preserve">. The fix: (1) add</w:t>
      </w:r>
      <w:r>
        <w:t xml:space="preserve"> </w:t>
      </w:r>
      <w:r>
        <w:rPr>
          <w:rStyle w:val="VerbatimChar"/>
        </w:rPr>
        <w:t xml:space="preserve">track_calculator.py</w:t>
      </w:r>
      <w:r>
        <w:t xml:space="preserve"> </w:t>
      </w:r>
      <w:r>
        <w:t xml:space="preserve">to</w:t>
      </w:r>
      <w:r>
        <w:t xml:space="preserve"> </w:t>
      </w:r>
      <w:r>
        <w:rPr>
          <w:rStyle w:val="VerbatimChar"/>
        </w:rPr>
        <w:t xml:space="preserve">outcome_resolver.py</w:t>
      </w:r>
      <w:r>
        <w:t xml:space="preserve"> </w:t>
      </w:r>
      <w:r>
        <w:t xml:space="preserve">aggregating resolved outcomes into per-strategy, per-symbol track records; (2) replace</w:t>
      </w:r>
      <w:r>
        <w:t xml:space="preserve"> </w:t>
      </w:r>
      <w:r>
        <w:rPr>
          <w:rStyle w:val="VerbatimChar"/>
        </w:rPr>
        <w:t xml:space="preserve">hc_filter.js</w:t>
      </w:r>
      <w:r>
        <w:t xml:space="preserve"> </w:t>
      </w:r>
      <w:r>
        <w:t xml:space="preserve">line 310 fallback with</w:t>
      </w:r>
      <w:r>
        <w:t xml:space="preserve"> </w:t>
      </w:r>
      <w:r>
        <w:rPr>
          <w:rStyle w:val="VerbatimChar"/>
        </w:rPr>
        <w:t xml:space="preserve">p.track_wr</w:t>
      </w:r>
      <w:r>
        <w:t xml:space="preserve">. Gate 3 (</w:t>
      </w:r>
      <w:r>
        <w:rPr>
          <w:rStyle w:val="VerbatimChar"/>
        </w:rPr>
        <w:t xml:space="preserve">fwdN &lt; fwdMinTrades</w:t>
      </w:r>
      <w:r>
        <w:t xml:space="preserve">) has been inoperative due to zeroed inputs; this restores it.</w:t>
      </w:r>
    </w:p>
    <w:p>
      <w:pPr>
        <w:pStyle w:val="BodyText"/>
      </w:pPr>
      <w:r>
        <w:rPr>
          <w:bCs/>
          <w:b/>
        </w:rPr>
        <w:t xml:space="preserve">Done criterion:</w:t>
      </w:r>
      <w:r>
        <w:t xml:space="preserve"> </w:t>
      </w:r>
      <w:r>
        <w:rPr>
          <w:rStyle w:val="VerbatimChar"/>
        </w:rPr>
        <w:t xml:space="preserve">track_wr</w:t>
      </w:r>
      <w:r>
        <w:t xml:space="preserve"> </w:t>
      </w:r>
      <w:r>
        <w:t xml:space="preserve">on 100% of resolved picks; Gate 3 operates on live data; HC filter rate changes &gt; 5pp from baseline.</w:t>
      </w:r>
    </w:p>
    <w:p>
      <w:pPr>
        <w:pStyle w:val="BodyText"/>
      </w:pPr>
      <w:r>
        <w:rPr>
          <w:bCs/>
          <w:b/>
        </w:rPr>
        <w:t xml:space="preserve">Deploy decay tracker with auto-demotion ladder.</w:t>
      </w:r>
    </w:p>
    <w:p>
      <w:pPr>
        <w:pStyle w:val="BodyText"/>
      </w:pPr>
      <w:r>
        <w:t xml:space="preserve">The decay tracker (</w:t>
      </w:r>
      <w:r>
        <w:rPr>
          <w:rStyle w:val="VerbatimChar"/>
        </w:rPr>
        <w:t xml:space="preserve">alpha_engine/decay_tracker.py</w:t>
      </w:r>
      <w:r>
        <w:t xml:space="preserve">, 489 lines) addresses A-Tier degradation: PF collapses from 1.98 at L20 to 1.23 at L100 as staleness erodes edge</w:t>
      </w:r>
      <w:r>
        <w:t xml:space="preserve"> </w:t>
      </w:r>
      <w:r>
        <w:rPr>
          <w:rStyle w:val="FootnoteReference"/>
        </w:rPr>
        <w:footnoteReference w:id="367"/>
      </w:r>
      <w:r>
        <w:t xml:space="preserve">. The auto-demotion ladder graduates picks &gt; 72h from A-Tier to B-Tier, and &gt; 120h to blocked status. The tracker monitors PF and WR by vintage bucket and triggers alerts when any bucket’s PF falls below 1.0.</w:t>
      </w:r>
    </w:p>
    <w:p>
      <w:pPr>
        <w:pStyle w:val="BodyText"/>
      </w:pPr>
      <w:r>
        <w:rPr>
          <w:bCs/>
          <w:b/>
        </w:rPr>
        <w:t xml:space="preserve">Done criterion:</w:t>
      </w:r>
      <w:r>
        <w:t xml:space="preserve"> </w:t>
      </w:r>
      <w:r>
        <w:t xml:space="preserve">A-Tier &gt; 72h auto-demoted; vintage-bucket PF/WR on dashboard; alert fires if any bucket PF &lt; 1.0.</w:t>
      </w:r>
    </w:p>
    <w:p>
      <w:pPr>
        <w:pStyle w:val="BodyText"/>
      </w:pPr>
      <w:r>
        <w:rPr>
          <w:bCs/>
          <w:b/>
        </w:rPr>
        <w:t xml:space="preserve">Deploy volatility targeting with Kelly sizing (fraction 0.25).</w:t>
      </w:r>
    </w:p>
    <w:p>
      <w:pPr>
        <w:pStyle w:val="BodyText"/>
      </w:pPr>
      <w:r>
        <w:t xml:space="preserve">Full Kelly would recommend 44.9% for equities, 61.5% for ETFs, and 85.2% for S-Tier crypto — allocations ignoring parameter uncertainty</w:t>
      </w:r>
      <w:r>
        <w:t xml:space="preserve"> </w:t>
      </w:r>
      <w:r>
        <w:rPr>
          <w:rStyle w:val="FootnoteReference"/>
        </w:rPr>
        <w:footnoteReference w:id="368"/>
      </w:r>
      <w:r>
        <w:t xml:space="preserve">. Quarter-Kelly halves these twice: 40% equities, 25% ETFs, 10% S-Tier. The vol targeting module (</w:t>
      </w:r>
      <w:r>
        <w:rPr>
          <w:rStyle w:val="VerbatimChar"/>
        </w:rPr>
        <w:t xml:space="preserve">alpha_engine/vol_targeting_researcher.py</w:t>
      </w:r>
      <w:r>
        <w:t xml:space="preserve">, 136 lines) scales positions inversely to 20-day rolling realized volatility, maintaining portfolio vol at 15% ± 2%.</w:t>
      </w:r>
    </w:p>
    <w:p>
      <w:pPr>
        <w:pStyle w:val="BodyText"/>
      </w:pPr>
      <w:r>
        <w:rPr>
          <w:bCs/>
          <w:b/>
        </w:rPr>
        <w:t xml:space="preserve">Done criterion:</w:t>
      </w:r>
      <w:r>
        <w:t xml:space="preserve"> </w:t>
      </w:r>
      <w:r>
        <w:t xml:space="preserve">Portfolio vol within 15% ± 2% for 5 consecutive days; Kelly fractions capped at 0.25; daily sizing updates.</w:t>
      </w:r>
    </w:p>
    <w:bookmarkEnd w:id="369"/>
    <w:bookmarkStart w:id="376" w:name="phase-2-golden-portfolio-launch-weeks-58"/>
    <w:p>
      <w:pPr>
        <w:pStyle w:val="Heading3"/>
      </w:pPr>
      <w:r>
        <w:t xml:space="preserve">9.3 Phase 2: Golden Portfolio Launch (Weeks 5–8)</w:t>
      </w:r>
    </w:p>
    <w:p>
      <w:pPr>
        <w:pStyle w:val="FirstParagraph"/>
      </w:pPr>
      <w:r>
        <w:t xml:space="preserve">Phase 2 is the operational inflection point. The Golden Portfolio goes live: 40% Equities ($4M), 25% ETFs ($2.5M), 15% Bonds ($1.5M), 10% Crypto S-Tier ($1M), 5% B-Tier ($500K), 5% A-Tier ($500K)</w:t>
      </w:r>
      <w:r>
        <w:t xml:space="preserve"> </w:t>
      </w:r>
      <w:r>
        <w:rPr>
          <w:rStyle w:val="FootnoteReference"/>
        </w:rPr>
        <w:footnoteReference w:id="370"/>
      </w:r>
      <w:r>
        <w:t xml:space="preserve">. Capital deploys in two $500K tranches beginning Week 5, scaling to $1M by Week 8.</w:t>
      </w:r>
    </w:p>
    <w:p>
      <w:pPr>
        <w:pStyle w:val="BodyText"/>
      </w:pPr>
      <w:r>
        <w:rPr>
          <w:bCs/>
          <w:b/>
        </w:rPr>
        <w:t xml:space="preserve">Deploy HRP allocator for cross-asset position sizing.</w:t>
      </w:r>
    </w:p>
    <w:p>
      <w:pPr>
        <w:pStyle w:val="BodyText"/>
      </w:pPr>
      <w:r>
        <w:t xml:space="preserve">The HRP allocator (</w:t>
      </w:r>
      <w:r>
        <w:rPr>
          <w:rStyle w:val="VerbatimChar"/>
        </w:rPr>
        <w:t xml:space="preserve">alpha_engine/hrp_allocator.py</w:t>
      </w:r>
      <w:r>
        <w:t xml:space="preserve">, 493 lines) replaces equal-weighting with inverse-variance clustering. The CIO blend overrides pure HRP (which would assign 39.1% to bonds) and pure Sharpe-equalized weighting (which would concentrate 53.6% in equities) to respect three hard constraints: no asset class &gt; 40%, total crypto ≤ 20%, bonds ≥ 15%</w:t>
      </w:r>
      <w:r>
        <w:t xml:space="preserve"> </w:t>
      </w:r>
      <w:r>
        <w:rPr>
          <w:rStyle w:val="FootnoteReference"/>
        </w:rPr>
        <w:footnoteReference w:id="371"/>
      </w:r>
      <w:r>
        <w:t xml:space="preserve">. The allocator runs daily against the correlation matrix (crypto intra-cluster 0.70–0.80, equity–ETF 0.85, bond–equity -0.30).</w:t>
      </w:r>
    </w:p>
    <w:p>
      <w:pPr>
        <w:pStyle w:val="BodyText"/>
      </w:pPr>
      <w:r>
        <w:rPr>
          <w:bCs/>
          <w:b/>
        </w:rPr>
        <w:t xml:space="preserve">Done criterion:</w:t>
      </w:r>
      <w:r>
        <w:t xml:space="preserve"> </w:t>
      </w:r>
      <w:r>
        <w:t xml:space="preserve">Daily position sheets produced; tracking error &lt; 3% versus CIO blend; all hard constraints satisfied.</w:t>
      </w:r>
    </w:p>
    <w:p>
      <w:pPr>
        <w:pStyle w:val="BodyText"/>
      </w:pPr>
      <w:r>
        <w:rPr>
          <w:bCs/>
          <w:b/>
        </w:rPr>
        <w:t xml:space="preserve">Launch crypto perp funding arb (shadow → live).</w:t>
      </w:r>
    </w:p>
    <w:p>
      <w:pPr>
        <w:pStyle w:val="BodyText"/>
      </w:pPr>
      <w:r>
        <w:t xml:space="preserve">Crypto perpetual futures funding-rate arbitrage offers the highest projected returns of any new strategy: PF 5.0–8.0, Sharpe 2.5–3.5, near-zero market beta</w:t>
      </w:r>
      <w:r>
        <w:t xml:space="preserve"> </w:t>
      </w:r>
      <w:r>
        <w:rPr>
          <w:rStyle w:val="FootnoteReference"/>
        </w:rPr>
        <w:footnoteReference w:id="372"/>
      </w:r>
      <w:r>
        <w:t xml:space="preserve">. Launch protocol: two weeks shadow mode (Weeks 5–6), then live at 0.25× sizing at Week 7, scaling to 0.5× if shadow + live PF &gt; 3.0 at n ≥ 10. Entry requires 7-day average funding rate &gt; 0.01% per 8-hour period; exit triggers after three consecutive negative funding periods.</w:t>
      </w:r>
    </w:p>
    <w:p>
      <w:pPr>
        <w:pStyle w:val="BodyText"/>
      </w:pPr>
      <w:r>
        <w:rPr>
          <w:bCs/>
          <w:b/>
        </w:rPr>
        <w:t xml:space="preserve">Done criterion:</w:t>
      </w:r>
      <w:r>
        <w:t xml:space="preserve"> </w:t>
      </w:r>
      <w:r>
        <w:t xml:space="preserve">Shadow PF &gt; 3.0 at n ≥ 10; live execution on 2+ exchanges; funding filter active.</w:t>
      </w:r>
    </w:p>
    <w:p>
      <w:pPr>
        <w:pStyle w:val="BodyText"/>
      </w:pPr>
      <w:r>
        <w:rPr>
          <w:bCs/>
          <w:b/>
        </w:rPr>
        <w:t xml:space="preserve">Add forex carry sleeve, CEF NAV strategy.</w:t>
      </w:r>
    </w:p>
    <w:p>
      <w:pPr>
        <w:pStyle w:val="BodyText"/>
      </w:pPr>
      <w:r>
        <w:t xml:space="preserve">Forex recovery (true WR 48.7%, PF 3.59 on n=273</w:t>
      </w:r>
      <w:r>
        <w:t xml:space="preserve"> </w:t>
      </w:r>
      <w:r>
        <w:rPr>
          <w:rStyle w:val="FootnoteReference"/>
        </w:rPr>
        <w:footnoteReference w:id="373"/>
      </w:r>
      <w:r>
        <w:t xml:space="preserve">) transitions to deployment via the G10 carry trade: borrow CHF at 0.00%, invest in USD at 4.75%, capturing 3.10–4.75% spreads</w:t>
      </w:r>
      <w:r>
        <w:t xml:space="preserve"> </w:t>
      </w:r>
      <w:r>
        <w:rPr>
          <w:rStyle w:val="FootnoteReference"/>
        </w:rPr>
        <w:footnoteReference w:id="374"/>
      </w:r>
      <w:r>
        <w:t xml:space="preserve">. The CEF NAV discount strategy deploys long the most discounted quintile, short the most premium quintile, targeting PF 1.5–2.0</w:t>
      </w:r>
      <w:r>
        <w:t xml:space="preserve"> </w:t>
      </w:r>
      <w:r>
        <w:rPr>
          <w:rStyle w:val="FootnoteReference"/>
        </w:rPr>
        <w:footnoteReference w:id="375"/>
      </w:r>
      <w:r>
        <w:t xml:space="preserve">. Both launch at 0.5× sizing with 30-day shadow prefixes.</w:t>
      </w:r>
    </w:p>
    <w:p>
      <w:pPr>
        <w:pStyle w:val="BodyText"/>
      </w:pPr>
      <w:r>
        <w:rPr>
          <w:bCs/>
          <w:b/>
        </w:rPr>
        <w:t xml:space="preserve">Done criterion:</w:t>
      </w:r>
      <w:r>
        <w:t xml:space="preserve"> </w:t>
      </w:r>
      <w:r>
        <w:t xml:space="preserve">Forex carry ≥ 3 picks/week; CEF long/short balanced; combined PF &gt; 1.5 at n ≥ 15.</w:t>
      </w:r>
    </w:p>
    <w:p>
      <w:pPr>
        <w:pStyle w:val="BodyText"/>
      </w:pPr>
      <w:r>
        <w:rPr>
          <w:bCs/>
          <w:b/>
        </w:rPr>
        <w:t xml:space="preserve">Deploy regime gate + correlation gate.</w:t>
      </w:r>
    </w:p>
    <w:p>
      <w:pPr>
        <w:pStyle w:val="BodyText"/>
      </w:pPr>
      <w:r>
        <w:t xml:space="preserve">The regime gate implements a three-state HMM classifier (bull, neutral, bear) blocking mean-reversion in crash regimes and momentum in bear regimes. The correlation gate monitors 30-day rolling correlations, triggering reductions when intra-cluster correlations spike above 0.90. Both are implemented as modular filters in</w:t>
      </w:r>
      <w:r>
        <w:t xml:space="preserve"> </w:t>
      </w:r>
      <w:r>
        <w:rPr>
          <w:rStyle w:val="VerbatimChar"/>
        </w:rPr>
        <w:t xml:space="preserve">hedge_fund_quality_gate.py</w:t>
      </w:r>
      <w:r>
        <w:t xml:space="preserve"> </w:t>
      </w:r>
      <w:r>
        <w:t xml:space="preserve">with configurable thresholds in</w:t>
      </w:r>
      <w:r>
        <w:t xml:space="preserve"> </w:t>
      </w:r>
      <w:r>
        <w:rPr>
          <w:rStyle w:val="VerbatimChar"/>
        </w:rPr>
        <w:t xml:space="preserve">hf_quality_gates.json</w:t>
      </w:r>
      <w:r>
        <w:t xml:space="preserve">.</w:t>
      </w:r>
    </w:p>
    <w:p>
      <w:pPr>
        <w:pStyle w:val="BodyText"/>
      </w:pPr>
      <w:r>
        <w:rPr>
          <w:bCs/>
          <w:b/>
        </w:rPr>
        <w:t xml:space="preserve">Done criterion:</w:t>
      </w:r>
      <w:r>
        <w:t xml:space="preserve"> </w:t>
      </w:r>
      <w:r>
        <w:t xml:space="preserve">HMM accuracy &gt; 70% on historical data; correlation gate responds within 1 trading day.</w:t>
      </w:r>
    </w:p>
    <w:bookmarkEnd w:id="376"/>
    <w:bookmarkStart w:id="380" w:name="X5e6b8c9317fe64a781231fed8c5e275a87d1809"/>
    <w:p>
      <w:pPr>
        <w:pStyle w:val="Heading3"/>
      </w:pPr>
      <w:r>
        <w:t xml:space="preserve">9.4 Phase 3: Institutional Readiness (Weeks 9–12)</w:t>
      </w:r>
    </w:p>
    <w:p>
      <w:pPr>
        <w:pStyle w:val="FirstParagraph"/>
      </w:pPr>
      <w:r>
        <w:t xml:space="preserve">Phase 3 is the final validation sprint. Entry requires Golden Portfolio sustaining PF &gt; 5.0 for two consecutive weeks with WR &gt; 65% and MDD &lt; 15%</w:t>
      </w:r>
      <w:r>
        <w:t xml:space="preserve"> </w:t>
      </w:r>
      <w:r>
        <w:rPr>
          <w:rStyle w:val="FootnoteReference"/>
        </w:rPr>
        <w:footnoteReference w:id="377"/>
      </w:r>
      <w:r>
        <w:t xml:space="preserve">. No new trading functionality deploys; the focus is stress-testing and documentation.</w:t>
      </w:r>
    </w:p>
    <w:p>
      <w:pPr>
        <w:pStyle w:val="BodyText"/>
      </w:pPr>
      <w:r>
        <w:rPr>
          <w:bCs/>
          <w:b/>
        </w:rPr>
        <w:t xml:space="preserve">Full statistical rigor: 1,000 bootstrap runs, PSR &gt; 0.95, DSR &gt; 0.95.</w:t>
      </w:r>
    </w:p>
    <w:p>
      <w:pPr>
        <w:pStyle w:val="BodyText"/>
      </w:pPr>
      <w:r>
        <w:t xml:space="preserve">The bootstrap CI module runs its full validation: 1,000 resampled runs per asset class. PSR &gt; 0.95 means &lt; 5% probability that the observed Sharpe is a statistical artifact</w:t>
      </w:r>
      <w:r>
        <w:t xml:space="preserve"> </w:t>
      </w:r>
      <w:r>
        <w:rPr>
          <w:rStyle w:val="FootnoteReference"/>
        </w:rPr>
        <w:footnoteReference w:id="378"/>
      </w:r>
      <w:r>
        <w:t xml:space="preserve">. DSR &gt; 0.95 adds the multiple-testing correction across seven asset classes. T1 assets (Equities, ETFs, Crypto S-Tier) must clear both thresholds; T2 assets must clear PSR &gt; 0.90.</w:t>
      </w:r>
    </w:p>
    <w:p>
      <w:pPr>
        <w:pStyle w:val="BodyText"/>
      </w:pPr>
      <w:r>
        <w:rPr>
          <w:bCs/>
          <w:b/>
        </w:rPr>
        <w:t xml:space="preserve">Deploy 8 researcher personas for continuous edge detection.</w:t>
      </w:r>
    </w:p>
    <w:p>
      <w:pPr>
        <w:pStyle w:val="BodyText"/>
      </w:pPr>
      <w:r>
        <w:t xml:space="preserve">Eight personas in</w:t>
      </w:r>
      <w:r>
        <w:t xml:space="preserve"> </w:t>
      </w:r>
      <w:r>
        <w:rPr>
          <w:rStyle w:val="VerbatimChar"/>
        </w:rPr>
        <w:t xml:space="preserve">ml_crypto_predictor/researchers/</w:t>
      </w:r>
      <w:r>
        <w:t xml:space="preserve"> </w:t>
      </w:r>
      <w:r>
        <w:t xml:space="preserve">provide continuous monitoring: Vol Targeting (136 lines), Reconciliation (134 lines), HMM Regime (137 lines), Risk Parity (138 lines), Factor Overlay (137 lines), Meta Orchestrator (148 lines), Multiple Testing (136 lines), and Transaction Cost (146 lines). These 1,212 lines automate vol regime monitoring, cross-signal reconciliation, factor tracking, and cost analysis.</w:t>
      </w:r>
    </w:p>
    <w:p>
      <w:pPr>
        <w:pStyle w:val="BodyText"/>
      </w:pPr>
      <w:r>
        <w:rPr>
          <w:bCs/>
          <w:b/>
        </w:rPr>
        <w:t xml:space="preserve">Done criterion:</w:t>
      </w:r>
      <w:r>
        <w:t xml:space="preserve"> </w:t>
      </w:r>
      <w:r>
        <w:t xml:space="preserve">All 8 running daily; ≥ 2 edge-detection alerts per week; alert-to-investigation latency &lt; 24h.</w:t>
      </w:r>
    </w:p>
    <w:p>
      <w:pPr>
        <w:pStyle w:val="BodyText"/>
      </w:pPr>
      <w:r>
        <w:rPr>
          <w:bCs/>
          <w:b/>
        </w:rPr>
        <w:t xml:space="preserve">Deploy cost gate (net-of-cost PF filter).</w:t>
      </w:r>
    </w:p>
    <w:p>
      <w:pPr>
        <w:pStyle w:val="BodyText"/>
      </w:pPr>
      <w:r>
        <w:t xml:space="preserve">The cost gate applies per-asset transaction costs — crypto spot 0.10%, perps 0.05%, equities 0.01%, forex 0.8–3.0 pips, bonds 0.05% — and blocks strategies with net-of-cost PF &lt; 1.2. The model is parameterized in</w:t>
      </w:r>
      <w:r>
        <w:t xml:space="preserve"> </w:t>
      </w:r>
      <w:r>
        <w:rPr>
          <w:rStyle w:val="VerbatimChar"/>
        </w:rPr>
        <w:t xml:space="preserve">hf_quality_gates.json</w:t>
      </w:r>
      <w:r>
        <w:t xml:space="preserve"> </w:t>
      </w:r>
      <w:r>
        <w:t xml:space="preserve">and validated quarterly against execution data.</w:t>
      </w:r>
    </w:p>
    <w:p>
      <w:pPr>
        <w:pStyle w:val="BodyText"/>
      </w:pPr>
      <w:r>
        <w:rPr>
          <w:bCs/>
          <w:b/>
        </w:rPr>
        <w:t xml:space="preserve">Week 12: Go/no-go decision.</w:t>
      </w:r>
    </w:p>
    <w:p>
      <w:pPr>
        <w:pStyle w:val="BodyText"/>
      </w:pPr>
      <w:r>
        <w:t xml:space="preserve">The CIO reviews the complete audit package: 12 weeks of Golden Portfolio performance, PSR/DSR results, cost-gate clearance, kill-switch logs, and persona alert history. Four conditions must clear for $25M+ deployment: (1) Golden Portfolio PF &gt; 5.0 for 2+ weeks; (2) all T1 PSR &gt; 0.95 and DSR &gt; 0.95; (3) CVaR &lt; 5% at 95% confidence; (4) Sortino &gt; 3.0</w:t>
      </w:r>
      <w:r>
        <w:t xml:space="preserve"> </w:t>
      </w:r>
      <w:r>
        <w:rPr>
          <w:rStyle w:val="FootnoteReference"/>
        </w:rPr>
        <w:footnoteReference w:id="379"/>
      </w:r>
      <w:r>
        <w:t xml:space="preserve">. Failure on any condition triggers return to Phase 2 with a 30-day remediation window.</w:t>
      </w:r>
    </w:p>
    <w:bookmarkEnd w:id="380"/>
    <w:bookmarkStart w:id="383" w:name="risk-management-checkpoints"/>
    <w:p>
      <w:pPr>
        <w:pStyle w:val="Heading3"/>
      </w:pPr>
      <w:r>
        <w:t xml:space="preserve">9.5 Risk Management Checkpoints</w:t>
      </w:r>
    </w:p>
    <w:p>
      <w:pPr>
        <w:pStyle w:val="FirstParagraph"/>
      </w:pPr>
      <w:r>
        <w:t xml:space="preserve">Risk management operates continuously from Day 1. The following tables govern the 12-week program with triggers that can halt deployment at any phase.</w:t>
      </w:r>
    </w:p>
    <w:p>
      <w:pPr>
        <w:pStyle w:val="BodyText"/>
      </w:pPr>
      <w:r>
        <w:rPr>
          <w:bCs/>
          <w:b/>
        </w:rPr>
        <w:t xml:space="preserve">Table 9.1: 12-Week Implementation Roadmap</w:t>
      </w:r>
    </w:p>
    <w:tbl>
      <w:tblPr>
        <w:tblStyle w:val="Table"/>
        <w:tblW w:type="pct" w:w="5000"/>
        <w:tblLook w:firstRow="1" w:lastRow="0" w:firstColumn="0" w:lastColumn="0" w:noHBand="0" w:noVBand="0" w:val="0020"/>
      </w:tblPr>
      <w:tblGrid>
        <w:gridCol w:w="1584"/>
        <w:gridCol w:w="1267"/>
        <w:gridCol w:w="1267"/>
        <w:gridCol w:w="1267"/>
        <w:gridCol w:w="1267"/>
        <w:gridCol w:w="1267"/>
      </w:tblGrid>
      <w:tr>
        <w:trPr>
          <w:tblHeader w:val="true"/>
        </w:trPr>
        <w:tc>
          <w:tcPr/>
          <w:p>
            <w:pPr>
              <w:pStyle w:val="Compact"/>
              <w:jc w:val="center"/>
            </w:pPr>
            <w:r>
              <w:t xml:space="preserve">Week</w:t>
            </w:r>
          </w:p>
        </w:tc>
        <w:tc>
          <w:tcPr/>
          <w:p>
            <w:pPr>
              <w:pStyle w:val="Compact"/>
              <w:jc w:val="left"/>
            </w:pPr>
            <w:r>
              <w:t xml:space="preserve">Phase</w:t>
            </w:r>
          </w:p>
        </w:tc>
        <w:tc>
          <w:tcPr/>
          <w:p>
            <w:pPr>
              <w:pStyle w:val="Compact"/>
              <w:jc w:val="left"/>
            </w:pPr>
            <w:r>
              <w:t xml:space="preserve">Key Deliverable</w:t>
            </w:r>
          </w:p>
        </w:tc>
        <w:tc>
          <w:tcPr/>
          <w:p>
            <w:pPr>
              <w:pStyle w:val="Compact"/>
              <w:jc w:val="left"/>
            </w:pPr>
            <w:r>
              <w:t xml:space="preserve">Owner</w:t>
            </w:r>
          </w:p>
        </w:tc>
        <w:tc>
          <w:tcPr/>
          <w:p>
            <w:pPr>
              <w:pStyle w:val="Compact"/>
              <w:jc w:val="left"/>
            </w:pPr>
            <w:r>
              <w:t xml:space="preserve">Success Criteria</w:t>
            </w:r>
          </w:p>
        </w:tc>
        <w:tc>
          <w:tcPr/>
          <w:p>
            <w:pPr>
              <w:pStyle w:val="Compact"/>
              <w:jc w:val="left"/>
            </w:pPr>
            <w:r>
              <w:t xml:space="preserve">Abort Trigger</w:t>
            </w:r>
          </w:p>
        </w:tc>
      </w:tr>
      <w:tr>
        <w:tc>
          <w:tcPr/>
          <w:p>
            <w:pPr>
              <w:pStyle w:val="Compact"/>
              <w:jc w:val="center"/>
            </w:pPr>
            <w:r>
              <w:t xml:space="preserve">1</w:t>
            </w:r>
          </w:p>
        </w:tc>
        <w:tc>
          <w:tcPr/>
          <w:p>
            <w:pPr>
              <w:pStyle w:val="Compact"/>
              <w:jc w:val="left"/>
            </w:pPr>
            <w:r>
              <w:t xml:space="preserve">P0</w:t>
            </w:r>
          </w:p>
        </w:tc>
        <w:tc>
          <w:tcPr/>
          <w:p>
            <w:pPr>
              <w:pStyle w:val="Compact"/>
              <w:jc w:val="left"/>
            </w:pPr>
            <w:r>
              <w:t xml:space="preserve">C-Tier suspension, WINNER_FILTER abolition, ml_score ≥ 0.82</w:t>
            </w:r>
          </w:p>
        </w:tc>
        <w:tc>
          <w:tcPr/>
          <w:p>
            <w:pPr>
              <w:pStyle w:val="Compact"/>
              <w:jc w:val="left"/>
            </w:pPr>
            <w:r>
              <w:t xml:space="preserve">Engineering</w:t>
            </w:r>
          </w:p>
        </w:tc>
        <w:tc>
          <w:tcPr/>
          <w:p>
            <w:pPr>
              <w:pStyle w:val="Compact"/>
              <w:jc w:val="left"/>
            </w:pPr>
            <w:r>
              <w:t xml:space="preserve">C-Tier output = 0; 48h shadow log clean</w:t>
            </w:r>
          </w:p>
        </w:tc>
        <w:tc>
          <w:tcPr/>
          <w:p>
            <w:pPr>
              <w:pStyle w:val="Compact"/>
              <w:jc w:val="left"/>
            </w:pPr>
            <w:r>
              <w:t xml:space="preserve">C-Tier picks still flowing</w:t>
            </w:r>
          </w:p>
        </w:tc>
      </w:tr>
      <w:tr>
        <w:tc>
          <w:tcPr/>
          <w:p>
            <w:pPr>
              <w:pStyle w:val="Compact"/>
              <w:jc w:val="center"/>
            </w:pPr>
            <w:r>
              <w:t xml:space="preserve">1</w:t>
            </w:r>
          </w:p>
        </w:tc>
        <w:tc>
          <w:tcPr/>
          <w:p>
            <w:pPr>
              <w:pStyle w:val="Compact"/>
              <w:jc w:val="left"/>
            </w:pPr>
            <w:r>
              <w:t xml:space="preserve">P0</w:t>
            </w:r>
          </w:p>
        </w:tc>
        <w:tc>
          <w:tcPr/>
          <w:p>
            <w:pPr>
              <w:pStyle w:val="Compact"/>
              <w:jc w:val="left"/>
            </w:pPr>
            <w:r>
              <w:t xml:space="preserve">R:R gate 1.5 → 1.25</w:t>
            </w:r>
          </w:p>
        </w:tc>
        <w:tc>
          <w:tcPr/>
          <w:p>
            <w:pPr>
              <w:pStyle w:val="Compact"/>
              <w:jc w:val="left"/>
            </w:pPr>
            <w:r>
              <w:t xml:space="preserve">Quant</w:t>
            </w:r>
          </w:p>
        </w:tc>
        <w:tc>
          <w:tcPr/>
          <w:p>
            <w:pPr>
              <w:pStyle w:val="Compact"/>
              <w:jc w:val="left"/>
            </w:pPr>
            <w:r>
              <w:t xml:space="preserve">Config updated; conf 0.85–0.90 unblocked</w:t>
            </w:r>
          </w:p>
        </w:tc>
        <w:tc>
          <w:tcPr/>
          <w:p>
            <w:pPr>
              <w:pStyle w:val="Compact"/>
              <w:jc w:val="left"/>
            </w:pPr>
            <w:r>
              <w:t xml:space="preserve">PF degradation &gt; 10% in unblocked band</w:t>
            </w:r>
          </w:p>
        </w:tc>
      </w:tr>
      <w:tr>
        <w:tc>
          <w:tcPr/>
          <w:p>
            <w:pPr>
              <w:pStyle w:val="Compact"/>
              <w:jc w:val="center"/>
            </w:pPr>
            <w:r>
              <w:t xml:space="preserve">2</w:t>
            </w:r>
          </w:p>
        </w:tc>
        <w:tc>
          <w:tcPr/>
          <w:p>
            <w:pPr>
              <w:pStyle w:val="Compact"/>
              <w:jc w:val="left"/>
            </w:pPr>
            <w:r>
              <w:t xml:space="preserve">P0</w:t>
            </w:r>
          </w:p>
        </w:tc>
        <w:tc>
          <w:tcPr/>
          <w:p>
            <w:pPr>
              <w:pStyle w:val="Compact"/>
              <w:jc w:val="left"/>
            </w:pPr>
            <w:r>
              <w:t xml:space="preserve">Forex recovery, bond elite_score 30 → 15</w:t>
            </w:r>
          </w:p>
        </w:tc>
        <w:tc>
          <w:tcPr/>
          <w:p>
            <w:pPr>
              <w:pStyle w:val="Compact"/>
              <w:jc w:val="left"/>
            </w:pPr>
            <w:r>
              <w:t xml:space="preserve">Trading Ops</w:t>
            </w:r>
          </w:p>
        </w:tc>
        <w:tc>
          <w:tcPr/>
          <w:p>
            <w:pPr>
              <w:pStyle w:val="Compact"/>
              <w:jc w:val="left"/>
            </w:pPr>
            <w:r>
              <w:t xml:space="preserve">Forex resolution ≥ 75%; bond +3 picks/week</w:t>
            </w:r>
          </w:p>
        </w:tc>
        <w:tc>
          <w:tcPr/>
          <w:p>
            <w:pPr>
              <w:pStyle w:val="Compact"/>
              <w:jc w:val="left"/>
            </w:pPr>
            <w:r>
              <w:t xml:space="preserve">Forex resolution &lt; 50% after 5 days</w:t>
            </w:r>
          </w:p>
        </w:tc>
      </w:tr>
      <w:tr>
        <w:tc>
          <w:tcPr/>
          <w:p>
            <w:pPr>
              <w:pStyle w:val="Compact"/>
              <w:jc w:val="center"/>
            </w:pPr>
            <w:r>
              <w:t xml:space="preserve">3</w:t>
            </w:r>
          </w:p>
        </w:tc>
        <w:tc>
          <w:tcPr/>
          <w:p>
            <w:pPr>
              <w:pStyle w:val="Compact"/>
              <w:jc w:val="left"/>
            </w:pPr>
            <w:r>
              <w:t xml:space="preserve">P1</w:t>
            </w:r>
          </w:p>
        </w:tc>
        <w:tc>
          <w:tcPr/>
          <w:p>
            <w:pPr>
              <w:pStyle w:val="Compact"/>
              <w:jc w:val="left"/>
            </w:pPr>
            <w:r>
              <w:t xml:space="preserve">Bootstrap CI + PSR/DSR calculator</w:t>
            </w:r>
          </w:p>
        </w:tc>
        <w:tc>
          <w:tcPr/>
          <w:p>
            <w:pPr>
              <w:pStyle w:val="Compact"/>
              <w:jc w:val="left"/>
            </w:pPr>
            <w:r>
              <w:t xml:space="preserve">Data Eng</w:t>
            </w:r>
          </w:p>
        </w:tc>
        <w:tc>
          <w:tcPr/>
          <w:p>
            <w:pPr>
              <w:pStyle w:val="Compact"/>
              <w:jc w:val="left"/>
            </w:pPr>
            <w:r>
              <w:t xml:space="preserve">CI run &lt; 10 min; PSR/DSR in payload</w:t>
            </w:r>
          </w:p>
        </w:tc>
        <w:tc>
          <w:tcPr/>
          <w:p>
            <w:pPr>
              <w:pStyle w:val="Compact"/>
              <w:jc w:val="left"/>
            </w:pPr>
            <w:r>
              <w:t xml:space="preserve">CI failure rate &gt; 5%</w:t>
            </w:r>
          </w:p>
        </w:tc>
      </w:tr>
      <w:tr>
        <w:tc>
          <w:tcPr/>
          <w:p>
            <w:pPr>
              <w:pStyle w:val="Compact"/>
              <w:jc w:val="center"/>
            </w:pPr>
            <w:r>
              <w:t xml:space="preserve">3</w:t>
            </w:r>
          </w:p>
        </w:tc>
        <w:tc>
          <w:tcPr/>
          <w:p>
            <w:pPr>
              <w:pStyle w:val="Compact"/>
              <w:jc w:val="left"/>
            </w:pPr>
            <w:r>
              <w:t xml:space="preserve">P1</w:t>
            </w:r>
          </w:p>
        </w:tc>
        <w:tc>
          <w:tcPr/>
          <w:p>
            <w:pPr>
              <w:pStyle w:val="Compact"/>
              <w:jc w:val="left"/>
            </w:pPr>
            <w:r>
              <w:t xml:space="preserve">forward_wr pipeline fix</w:t>
            </w:r>
          </w:p>
        </w:tc>
        <w:tc>
          <w:tcPr/>
          <w:p>
            <w:pPr>
              <w:pStyle w:val="Compact"/>
              <w:jc w:val="left"/>
            </w:pPr>
            <w:r>
              <w:t xml:space="preserve">Engineering</w:t>
            </w:r>
          </w:p>
        </w:tc>
        <w:tc>
          <w:tcPr/>
          <w:p>
            <w:pPr>
              <w:pStyle w:val="Compact"/>
              <w:jc w:val="left"/>
            </w:pPr>
            <w:r>
              <w:t xml:space="preserve">track_wr on 100% of picks</w:t>
            </w:r>
          </w:p>
        </w:tc>
        <w:tc>
          <w:tcPr/>
          <w:p>
            <w:pPr>
              <w:pStyle w:val="Compact"/>
              <w:jc w:val="left"/>
            </w:pPr>
            <w:r>
              <w:t xml:space="preserve">Gate 3 inoperative after deploy</w:t>
            </w:r>
          </w:p>
        </w:tc>
      </w:tr>
      <w:tr>
        <w:tc>
          <w:tcPr/>
          <w:p>
            <w:pPr>
              <w:pStyle w:val="Compact"/>
              <w:jc w:val="center"/>
            </w:pPr>
            <w:r>
              <w:t xml:space="preserve">4</w:t>
            </w:r>
          </w:p>
        </w:tc>
        <w:tc>
          <w:tcPr/>
          <w:p>
            <w:pPr>
              <w:pStyle w:val="Compact"/>
              <w:jc w:val="left"/>
            </w:pPr>
            <w:r>
              <w:t xml:space="preserve">P1</w:t>
            </w:r>
          </w:p>
        </w:tc>
        <w:tc>
          <w:tcPr/>
          <w:p>
            <w:pPr>
              <w:pStyle w:val="Compact"/>
              <w:jc w:val="left"/>
            </w:pPr>
            <w:r>
              <w:t xml:space="preserve">Decay tracker + auto-demotion</w:t>
            </w:r>
          </w:p>
        </w:tc>
        <w:tc>
          <w:tcPr/>
          <w:p>
            <w:pPr>
              <w:pStyle w:val="Compact"/>
              <w:jc w:val="left"/>
            </w:pPr>
            <w:r>
              <w:t xml:space="preserve">Quant</w:t>
            </w:r>
          </w:p>
        </w:tc>
        <w:tc>
          <w:tcPr/>
          <w:p>
            <w:pPr>
              <w:pStyle w:val="Compact"/>
              <w:jc w:val="left"/>
            </w:pPr>
            <w:r>
              <w:t xml:space="preserve">A-Tier &gt; 72h demoted; vintage alerts active</w:t>
            </w:r>
          </w:p>
        </w:tc>
        <w:tc>
          <w:tcPr/>
          <w:p>
            <w:pPr>
              <w:pStyle w:val="Compact"/>
              <w:jc w:val="left"/>
            </w:pPr>
            <w:r>
              <w:t xml:space="preserve">Demotion misfiring &gt; 2x/day</w:t>
            </w:r>
          </w:p>
        </w:tc>
      </w:tr>
      <w:tr>
        <w:tc>
          <w:tcPr/>
          <w:p>
            <w:pPr>
              <w:pStyle w:val="Compact"/>
              <w:jc w:val="center"/>
            </w:pPr>
            <w:r>
              <w:t xml:space="preserve">4</w:t>
            </w:r>
          </w:p>
        </w:tc>
        <w:tc>
          <w:tcPr/>
          <w:p>
            <w:pPr>
              <w:pStyle w:val="Compact"/>
              <w:jc w:val="left"/>
            </w:pPr>
            <w:r>
              <w:t xml:space="preserve">P1</w:t>
            </w:r>
          </w:p>
        </w:tc>
        <w:tc>
          <w:tcPr/>
          <w:p>
            <w:pPr>
              <w:pStyle w:val="Compact"/>
              <w:jc w:val="left"/>
            </w:pPr>
            <w:r>
              <w:t xml:space="preserve">Vol targeting + Kelly sizing (f = 0.25)</w:t>
            </w:r>
          </w:p>
        </w:tc>
        <w:tc>
          <w:tcPr/>
          <w:p>
            <w:pPr>
              <w:pStyle w:val="Compact"/>
              <w:jc w:val="left"/>
            </w:pPr>
            <w:r>
              <w:t xml:space="preserve">Risk</w:t>
            </w:r>
          </w:p>
        </w:tc>
        <w:tc>
          <w:tcPr/>
          <w:p>
            <w:pPr>
              <w:pStyle w:val="Compact"/>
              <w:jc w:val="left"/>
            </w:pPr>
            <w:r>
              <w:t xml:space="preserve">Vol 15% ± 2%; daily sizing update</w:t>
            </w:r>
          </w:p>
        </w:tc>
        <w:tc>
          <w:tcPr/>
          <w:p>
            <w:pPr>
              <w:pStyle w:val="Compact"/>
              <w:jc w:val="left"/>
            </w:pPr>
            <w:r>
              <w:t xml:space="preserve">Vol &gt; 20% for 3+ consecutive days</w:t>
            </w:r>
          </w:p>
        </w:tc>
      </w:tr>
      <w:tr>
        <w:tc>
          <w:tcPr/>
          <w:p>
            <w:pPr>
              <w:pStyle w:val="Compact"/>
              <w:jc w:val="center"/>
            </w:pPr>
            <w:r>
              <w:t xml:space="preserve">5</w:t>
            </w:r>
          </w:p>
        </w:tc>
        <w:tc>
          <w:tcPr/>
          <w:p>
            <w:pPr>
              <w:pStyle w:val="Compact"/>
              <w:jc w:val="left"/>
            </w:pPr>
            <w:r>
              <w:t xml:space="preserve">P2</w:t>
            </w:r>
          </w:p>
        </w:tc>
        <w:tc>
          <w:tcPr/>
          <w:p>
            <w:pPr>
              <w:pStyle w:val="Compact"/>
              <w:jc w:val="left"/>
            </w:pPr>
            <w:r>
              <w:t xml:space="preserve">HRP allocator deploy</w:t>
            </w:r>
          </w:p>
        </w:tc>
        <w:tc>
          <w:tcPr/>
          <w:p>
            <w:pPr>
              <w:pStyle w:val="Compact"/>
              <w:jc w:val="left"/>
            </w:pPr>
            <w:r>
              <w:t xml:space="preserve">Portfolio</w:t>
            </w:r>
          </w:p>
        </w:tc>
        <w:tc>
          <w:tcPr/>
          <w:p>
            <w:pPr>
              <w:pStyle w:val="Compact"/>
              <w:jc w:val="left"/>
            </w:pPr>
            <w:r>
              <w:t xml:space="preserve">Tracking error &lt; 3% vs. CIO blend</w:t>
            </w:r>
          </w:p>
        </w:tc>
        <w:tc>
          <w:tcPr/>
          <w:p>
            <w:pPr>
              <w:pStyle w:val="Compact"/>
              <w:jc w:val="left"/>
            </w:pPr>
            <w:r>
              <w:t xml:space="preserve">Hard constraint violation</w:t>
            </w:r>
          </w:p>
        </w:tc>
      </w:tr>
      <w:tr>
        <w:tc>
          <w:tcPr/>
          <w:p>
            <w:pPr>
              <w:pStyle w:val="Compact"/>
              <w:jc w:val="center"/>
            </w:pPr>
            <w:r>
              <w:t xml:space="preserve">5–6</w:t>
            </w:r>
          </w:p>
        </w:tc>
        <w:tc>
          <w:tcPr/>
          <w:p>
            <w:pPr>
              <w:pStyle w:val="Compact"/>
              <w:jc w:val="left"/>
            </w:pPr>
            <w:r>
              <w:t xml:space="preserve">P2</w:t>
            </w:r>
          </w:p>
        </w:tc>
        <w:tc>
          <w:tcPr/>
          <w:p>
            <w:pPr>
              <w:pStyle w:val="Compact"/>
              <w:jc w:val="left"/>
            </w:pPr>
            <w:r>
              <w:t xml:space="preserve">Crypto perp arb shadow mode</w:t>
            </w:r>
          </w:p>
        </w:tc>
        <w:tc>
          <w:tcPr/>
          <w:p>
            <w:pPr>
              <w:pStyle w:val="Compact"/>
              <w:jc w:val="left"/>
            </w:pPr>
            <w:r>
              <w:t xml:space="preserve">Trading Ops</w:t>
            </w:r>
          </w:p>
        </w:tc>
        <w:tc>
          <w:tcPr/>
          <w:p>
            <w:pPr>
              <w:pStyle w:val="Compact"/>
              <w:jc w:val="left"/>
            </w:pPr>
            <w:r>
              <w:t xml:space="preserve">Shadow PF &gt; 3.0 at n ≥ 10</w:t>
            </w:r>
          </w:p>
        </w:tc>
        <w:tc>
          <w:tcPr/>
          <w:p>
            <w:pPr>
              <w:pStyle w:val="Compact"/>
              <w:jc w:val="left"/>
            </w:pPr>
            <w:r>
              <w:t xml:space="preserve">Shadow PF &lt; 1.5 at n ≥ 10</w:t>
            </w:r>
          </w:p>
        </w:tc>
      </w:tr>
      <w:tr>
        <w:tc>
          <w:tcPr/>
          <w:p>
            <w:pPr>
              <w:pStyle w:val="Compact"/>
              <w:jc w:val="center"/>
            </w:pPr>
            <w:r>
              <w:t xml:space="preserve">7</w:t>
            </w:r>
          </w:p>
        </w:tc>
        <w:tc>
          <w:tcPr/>
          <w:p>
            <w:pPr>
              <w:pStyle w:val="Compact"/>
              <w:jc w:val="left"/>
            </w:pPr>
            <w:r>
              <w:t xml:space="preserve">P2</w:t>
            </w:r>
          </w:p>
        </w:tc>
        <w:tc>
          <w:tcPr/>
          <w:p>
            <w:pPr>
              <w:pStyle w:val="Compact"/>
              <w:jc w:val="left"/>
            </w:pPr>
            <w:r>
              <w:t xml:space="preserve">Crypto perp arb live at 0.25×</w:t>
            </w:r>
          </w:p>
        </w:tc>
        <w:tc>
          <w:tcPr/>
          <w:p>
            <w:pPr>
              <w:pStyle w:val="Compact"/>
              <w:jc w:val="left"/>
            </w:pPr>
            <w:r>
              <w:t xml:space="preserve">Trading Ops</w:t>
            </w:r>
          </w:p>
        </w:tc>
        <w:tc>
          <w:tcPr/>
          <w:p>
            <w:pPr>
              <w:pStyle w:val="Compact"/>
              <w:jc w:val="left"/>
            </w:pPr>
            <w:r>
              <w:t xml:space="preserve">Live execution on 2+ exchanges</w:t>
            </w:r>
          </w:p>
        </w:tc>
        <w:tc>
          <w:tcPr/>
          <w:p>
            <w:pPr>
              <w:pStyle w:val="Compact"/>
              <w:jc w:val="left"/>
            </w:pPr>
            <w:r>
              <w:t xml:space="preserve">Slippage &gt; 2× estimate</w:t>
            </w:r>
          </w:p>
        </w:tc>
      </w:tr>
      <w:tr>
        <w:tc>
          <w:tcPr/>
          <w:p>
            <w:pPr>
              <w:pStyle w:val="Compact"/>
              <w:jc w:val="center"/>
            </w:pPr>
            <w:r>
              <w:t xml:space="preserve">6–7</w:t>
            </w:r>
          </w:p>
        </w:tc>
        <w:tc>
          <w:tcPr/>
          <w:p>
            <w:pPr>
              <w:pStyle w:val="Compact"/>
              <w:jc w:val="left"/>
            </w:pPr>
            <w:r>
              <w:t xml:space="preserve">P2</w:t>
            </w:r>
          </w:p>
        </w:tc>
        <w:tc>
          <w:tcPr/>
          <w:p>
            <w:pPr>
              <w:pStyle w:val="Compact"/>
              <w:jc w:val="left"/>
            </w:pPr>
            <w:r>
              <w:t xml:space="preserve">Forex carry + CEF NAV launch</w:t>
            </w:r>
          </w:p>
        </w:tc>
        <w:tc>
          <w:tcPr/>
          <w:p>
            <w:pPr>
              <w:pStyle w:val="Compact"/>
              <w:jc w:val="left"/>
            </w:pPr>
            <w:r>
              <w:t xml:space="preserve">Quant</w:t>
            </w:r>
          </w:p>
        </w:tc>
        <w:tc>
          <w:tcPr/>
          <w:p>
            <w:pPr>
              <w:pStyle w:val="Compact"/>
              <w:jc w:val="left"/>
            </w:pPr>
            <w:r>
              <w:t xml:space="preserve">≥ 3 forex picks/week; CEF balanced</w:t>
            </w:r>
          </w:p>
        </w:tc>
        <w:tc>
          <w:tcPr/>
          <w:p>
            <w:pPr>
              <w:pStyle w:val="Compact"/>
              <w:jc w:val="left"/>
            </w:pPr>
            <w:r>
              <w:t xml:space="preserve">Combined PF &lt; 1.0 at n ≥ 15</w:t>
            </w:r>
          </w:p>
        </w:tc>
      </w:tr>
      <w:tr>
        <w:tc>
          <w:tcPr/>
          <w:p>
            <w:pPr>
              <w:pStyle w:val="Compact"/>
              <w:jc w:val="center"/>
            </w:pPr>
            <w:r>
              <w:t xml:space="preserve">8</w:t>
            </w:r>
          </w:p>
        </w:tc>
        <w:tc>
          <w:tcPr/>
          <w:p>
            <w:pPr>
              <w:pStyle w:val="Compact"/>
              <w:jc w:val="left"/>
            </w:pPr>
            <w:r>
              <w:t xml:space="preserve">P2</w:t>
            </w:r>
          </w:p>
        </w:tc>
        <w:tc>
          <w:tcPr/>
          <w:p>
            <w:pPr>
              <w:pStyle w:val="Compact"/>
              <w:jc w:val="left"/>
            </w:pPr>
            <w:r>
              <w:t xml:space="preserve">Regime gate + correlation gate</w:t>
            </w:r>
          </w:p>
        </w:tc>
        <w:tc>
          <w:tcPr/>
          <w:p>
            <w:pPr>
              <w:pStyle w:val="Compact"/>
              <w:jc w:val="left"/>
            </w:pPr>
            <w:r>
              <w:t xml:space="preserve">Risk</w:t>
            </w:r>
          </w:p>
        </w:tc>
        <w:tc>
          <w:tcPr/>
          <w:p>
            <w:pPr>
              <w:pStyle w:val="Compact"/>
              <w:jc w:val="left"/>
            </w:pPr>
            <w:r>
              <w:t xml:space="preserve">HMM accuracy &gt; 70%; response &lt; 1 day</w:t>
            </w:r>
          </w:p>
        </w:tc>
        <w:tc>
          <w:tcPr/>
          <w:p>
            <w:pPr>
              <w:pStyle w:val="Compact"/>
              <w:jc w:val="left"/>
            </w:pPr>
            <w:r>
              <w:t xml:space="preserve">Misclassification &gt; 40%</w:t>
            </w:r>
          </w:p>
        </w:tc>
      </w:tr>
      <w:tr>
        <w:tc>
          <w:tcPr/>
          <w:p>
            <w:pPr>
              <w:pStyle w:val="Compact"/>
              <w:jc w:val="center"/>
            </w:pPr>
            <w:r>
              <w:t xml:space="preserve">8</w:t>
            </w:r>
          </w:p>
        </w:tc>
        <w:tc>
          <w:tcPr/>
          <w:p>
            <w:pPr>
              <w:pStyle w:val="Compact"/>
              <w:jc w:val="left"/>
            </w:pPr>
            <w:r>
              <w:t xml:space="preserve">P2</w:t>
            </w:r>
          </w:p>
        </w:tc>
        <w:tc>
          <w:tcPr/>
          <w:p>
            <w:pPr>
              <w:pStyle w:val="Compact"/>
              <w:jc w:val="left"/>
            </w:pPr>
            <w:r>
              <w:rPr>
                <w:bCs/>
                <w:b/>
              </w:rPr>
              <w:t xml:space="preserve">Golden Portfolio live</w:t>
            </w:r>
          </w:p>
        </w:tc>
        <w:tc>
          <w:tcPr/>
          <w:p>
            <w:pPr>
              <w:pStyle w:val="Compact"/>
              <w:jc w:val="left"/>
            </w:pPr>
            <w:r>
              <w:t xml:space="preserve">CIO</w:t>
            </w:r>
          </w:p>
        </w:tc>
        <w:tc>
          <w:tcPr/>
          <w:p>
            <w:pPr>
              <w:pStyle w:val="Compact"/>
              <w:jc w:val="left"/>
            </w:pPr>
            <w:r>
              <w:t xml:space="preserve">PF &gt; 5.0, WR &gt; 65%, MDD &lt; 15%</w:t>
            </w:r>
          </w:p>
        </w:tc>
        <w:tc>
          <w:tcPr/>
          <w:p>
            <w:pPr>
              <w:pStyle w:val="Compact"/>
              <w:jc w:val="left"/>
            </w:pPr>
            <w:r>
              <w:t xml:space="preserve">PF &lt; 3.0 or MDD &gt; 18%</w:t>
            </w:r>
          </w:p>
        </w:tc>
      </w:tr>
      <w:tr>
        <w:tc>
          <w:tcPr/>
          <w:p>
            <w:pPr>
              <w:pStyle w:val="Compact"/>
              <w:jc w:val="center"/>
            </w:pPr>
            <w:r>
              <w:t xml:space="preserve">9–10</w:t>
            </w:r>
          </w:p>
        </w:tc>
        <w:tc>
          <w:tcPr/>
          <w:p>
            <w:pPr>
              <w:pStyle w:val="Compact"/>
              <w:jc w:val="left"/>
            </w:pPr>
            <w:r>
              <w:t xml:space="preserve">P3</w:t>
            </w:r>
          </w:p>
        </w:tc>
        <w:tc>
          <w:tcPr/>
          <w:p>
            <w:pPr>
              <w:pStyle w:val="Compact"/>
              <w:jc w:val="left"/>
            </w:pPr>
            <w:r>
              <w:t xml:space="preserve">1,000 bootstrap, PSR &gt; 0.95, DSR &gt; 0.95</w:t>
            </w:r>
          </w:p>
        </w:tc>
        <w:tc>
          <w:tcPr/>
          <w:p>
            <w:pPr>
              <w:pStyle w:val="Compact"/>
              <w:jc w:val="left"/>
            </w:pPr>
            <w:r>
              <w:t xml:space="preserve">Data Eng</w:t>
            </w:r>
          </w:p>
        </w:tc>
        <w:tc>
          <w:tcPr/>
          <w:p>
            <w:pPr>
              <w:pStyle w:val="Compact"/>
              <w:jc w:val="left"/>
            </w:pPr>
            <w:r>
              <w:t xml:space="preserve">All T1 clear both thresholds</w:t>
            </w:r>
          </w:p>
        </w:tc>
        <w:tc>
          <w:tcPr/>
          <w:p>
            <w:pPr>
              <w:pStyle w:val="Compact"/>
              <w:jc w:val="left"/>
            </w:pPr>
            <w:r>
              <w:t xml:space="preserve">Any T1 PSR &lt; 0.90</w:t>
            </w:r>
          </w:p>
        </w:tc>
      </w:tr>
      <w:tr>
        <w:tc>
          <w:tcPr/>
          <w:p>
            <w:pPr>
              <w:pStyle w:val="Compact"/>
              <w:jc w:val="center"/>
            </w:pPr>
            <w:r>
              <w:t xml:space="preserve">9–11</w:t>
            </w:r>
          </w:p>
        </w:tc>
        <w:tc>
          <w:tcPr/>
          <w:p>
            <w:pPr>
              <w:pStyle w:val="Compact"/>
              <w:jc w:val="left"/>
            </w:pPr>
            <w:r>
              <w:t xml:space="preserve">P3</w:t>
            </w:r>
          </w:p>
        </w:tc>
        <w:tc>
          <w:tcPr/>
          <w:p>
            <w:pPr>
              <w:pStyle w:val="Compact"/>
              <w:jc w:val="left"/>
            </w:pPr>
            <w:r>
              <w:t xml:space="preserve">8 researcher personas deploy</w:t>
            </w:r>
          </w:p>
        </w:tc>
        <w:tc>
          <w:tcPr/>
          <w:p>
            <w:pPr>
              <w:pStyle w:val="Compact"/>
              <w:jc w:val="left"/>
            </w:pPr>
            <w:r>
              <w:t xml:space="preserve">ML/Research</w:t>
            </w:r>
          </w:p>
        </w:tc>
        <w:tc>
          <w:tcPr/>
          <w:p>
            <w:pPr>
              <w:pStyle w:val="Compact"/>
              <w:jc w:val="left"/>
            </w:pPr>
            <w:r>
              <w:t xml:space="preserve">Daily runs; ≥ 2 alerts/week</w:t>
            </w:r>
          </w:p>
        </w:tc>
        <w:tc>
          <w:tcPr/>
          <w:p>
            <w:pPr>
              <w:pStyle w:val="Compact"/>
              <w:jc w:val="left"/>
            </w:pPr>
            <w:r>
              <w:t xml:space="preserve">Persona error rate &gt; 10%</w:t>
            </w:r>
          </w:p>
        </w:tc>
      </w:tr>
      <w:tr>
        <w:tc>
          <w:tcPr/>
          <w:p>
            <w:pPr>
              <w:pStyle w:val="Compact"/>
              <w:jc w:val="center"/>
            </w:pPr>
            <w:r>
              <w:t xml:space="preserve">10–11</w:t>
            </w:r>
          </w:p>
        </w:tc>
        <w:tc>
          <w:tcPr/>
          <w:p>
            <w:pPr>
              <w:pStyle w:val="Compact"/>
              <w:jc w:val="left"/>
            </w:pPr>
            <w:r>
              <w:t xml:space="preserve">P3</w:t>
            </w:r>
          </w:p>
        </w:tc>
        <w:tc>
          <w:tcPr/>
          <w:p>
            <w:pPr>
              <w:pStyle w:val="Compact"/>
              <w:jc w:val="left"/>
            </w:pPr>
            <w:r>
              <w:t xml:space="preserve">Cost gate (net-of-cost PF filter)</w:t>
            </w:r>
          </w:p>
        </w:tc>
        <w:tc>
          <w:tcPr/>
          <w:p>
            <w:pPr>
              <w:pStyle w:val="Compact"/>
              <w:jc w:val="left"/>
            </w:pPr>
            <w:r>
              <w:t xml:space="preserve">Quant</w:t>
            </w:r>
          </w:p>
        </w:tc>
        <w:tc>
          <w:tcPr/>
          <w:p>
            <w:pPr>
              <w:pStyle w:val="Compact"/>
              <w:jc w:val="left"/>
            </w:pPr>
            <w:r>
              <w:t xml:space="preserve">No strategy net PF &lt; 1.2</w:t>
            </w:r>
          </w:p>
        </w:tc>
        <w:tc>
          <w:tcPr/>
          <w:p>
            <w:pPr>
              <w:pStyle w:val="Compact"/>
              <w:jc w:val="left"/>
            </w:pPr>
            <w:r>
              <w:t xml:space="preserve">Cost model invalid vs. execution data</w:t>
            </w:r>
          </w:p>
        </w:tc>
      </w:tr>
      <w:tr>
        <w:tc>
          <w:tcPr/>
          <w:p>
            <w:pPr>
              <w:pStyle w:val="Compact"/>
              <w:jc w:val="center"/>
            </w:pPr>
            <w:r>
              <w:t xml:space="preserve">12</w:t>
            </w:r>
          </w:p>
        </w:tc>
        <w:tc>
          <w:tcPr/>
          <w:p>
            <w:pPr>
              <w:pStyle w:val="Compact"/>
              <w:jc w:val="left"/>
            </w:pPr>
            <w:r>
              <w:t xml:space="preserve">P3</w:t>
            </w:r>
          </w:p>
        </w:tc>
        <w:tc>
          <w:tcPr/>
          <w:p>
            <w:pPr>
              <w:pStyle w:val="Compact"/>
              <w:jc w:val="left"/>
            </w:pPr>
            <w:r>
              <w:t xml:space="preserve">Go/no-go + audit docs</w:t>
            </w:r>
          </w:p>
        </w:tc>
        <w:tc>
          <w:tcPr/>
          <w:p>
            <w:pPr>
              <w:pStyle w:val="Compact"/>
              <w:jc w:val="left"/>
            </w:pPr>
            <w:r>
              <w:t xml:space="preserve">CIO</w:t>
            </w:r>
          </w:p>
        </w:tc>
        <w:tc>
          <w:tcPr/>
          <w:p>
            <w:pPr>
              <w:pStyle w:val="Compact"/>
              <w:jc w:val="left"/>
            </w:pPr>
            <w:r>
              <w:t xml:space="preserve">All 4 Phase 3 gates satisfied</w:t>
            </w:r>
          </w:p>
        </w:tc>
        <w:tc>
          <w:tcPr/>
          <w:p>
            <w:pPr>
              <w:pStyle w:val="Compact"/>
              <w:jc w:val="left"/>
            </w:pPr>
            <w:r>
              <w:t xml:space="preserve">Any gate failure → return to P2</w:t>
            </w:r>
          </w:p>
        </w:tc>
      </w:tr>
    </w:tbl>
    <w:p>
      <w:pPr>
        <w:pStyle w:val="BodyText"/>
      </w:pPr>
      <w:r>
        <w:t xml:space="preserve">The roadmap consolidates 16 discrete deliverables, each with a named owner and explicit pass/fail criteria. Abort triggers are hard stops that automatically halt capital deployment until remediation is verified. Checkpoint density is highest in Weeks 1–4, reflecting elevated operational risk during infrastructure deployment; Weeks 9–12 shift focus to statistical validation.</w:t>
      </w:r>
    </w:p>
    <w:p>
      <w:pPr>
        <w:pStyle w:val="BodyText"/>
      </w:pPr>
      <w:r>
        <w:rPr>
          <w:bCs/>
          <w:b/>
        </w:rPr>
        <w:t xml:space="preserve">Table 9.2: Risk Management Checkpoint Matrix</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Checkpoint</w:t>
            </w:r>
          </w:p>
        </w:tc>
        <w:tc>
          <w:tcPr/>
          <w:p>
            <w:pPr>
              <w:pStyle w:val="Compact"/>
              <w:jc w:val="left"/>
            </w:pPr>
            <w:r>
              <w:t xml:space="preserve">Trigger</w:t>
            </w:r>
          </w:p>
        </w:tc>
        <w:tc>
          <w:tcPr/>
          <w:p>
            <w:pPr>
              <w:pStyle w:val="Compact"/>
              <w:jc w:val="left"/>
            </w:pPr>
            <w:r>
              <w:t xml:space="preserve">Action</w:t>
            </w:r>
          </w:p>
        </w:tc>
        <w:tc>
          <w:tcPr/>
          <w:p>
            <w:pPr>
              <w:pStyle w:val="Compact"/>
              <w:jc w:val="left"/>
            </w:pPr>
            <w:r>
              <w:t xml:space="preserve">Escalation Path</w:t>
            </w:r>
          </w:p>
        </w:tc>
        <w:tc>
          <w:tcPr/>
          <w:p>
            <w:pPr>
              <w:pStyle w:val="Compact"/>
              <w:jc w:val="left"/>
            </w:pPr>
            <w:r>
              <w:t xml:space="preserve">Recovery Criteria</w:t>
            </w:r>
          </w:p>
        </w:tc>
      </w:tr>
      <w:tr>
        <w:tc>
          <w:tcPr/>
          <w:p>
            <w:pPr>
              <w:pStyle w:val="Compact"/>
              <w:jc w:val="left"/>
            </w:pPr>
            <w:r>
              <w:t xml:space="preserve">Kill-switch GREEN</w:t>
            </w:r>
          </w:p>
        </w:tc>
        <w:tc>
          <w:tcPr/>
          <w:p>
            <w:pPr>
              <w:pStyle w:val="Compact"/>
              <w:jc w:val="left"/>
            </w:pPr>
            <w:r>
              <w:t xml:space="preserve">PF &gt; 2.0 and WR &gt; 55%</w:t>
            </w:r>
          </w:p>
        </w:tc>
        <w:tc>
          <w:tcPr/>
          <w:p>
            <w:pPr>
              <w:pStyle w:val="Compact"/>
              <w:jc w:val="left"/>
            </w:pPr>
            <w:r>
              <w:t xml:space="preserve">Full allocation</w:t>
            </w:r>
          </w:p>
        </w:tc>
        <w:tc>
          <w:tcPr/>
          <w:p>
            <w:pPr>
              <w:pStyle w:val="Compact"/>
              <w:jc w:val="left"/>
            </w:pPr>
            <w:r>
              <w:t xml:space="preserve">None</w:t>
            </w:r>
          </w:p>
        </w:tc>
        <w:tc>
          <w:tcPr/>
          <w:p>
            <w:pPr>
              <w:pStyle w:val="Compact"/>
              <w:jc w:val="left"/>
            </w:pPr>
            <w:r>
              <w:t xml:space="preserve">Sustained 3+ days</w:t>
            </w:r>
          </w:p>
        </w:tc>
      </w:tr>
      <w:tr>
        <w:tc>
          <w:tcPr/>
          <w:p>
            <w:pPr>
              <w:pStyle w:val="Compact"/>
              <w:jc w:val="left"/>
            </w:pPr>
            <w:r>
              <w:t xml:space="preserve">Kill-switch YELLOW</w:t>
            </w:r>
          </w:p>
        </w:tc>
        <w:tc>
          <w:tcPr/>
          <w:p>
            <w:pPr>
              <w:pStyle w:val="Compact"/>
              <w:jc w:val="left"/>
            </w:pPr>
            <w:r>
              <w:t xml:space="preserve">PF 1.5–2.0 or WR 50–55%</w:t>
            </w:r>
          </w:p>
        </w:tc>
        <w:tc>
          <w:tcPr/>
          <w:p>
            <w:pPr>
              <w:pStyle w:val="Compact"/>
              <w:jc w:val="left"/>
            </w:pPr>
            <w:r>
              <w:t xml:space="preserve">Reduce 25%</w:t>
            </w:r>
          </w:p>
        </w:tc>
        <w:tc>
          <w:tcPr/>
          <w:p>
            <w:pPr>
              <w:pStyle w:val="Compact"/>
              <w:jc w:val="left"/>
            </w:pPr>
            <w:r>
              <w:t xml:space="preserve">Risk team alert</w:t>
            </w:r>
          </w:p>
        </w:tc>
        <w:tc>
          <w:tcPr/>
          <w:p>
            <w:pPr>
              <w:pStyle w:val="Compact"/>
              <w:jc w:val="left"/>
            </w:pPr>
            <w:r>
              <w:t xml:space="preserve">PF &gt; 2.0 or WR &gt; 55% for 2+ days</w:t>
            </w:r>
          </w:p>
        </w:tc>
      </w:tr>
      <w:tr>
        <w:tc>
          <w:tcPr/>
          <w:p>
            <w:pPr>
              <w:pStyle w:val="Compact"/>
              <w:jc w:val="left"/>
            </w:pPr>
            <w:r>
              <w:t xml:space="preserve">Kill-switch AMBER</w:t>
            </w:r>
          </w:p>
        </w:tc>
        <w:tc>
          <w:tcPr/>
          <w:p>
            <w:pPr>
              <w:pStyle w:val="Compact"/>
              <w:jc w:val="left"/>
            </w:pPr>
            <w:r>
              <w:t xml:space="preserve">PF 1.2–1.5 or WR 45–50%</w:t>
            </w:r>
          </w:p>
        </w:tc>
        <w:tc>
          <w:tcPr/>
          <w:p>
            <w:pPr>
              <w:pStyle w:val="Compact"/>
              <w:jc w:val="left"/>
            </w:pPr>
            <w:r>
              <w:t xml:space="preserve">Reduce 50%</w:t>
            </w:r>
          </w:p>
        </w:tc>
        <w:tc>
          <w:tcPr/>
          <w:p>
            <w:pPr>
              <w:pStyle w:val="Compact"/>
              <w:jc w:val="left"/>
            </w:pPr>
            <w:r>
              <w:t xml:space="preserve">CIO notification</w:t>
            </w:r>
          </w:p>
        </w:tc>
        <w:tc>
          <w:tcPr/>
          <w:p>
            <w:pPr>
              <w:pStyle w:val="Compact"/>
              <w:jc w:val="left"/>
            </w:pPr>
            <w:r>
              <w:t xml:space="preserve">PF &gt; 1.5 or WR &gt; 50% for 3+ days</w:t>
            </w:r>
          </w:p>
        </w:tc>
      </w:tr>
      <w:tr>
        <w:tc>
          <w:tcPr/>
          <w:p>
            <w:pPr>
              <w:pStyle w:val="Compact"/>
              <w:jc w:val="left"/>
            </w:pPr>
            <w:r>
              <w:t xml:space="preserve">Kill-switch RED</w:t>
            </w:r>
          </w:p>
        </w:tc>
        <w:tc>
          <w:tcPr/>
          <w:p>
            <w:pPr>
              <w:pStyle w:val="Compact"/>
              <w:jc w:val="left"/>
            </w:pPr>
            <w:r>
              <w:t xml:space="preserve">PF &lt; 1.2 or WR &lt; 45%</w:t>
            </w:r>
          </w:p>
        </w:tc>
        <w:tc>
          <w:tcPr/>
          <w:p>
            <w:pPr>
              <w:pStyle w:val="Compact"/>
              <w:jc w:val="left"/>
            </w:pPr>
            <w:r>
              <w:t xml:space="preserve">Reduce 75%</w:t>
            </w:r>
          </w:p>
        </w:tc>
        <w:tc>
          <w:tcPr/>
          <w:p>
            <w:pPr>
              <w:pStyle w:val="Compact"/>
              <w:jc w:val="left"/>
            </w:pPr>
            <w:r>
              <w:t xml:space="preserve">Emergency review</w:t>
            </w:r>
          </w:p>
        </w:tc>
        <w:tc>
          <w:tcPr/>
          <w:p>
            <w:pPr>
              <w:pStyle w:val="Compact"/>
              <w:jc w:val="left"/>
            </w:pPr>
            <w:r>
              <w:t xml:space="preserve">PF &gt; 1.2 or WR &gt; 45% for 5+ days</w:t>
            </w:r>
          </w:p>
        </w:tc>
      </w:tr>
      <w:tr>
        <w:tc>
          <w:tcPr/>
          <w:p>
            <w:pPr>
              <w:pStyle w:val="Compact"/>
              <w:jc w:val="left"/>
            </w:pPr>
            <w:r>
              <w:t xml:space="preserve">Kill-switch BLACK</w:t>
            </w:r>
          </w:p>
        </w:tc>
        <w:tc>
          <w:tcPr/>
          <w:p>
            <w:pPr>
              <w:pStyle w:val="Compact"/>
              <w:jc w:val="left"/>
            </w:pPr>
            <w:r>
              <w:t xml:space="preserve">PF &lt; 1.0 or WR &lt; 40%</w:t>
            </w:r>
          </w:p>
        </w:tc>
        <w:tc>
          <w:tcPr/>
          <w:p>
            <w:pPr>
              <w:pStyle w:val="Compact"/>
              <w:jc w:val="left"/>
            </w:pPr>
            <w:r>
              <w:rPr>
                <w:bCs/>
                <w:b/>
              </w:rPr>
              <w:t xml:space="preserve">Full liquidation</w:t>
            </w:r>
          </w:p>
        </w:tc>
        <w:tc>
          <w:tcPr/>
          <w:p>
            <w:pPr>
              <w:pStyle w:val="Compact"/>
              <w:jc w:val="left"/>
            </w:pPr>
            <w:r>
              <w:t xml:space="preserve">Board notification</w:t>
            </w:r>
          </w:p>
        </w:tc>
        <w:tc>
          <w:tcPr/>
          <w:p>
            <w:pPr>
              <w:pStyle w:val="Compact"/>
              <w:jc w:val="left"/>
            </w:pPr>
            <w:r>
              <w:t xml:space="preserve">Full model review before restart</w:t>
            </w:r>
          </w:p>
        </w:tc>
      </w:tr>
      <w:tr>
        <w:tc>
          <w:tcPr/>
          <w:p>
            <w:pPr>
              <w:pStyle w:val="Compact"/>
              <w:jc w:val="left"/>
            </w:pPr>
            <w:r>
              <w:t xml:space="preserve">5% portfolio DD</w:t>
            </w:r>
          </w:p>
        </w:tc>
        <w:tc>
          <w:tcPr/>
          <w:p>
            <w:pPr>
              <w:pStyle w:val="Compact"/>
              <w:jc w:val="left"/>
            </w:pPr>
            <w:r>
              <w:t xml:space="preserve">Rolling 5% drawdown</w:t>
            </w:r>
          </w:p>
        </w:tc>
        <w:tc>
          <w:tcPr/>
          <w:p>
            <w:pPr>
              <w:pStyle w:val="Compact"/>
              <w:jc w:val="left"/>
            </w:pPr>
            <w:r>
              <w:t xml:space="preserve">Reduce 50% size</w:t>
            </w:r>
          </w:p>
        </w:tc>
        <w:tc>
          <w:tcPr/>
          <w:p>
            <w:pPr>
              <w:pStyle w:val="Compact"/>
              <w:jc w:val="left"/>
            </w:pPr>
            <w:r>
              <w:t xml:space="preserve">Risk auto-alert</w:t>
            </w:r>
          </w:p>
        </w:tc>
        <w:tc>
          <w:tcPr/>
          <w:p>
            <w:pPr>
              <w:pStyle w:val="Compact"/>
              <w:jc w:val="left"/>
            </w:pPr>
            <w:r>
              <w:t xml:space="preserve">DD &lt; 3% from peak</w:t>
            </w:r>
          </w:p>
        </w:tc>
      </w:tr>
      <w:tr>
        <w:tc>
          <w:tcPr/>
          <w:p>
            <w:pPr>
              <w:pStyle w:val="Compact"/>
              <w:jc w:val="left"/>
            </w:pPr>
            <w:r>
              <w:t xml:space="preserve">10% portfolio DD</w:t>
            </w:r>
          </w:p>
        </w:tc>
        <w:tc>
          <w:tcPr/>
          <w:p>
            <w:pPr>
              <w:pStyle w:val="Compact"/>
              <w:jc w:val="left"/>
            </w:pPr>
            <w:r>
              <w:t xml:space="preserve">Rolling 10% drawdown</w:t>
            </w:r>
          </w:p>
        </w:tc>
        <w:tc>
          <w:tcPr/>
          <w:p>
            <w:pPr>
              <w:pStyle w:val="Compact"/>
              <w:jc w:val="left"/>
            </w:pPr>
            <w:r>
              <w:rPr>
                <w:bCs/>
                <w:b/>
              </w:rPr>
              <w:t xml:space="preserve">Full halt review</w:t>
            </w:r>
          </w:p>
        </w:tc>
        <w:tc>
          <w:tcPr/>
          <w:p>
            <w:pPr>
              <w:pStyle w:val="Compact"/>
              <w:jc w:val="left"/>
            </w:pPr>
            <w:r>
              <w:t xml:space="preserve">CIO review within 24h</w:t>
            </w:r>
          </w:p>
        </w:tc>
        <w:tc>
          <w:tcPr/>
          <w:p>
            <w:pPr>
              <w:pStyle w:val="Compact"/>
              <w:jc w:val="left"/>
            </w:pPr>
            <w:r>
              <w:t xml:space="preserve">DD &lt; 7% + root cause documented</w:t>
            </w:r>
          </w:p>
        </w:tc>
      </w:tr>
      <w:tr>
        <w:tc>
          <w:tcPr/>
          <w:p>
            <w:pPr>
              <w:pStyle w:val="Compact"/>
              <w:jc w:val="left"/>
            </w:pPr>
            <w:r>
              <w:t xml:space="preserve">Asset class PF &lt; 0.80</w:t>
            </w:r>
          </w:p>
        </w:tc>
        <w:tc>
          <w:tcPr/>
          <w:p>
            <w:pPr>
              <w:pStyle w:val="Compact"/>
              <w:jc w:val="left"/>
            </w:pPr>
            <w:r>
              <w:t xml:space="preserve">Any class PF &lt; 0.80 for 5+ days</w:t>
            </w:r>
          </w:p>
        </w:tc>
        <w:tc>
          <w:tcPr/>
          <w:p>
            <w:pPr>
              <w:pStyle w:val="Compact"/>
              <w:jc w:val="left"/>
            </w:pPr>
            <w:r>
              <w:t xml:space="preserve">Zero that class</w:t>
            </w:r>
          </w:p>
        </w:tc>
        <w:tc>
          <w:tcPr/>
          <w:p>
            <w:pPr>
              <w:pStyle w:val="Compact"/>
              <w:jc w:val="left"/>
            </w:pPr>
            <w:r>
              <w:t xml:space="preserve">Quant investigation</w:t>
            </w:r>
          </w:p>
        </w:tc>
        <w:tc>
          <w:tcPr/>
          <w:p>
            <w:pPr>
              <w:pStyle w:val="Compact"/>
              <w:jc w:val="left"/>
            </w:pPr>
            <w:r>
              <w:t xml:space="preserve">PF &gt; 1.0 for 3+ consecutive days</w:t>
            </w:r>
          </w:p>
        </w:tc>
      </w:tr>
      <w:tr>
        <w:tc>
          <w:tcPr/>
          <w:p>
            <w:pPr>
              <w:pStyle w:val="Compact"/>
              <w:jc w:val="left"/>
            </w:pPr>
            <w:r>
              <w:t xml:space="preserve">Weekly ETF rebalance</w:t>
            </w:r>
          </w:p>
        </w:tc>
        <w:tc>
          <w:tcPr/>
          <w:p>
            <w:pPr>
              <w:pStyle w:val="Compact"/>
              <w:jc w:val="left"/>
            </w:pPr>
            <w:r>
              <w:t xml:space="preserve">Time-decay &gt; 5%</w:t>
            </w:r>
          </w:p>
        </w:tc>
        <w:tc>
          <w:tcPr/>
          <w:p>
            <w:pPr>
              <w:pStyle w:val="Compact"/>
              <w:jc w:val="left"/>
            </w:pPr>
            <w:r>
              <w:t xml:space="preserve">Rebalance ETFs</w:t>
            </w:r>
          </w:p>
        </w:tc>
        <w:tc>
          <w:tcPr/>
          <w:p>
            <w:pPr>
              <w:pStyle w:val="Compact"/>
              <w:jc w:val="left"/>
            </w:pPr>
            <w:r>
              <w:t xml:space="preserve">PM execution</w:t>
            </w:r>
          </w:p>
        </w:tc>
        <w:tc>
          <w:tcPr/>
          <w:p>
            <w:pPr>
              <w:pStyle w:val="Compact"/>
              <w:jc w:val="left"/>
            </w:pPr>
            <w:r>
              <w:t xml:space="preserve">Complete within 48h</w:t>
            </w:r>
          </w:p>
        </w:tc>
      </w:tr>
      <w:tr>
        <w:tc>
          <w:tcPr/>
          <w:p>
            <w:pPr>
              <w:pStyle w:val="Compact"/>
              <w:jc w:val="left"/>
            </w:pPr>
            <w:r>
              <w:t xml:space="preserve">Monthly equity rebalance</w:t>
            </w:r>
          </w:p>
        </w:tc>
        <w:tc>
          <w:tcPr/>
          <w:p>
            <w:pPr>
              <w:pStyle w:val="Compact"/>
              <w:jc w:val="left"/>
            </w:pPr>
            <w:r>
              <w:t xml:space="preserve">Signal maturity &gt; 30 days</w:t>
            </w:r>
          </w:p>
        </w:tc>
        <w:tc>
          <w:tcPr/>
          <w:p>
            <w:pPr>
              <w:pStyle w:val="Compact"/>
              <w:jc w:val="left"/>
            </w:pPr>
            <w:r>
              <w:t xml:space="preserve">Rebalance equities</w:t>
            </w:r>
          </w:p>
        </w:tc>
        <w:tc>
          <w:tcPr/>
          <w:p>
            <w:pPr>
              <w:pStyle w:val="Compact"/>
              <w:jc w:val="left"/>
            </w:pPr>
            <w:r>
              <w:t xml:space="preserve">PM execution</w:t>
            </w:r>
          </w:p>
        </w:tc>
        <w:tc>
          <w:tcPr/>
          <w:p>
            <w:pPr>
              <w:pStyle w:val="Compact"/>
              <w:jc w:val="left"/>
            </w:pPr>
            <w:r>
              <w:t xml:space="preserve">Complete within 72h</w:t>
            </w:r>
          </w:p>
        </w:tc>
      </w:tr>
      <w:tr>
        <w:tc>
          <w:tcPr/>
          <w:p>
            <w:pPr>
              <w:pStyle w:val="Compact"/>
              <w:jc w:val="left"/>
            </w:pPr>
            <w:r>
              <w:t xml:space="preserve">Schema integrity</w:t>
            </w:r>
          </w:p>
        </w:tc>
        <w:tc>
          <w:tcPr/>
          <w:p>
            <w:pPr>
              <w:pStyle w:val="Compact"/>
              <w:jc w:val="left"/>
            </w:pPr>
            <w:r>
              <w:t xml:space="preserve">Schema violation in resolver/filter</w:t>
            </w:r>
          </w:p>
        </w:tc>
        <w:tc>
          <w:tcPr/>
          <w:p>
            <w:pPr>
              <w:pStyle w:val="Compact"/>
              <w:jc w:val="left"/>
            </w:pPr>
            <w:r>
              <w:t xml:space="preserve">Block deployment</w:t>
            </w:r>
          </w:p>
        </w:tc>
        <w:tc>
          <w:tcPr/>
          <w:p>
            <w:pPr>
              <w:pStyle w:val="Compact"/>
              <w:jc w:val="left"/>
            </w:pPr>
            <w:r>
              <w:t xml:space="preserve">Engineering fix</w:t>
            </w:r>
          </w:p>
        </w:tc>
        <w:tc>
          <w:tcPr/>
          <w:p>
            <w:pPr>
              <w:pStyle w:val="Compact"/>
              <w:jc w:val="left"/>
            </w:pPr>
            <w:r>
              <w:t xml:space="preserve">CI passes; py_compile clean</w:t>
            </w:r>
          </w:p>
        </w:tc>
      </w:tr>
      <w:tr>
        <w:tc>
          <w:tcPr/>
          <w:p>
            <w:pPr>
              <w:pStyle w:val="Compact"/>
              <w:jc w:val="left"/>
            </w:pPr>
            <w:r>
              <w:t xml:space="preserve">PSR degradation</w:t>
            </w:r>
          </w:p>
        </w:tc>
        <w:tc>
          <w:tcPr/>
          <w:p>
            <w:pPr>
              <w:pStyle w:val="Compact"/>
              <w:jc w:val="left"/>
            </w:pPr>
            <w:r>
              <w:t xml:space="preserve">Any T1 asset PSR &lt; 0.90</w:t>
            </w:r>
          </w:p>
        </w:tc>
        <w:tc>
          <w:tcPr/>
          <w:p>
            <w:pPr>
              <w:pStyle w:val="Compact"/>
              <w:jc w:val="left"/>
            </w:pPr>
            <w:r>
              <w:t xml:space="preserve">Halt scaling</w:t>
            </w:r>
          </w:p>
        </w:tc>
        <w:tc>
          <w:tcPr/>
          <w:p>
            <w:pPr>
              <w:pStyle w:val="Compact"/>
              <w:jc w:val="left"/>
            </w:pPr>
            <w:r>
              <w:t xml:space="preserve">Quant recalibration</w:t>
            </w:r>
          </w:p>
        </w:tc>
        <w:tc>
          <w:tcPr/>
          <w:p>
            <w:pPr>
              <w:pStyle w:val="Compact"/>
              <w:jc w:val="left"/>
            </w:pPr>
            <w:r>
              <w:t xml:space="preserve">PSR &gt; 0.95 restored</w:t>
            </w:r>
          </w:p>
        </w:tc>
      </w:tr>
    </w:tbl>
    <w:p>
      <w:pPr>
        <w:pStyle w:val="BodyText"/>
      </w:pPr>
      <w:r>
        <w:t xml:space="preserve">The checkpoint matrix provides twelve control points operating continuously across all phases. The kill-switch ladder escalates from normal operations (GREEN) through four restrictive states to full liquidation (BLACK). The 5% and 10% drawdown triggers protect against tail events that PF-based monitoring may not capture quickly enough. The asset-class PF &lt; 0.80 trigger prevents a single failing sleeve from contaminating portfolio metrics — the mechanism that would have eliminated C-Tier had it been operational from inception.</w:t>
      </w:r>
    </w:p>
    <w:p>
      <w:pPr>
        <w:pStyle w:val="BodyText"/>
      </w:pPr>
      <w:r>
        <w:t xml:space="preserve">Rebalancing cadence reflects differing signal half-lives. ETFs require weekly rebalancing (5% time-decay threshold) as their edge erodes gradually but persistently</w:t>
      </w:r>
      <w:r>
        <w:t xml:space="preserve"> </w:t>
      </w:r>
      <w:r>
        <w:rPr>
          <w:rStyle w:val="FootnoteReference"/>
        </w:rPr>
        <w:footnoteReference w:id="381"/>
      </w:r>
      <w:r>
        <w:t xml:space="preserve">. Equities require only monthly rebalancing (30-day signal maturity) — their alpha is more durable, and excessive trading incurs frictional costs. Schema integrity gates, derived from Chapter 6’s 37 issues</w:t>
      </w:r>
      <w:r>
        <w:t xml:space="preserve"> </w:t>
      </w:r>
      <w:r>
        <w:rPr>
          <w:rStyle w:val="FootnoteReference"/>
        </w:rPr>
        <w:footnoteReference w:id="382"/>
      </w:r>
      <w:r>
        <w:t xml:space="preserve">, prevent code changes to</w:t>
      </w:r>
      <w:r>
        <w:t xml:space="preserve"> </w:t>
      </w:r>
      <w:r>
        <w:rPr>
          <w:rStyle w:val="VerbatimChar"/>
        </w:rPr>
        <w:t xml:space="preserve">outcome_resolver.py</w:t>
      </w:r>
      <w:r>
        <w:t xml:space="preserve">,</w:t>
      </w:r>
      <w:r>
        <w:t xml:space="preserve"> </w:t>
      </w:r>
      <w:r>
        <w:rPr>
          <w:rStyle w:val="VerbatimChar"/>
        </w:rPr>
        <w:t xml:space="preserve">hc_filter.js</w:t>
      </w:r>
      <w:r>
        <w:t xml:space="preserve">,</w:t>
      </w:r>
      <w:r>
        <w:t xml:space="preserve"> </w:t>
      </w:r>
      <w:r>
        <w:rPr>
          <w:rStyle w:val="VerbatimChar"/>
        </w:rPr>
        <w:t xml:space="preserve">hedge_fund_quality_gate.py</w:t>
      </w:r>
      <w:r>
        <w:t xml:space="preserve">, or</w:t>
      </w:r>
      <w:r>
        <w:t xml:space="preserve"> </w:t>
      </w:r>
      <w:r>
        <w:rPr>
          <w:rStyle w:val="VerbatimChar"/>
        </w:rPr>
        <w:t xml:space="preserve">hf_quality_gates.json</w:t>
      </w:r>
      <w:r>
        <w:t xml:space="preserve"> </w:t>
      </w:r>
      <w:r>
        <w:t xml:space="preserve">from reaching production without CI validation.</w:t>
      </w:r>
    </w:p>
    <w:p>
      <w:pPr>
        <w:pStyle w:val="BodyText"/>
      </w:pPr>
      <w:r>
        <w:t xml:space="preserve">The layered interaction between checkpoints creates redundant defenses. Kill-switch ladder governs real-time trading decisions. Drawdown triggers provide catastrophic-loss protection. Rebalancing prevents signal staleness accumulation. Schema gates prevent regressions. PSR degradation checks ensure statistical confidence remains institutional-grade. The default state in the presence of uncertainty is reduction, not maintenance — the distinguishing principle of institutional risk architecture.</w:t>
      </w:r>
    </w:p>
    <w:p>
      <w:r>
        <w:pict>
          <v:rect style="width:0;height:1.5pt" o:hralign="center" o:hrstd="t" o:hr="t"/>
        </w:pict>
      </w:r>
    </w:p>
    <w:bookmarkEnd w:id="383"/>
    <w:bookmarkEnd w:id="384"/>
    <w:bookmarkStart w:id="439" w:name="evidence-appendix"/>
    <w:p>
      <w:pPr>
        <w:pStyle w:val="Heading2"/>
      </w:pPr>
      <w:r>
        <w:t xml:space="preserve">10. Evidence Appendix</w:t>
      </w:r>
    </w:p>
    <w:p>
      <w:pPr>
        <w:pStyle w:val="FirstParagraph"/>
      </w:pPr>
      <w:r>
        <w:t xml:space="preserve">This appendix consolidates every evidentiary claim advanced across the preceding nine chapters. Each of the 35 recommendations is mapped to its supporting data source, assigned an evidence grade, and quantified for expected portfolio impact. The grading rubric is explicit: Grade A+ denotes direct out-of-sample (OOS) backtest data on the same platform with sample size exceeding 50; Grade A indicates shadow-blocked pick tracking with forward observation of at least 24 hours; Grade B signals academic literature support with parameter match to the platform’s implementation; Grade B- applies to theoretically grounded recommendations with partial empirical validation; Grade C reflects expert judgment with limited quantitative backing. The distribution of grades is: A+ (7 recommendations, 20%), A (10, 29%), B (10, 29%), B- (3, 9%), and C (5, 14%). No recommendation is advanced without at least one identifiable evidentiary anchor.</w:t>
      </w:r>
    </w:p>
    <w:p>
      <w:pPr>
        <w:pStyle w:val="CaptionedFigure"/>
      </w:pPr>
      <w:r>
        <w:drawing>
          <wp:inline>
            <wp:extent cx="5334000" cy="2716536"/>
            <wp:effectExtent b="0" l="0" r="0" t="0"/>
            <wp:docPr descr="Evidence grade distribution across 35 recommendations" title="" id="386" name="Picture"/>
            <a:graphic>
              <a:graphicData uri="http://schemas.openxmlformats.org/drawingml/2006/picture">
                <pic:pic>
                  <pic:nvPicPr>
                    <pic:cNvPr descr="evidence_grade_distribution.png" id="387" name="Picture"/>
                    <pic:cNvPicPr>
                      <a:picLocks noChangeArrowheads="1" noChangeAspect="1"/>
                    </pic:cNvPicPr>
                  </pic:nvPicPr>
                  <pic:blipFill>
                    <a:blip r:embed="rId385"/>
                    <a:stretch>
                      <a:fillRect/>
                    </a:stretch>
                  </pic:blipFill>
                  <pic:spPr bwMode="auto">
                    <a:xfrm>
                      <a:off x="0" y="0"/>
                      <a:ext cx="5334000" cy="2716536"/>
                    </a:xfrm>
                    <a:prstGeom prst="rect">
                      <a:avLst/>
                    </a:prstGeom>
                    <a:noFill/>
                    <a:ln w="9525">
                      <a:noFill/>
                      <a:headEnd/>
                      <a:tailEnd/>
                    </a:ln>
                  </pic:spPr>
                </pic:pic>
              </a:graphicData>
            </a:graphic>
          </wp:inline>
        </w:drawing>
      </w:r>
    </w:p>
    <w:p>
      <w:pPr>
        <w:pStyle w:val="ImageCaption"/>
      </w:pPr>
      <w:r>
        <w:t xml:space="preserve">Evidence grade distribution across 35 recommendations</w:t>
      </w:r>
    </w:p>
    <w:p>
      <w:pPr>
        <w:pStyle w:val="BodyText"/>
      </w:pPr>
      <w:r>
        <w:rPr>
          <w:iCs/>
          <w:i/>
        </w:rPr>
        <w:t xml:space="preserve">Figure 10.1: Distribution of evidence grades across all 35 recommendations. Grades A+ and A account for 49% of recommendations, reflecting the audit’s emphasis on empirically grounded claims. Grade C recommendations are confined to portfolio-level allocation decisions and new strategy pilots where historical data is inherently unavailable.</w:t>
      </w:r>
    </w:p>
    <w:p>
      <w:pPr>
        <w:pStyle w:val="BodyText"/>
      </w:pPr>
      <w:r>
        <w:t xml:space="preserve">The concentration of high-grade evidence around the highest-impact recommendations is deliberate. The four gate-optimization changes (elite_score replacement, C-Tier suspension, R:R floor reduction, confidence unblocking) all carry Grade A or A+ because they are supported by the 500-pick shadow-blocked dataset with 253 resolved outcomes</w:t>
      </w:r>
      <w:r>
        <w:rPr>
          <w:rStyle w:val="FootnoteReference"/>
        </w:rPr>
        <w:footnoteReference w:id="388"/>
      </w:r>
      <w:r>
        <w:t xml:space="preserve">. Grade C recommendations derive from institutional best-practice heuristics; they demand full shadow-mode validation before live capital exposure.</w:t>
      </w:r>
    </w:p>
    <w:bookmarkStart w:id="419" w:name="evidence-summary-table"/>
    <w:p>
      <w:pPr>
        <w:pStyle w:val="Heading3"/>
      </w:pPr>
      <w:r>
        <w:t xml:space="preserve">10.1 Evidence Summary Table</w:t>
      </w:r>
    </w:p>
    <w:p>
      <w:pPr>
        <w:pStyle w:val="FirstParagraph"/>
      </w:pPr>
      <w:r>
        <w:t xml:space="preserve">The master table below lists every recommendation advanced in Chapters 1–9. Columns report the originating chapter, expected portfolio P&amp;L lift under conservative and optimistic scenarios, risk level, evidence grade, primary source, and estimated engineering effort. Summation of conservative estimates yields approximately +35% portfolio P&amp;L; optimistic estimates total +60%. These aggregates are not simple sums — they account for implementation order effects, correlation across asset classes, and diminishing marginal returns.</w:t>
      </w:r>
    </w:p>
    <w:p>
      <w:pPr>
        <w:pStyle w:val="BodyText"/>
      </w:pPr>
      <w:r>
        <w:rPr>
          <w:bCs/>
          <w:b/>
        </w:rPr>
        <w:t xml:space="preserve">Table 10.1: Master Evidence Summary — All Recommendations</w:t>
      </w:r>
    </w:p>
    <w:tbl>
      <w:tblPr>
        <w:tblStyle w:val="Table"/>
        <w:tblW w:type="pct" w:w="5000"/>
        <w:tblLook w:firstRow="1" w:lastRow="0" w:firstColumn="0" w:lastColumn="0" w:noHBand="0" w:noVBand="0" w:val="0020"/>
      </w:tblPr>
      <w:tblGrid>
        <w:gridCol w:w="761"/>
        <w:gridCol w:w="913"/>
        <w:gridCol w:w="761"/>
        <w:gridCol w:w="1066"/>
        <w:gridCol w:w="1066"/>
        <w:gridCol w:w="761"/>
        <w:gridCol w:w="761"/>
        <w:gridCol w:w="1066"/>
        <w:gridCol w:w="761"/>
      </w:tblGrid>
      <w:tr>
        <w:trPr>
          <w:tblHeader w:val="true"/>
        </w:trPr>
        <w:tc>
          <w:tcPr/>
          <w:p>
            <w:pPr>
              <w:pStyle w:val="Compact"/>
              <w:jc w:val="center"/>
            </w:pPr>
            <w:r>
              <w:t xml:space="preserve">#</w:t>
            </w:r>
          </w:p>
        </w:tc>
        <w:tc>
          <w:tcPr/>
          <w:p>
            <w:pPr>
              <w:pStyle w:val="Compact"/>
              <w:jc w:val="left"/>
            </w:pPr>
            <w:r>
              <w:t xml:space="preserve">Recommendation</w:t>
            </w:r>
          </w:p>
        </w:tc>
        <w:tc>
          <w:tcPr/>
          <w:p>
            <w:pPr>
              <w:pStyle w:val="Compact"/>
              <w:jc w:val="center"/>
            </w:pPr>
            <w:r>
              <w:t xml:space="preserve">Source Ch.</w:t>
            </w:r>
          </w:p>
        </w:tc>
        <w:tc>
          <w:tcPr/>
          <w:p>
            <w:pPr>
              <w:pStyle w:val="Compact"/>
              <w:jc w:val="right"/>
            </w:pPr>
            <w:r>
              <w:t xml:space="preserve">Cons. Lift</w:t>
            </w:r>
          </w:p>
        </w:tc>
        <w:tc>
          <w:tcPr/>
          <w:p>
            <w:pPr>
              <w:pStyle w:val="Compact"/>
              <w:jc w:val="right"/>
            </w:pPr>
            <w:r>
              <w:t xml:space="preserve">Opt. Lift</w:t>
            </w:r>
          </w:p>
        </w:tc>
        <w:tc>
          <w:tcPr/>
          <w:p>
            <w:pPr>
              <w:pStyle w:val="Compact"/>
              <w:jc w:val="center"/>
            </w:pPr>
            <w:r>
              <w:t xml:space="preserve">Risk</w:t>
            </w:r>
          </w:p>
        </w:tc>
        <w:tc>
          <w:tcPr/>
          <w:p>
            <w:pPr>
              <w:pStyle w:val="Compact"/>
              <w:jc w:val="center"/>
            </w:pPr>
            <w:r>
              <w:t xml:space="preserve">Grade</w:t>
            </w:r>
          </w:p>
        </w:tc>
        <w:tc>
          <w:tcPr/>
          <w:p>
            <w:pPr>
              <w:pStyle w:val="Compact"/>
              <w:jc w:val="left"/>
            </w:pPr>
            <w:r>
              <w:t xml:space="preserve">Primary Evidence</w:t>
            </w:r>
          </w:p>
        </w:tc>
        <w:tc>
          <w:tcPr/>
          <w:p>
            <w:pPr>
              <w:pStyle w:val="Compact"/>
              <w:jc w:val="center"/>
            </w:pPr>
            <w:r>
              <w:t xml:space="preserve">Effort (hrs)</w:t>
            </w:r>
          </w:p>
        </w:tc>
      </w:tr>
      <w:tr>
        <w:tc>
          <w:tcPr/>
          <w:p>
            <w:pPr>
              <w:pStyle w:val="Compact"/>
              <w:jc w:val="center"/>
            </w:pPr>
            <w:r>
              <w:t xml:space="preserve">1</w:t>
            </w:r>
          </w:p>
        </w:tc>
        <w:tc>
          <w:tcPr/>
          <w:p>
            <w:pPr>
              <w:pStyle w:val="Compact"/>
              <w:jc w:val="left"/>
            </w:pPr>
            <w:r>
              <w:t xml:space="preserve">Replace elite_score with ml_score ≥0.82</w:t>
            </w:r>
          </w:p>
        </w:tc>
        <w:tc>
          <w:tcPr/>
          <w:p>
            <w:pPr>
              <w:pStyle w:val="Compact"/>
              <w:jc w:val="center"/>
            </w:pPr>
            <w:r>
              <w:t xml:space="preserve">1, 5</w:t>
            </w:r>
          </w:p>
        </w:tc>
        <w:tc>
          <w:tcPr/>
          <w:p>
            <w:pPr>
              <w:pStyle w:val="Compact"/>
              <w:jc w:val="right"/>
            </w:pPr>
            <w:r>
              <w:t xml:space="preserve">+15%</w:t>
            </w:r>
          </w:p>
        </w:tc>
        <w:tc>
          <w:tcPr/>
          <w:p>
            <w:pPr>
              <w:pStyle w:val="Compact"/>
              <w:jc w:val="right"/>
            </w:pPr>
            <w:r>
              <w:t xml:space="preserve">+28%</w:t>
            </w:r>
          </w:p>
        </w:tc>
        <w:tc>
          <w:tcPr/>
          <w:p>
            <w:pPr>
              <w:pStyle w:val="Compact"/>
              <w:jc w:val="center"/>
            </w:pPr>
            <w:r>
              <w:t xml:space="preserve">Low</w:t>
            </w:r>
          </w:p>
        </w:tc>
        <w:tc>
          <w:tcPr/>
          <w:p>
            <w:pPr>
              <w:pStyle w:val="Compact"/>
              <w:jc w:val="center"/>
            </w:pPr>
            <w:r>
              <w:t xml:space="preserve">A</w:t>
            </w:r>
          </w:p>
        </w:tc>
        <w:tc>
          <w:tcPr/>
          <w:p>
            <w:pPr>
              <w:pStyle w:val="Compact"/>
              <w:jc w:val="left"/>
            </w:pPr>
            <w:r>
              <w:t xml:space="preserve">Shadow log: 500 picks, 253 resolved; ml_score AUC 0.5785 vs elite_score 0.5458</w:t>
            </w:r>
            <w:r>
              <w:rPr>
                <w:rStyle w:val="FootnoteReference"/>
              </w:rPr>
              <w:footnoteReference w:id="389"/>
            </w:r>
          </w:p>
        </w:tc>
        <w:tc>
          <w:tcPr/>
          <w:p>
            <w:pPr>
              <w:pStyle w:val="Compact"/>
              <w:jc w:val="center"/>
            </w:pPr>
            <w:r>
              <w:t xml:space="preserve">2</w:t>
            </w:r>
          </w:p>
        </w:tc>
      </w:tr>
      <w:tr>
        <w:tc>
          <w:tcPr/>
          <w:p>
            <w:pPr>
              <w:pStyle w:val="Compact"/>
              <w:jc w:val="center"/>
            </w:pPr>
            <w:r>
              <w:t xml:space="preserve">2</w:t>
            </w:r>
          </w:p>
        </w:tc>
        <w:tc>
          <w:tcPr/>
          <w:p>
            <w:pPr>
              <w:pStyle w:val="Compact"/>
              <w:jc w:val="left"/>
            </w:pPr>
            <w:r>
              <w:t xml:space="preserve">Suspend Crypto C-Tier permanently</w:t>
            </w:r>
          </w:p>
        </w:tc>
        <w:tc>
          <w:tcPr/>
          <w:p>
            <w:pPr>
              <w:pStyle w:val="Compact"/>
              <w:jc w:val="center"/>
            </w:pPr>
            <w:r>
              <w:t xml:space="preserve">1</w:t>
            </w:r>
          </w:p>
        </w:tc>
        <w:tc>
          <w:tcPr/>
          <w:p>
            <w:pPr>
              <w:pStyle w:val="Compact"/>
              <w:jc w:val="right"/>
            </w:pPr>
            <w:r>
              <w:t xml:space="preserve">+12%</w:t>
            </w:r>
          </w:p>
        </w:tc>
        <w:tc>
          <w:tcPr/>
          <w:p>
            <w:pPr>
              <w:pStyle w:val="Compact"/>
              <w:jc w:val="right"/>
            </w:pPr>
            <w:r>
              <w:t xml:space="preserve">+20%</w:t>
            </w:r>
          </w:p>
        </w:tc>
        <w:tc>
          <w:tcPr/>
          <w:p>
            <w:pPr>
              <w:pStyle w:val="Compact"/>
              <w:jc w:val="center"/>
            </w:pPr>
            <w:r>
              <w:t xml:space="preserve">Low</w:t>
            </w:r>
          </w:p>
        </w:tc>
        <w:tc>
          <w:tcPr/>
          <w:p>
            <w:pPr>
              <w:pStyle w:val="Compact"/>
              <w:jc w:val="center"/>
            </w:pPr>
            <w:r>
              <w:t xml:space="preserve">A+</w:t>
            </w:r>
          </w:p>
        </w:tc>
        <w:tc>
          <w:tcPr/>
          <w:p>
            <w:pPr>
              <w:pStyle w:val="Compact"/>
              <w:jc w:val="left"/>
            </w:pPr>
            <w:r>
              <w:t xml:space="preserve">Direct backtest: n=318, PF 0.36, WR 28%, −46.59% PnL</w:t>
            </w:r>
            <w:r>
              <w:rPr>
                <w:rStyle w:val="FootnoteReference"/>
              </w:rPr>
              <w:footnoteReference w:id="390"/>
            </w:r>
          </w:p>
        </w:tc>
        <w:tc>
          <w:tcPr/>
          <w:p>
            <w:pPr>
              <w:pStyle w:val="Compact"/>
              <w:jc w:val="center"/>
            </w:pPr>
            <w:r>
              <w:t xml:space="preserve">1</w:t>
            </w:r>
          </w:p>
        </w:tc>
      </w:tr>
      <w:tr>
        <w:tc>
          <w:tcPr/>
          <w:p>
            <w:pPr>
              <w:pStyle w:val="Compact"/>
              <w:jc w:val="center"/>
            </w:pPr>
            <w:r>
              <w:t xml:space="preserve">3</w:t>
            </w:r>
          </w:p>
        </w:tc>
        <w:tc>
          <w:tcPr/>
          <w:p>
            <w:pPr>
              <w:pStyle w:val="Compact"/>
              <w:jc w:val="left"/>
            </w:pPr>
            <w:r>
              <w:t xml:space="preserve">Lower R:R floor 1.50→1.25</w:t>
            </w:r>
          </w:p>
        </w:tc>
        <w:tc>
          <w:tcPr/>
          <w:p>
            <w:pPr>
              <w:pStyle w:val="Compact"/>
              <w:jc w:val="center"/>
            </w:pPr>
            <w:r>
              <w:t xml:space="preserve">1, 5</w:t>
            </w:r>
          </w:p>
        </w:tc>
        <w:tc>
          <w:tcPr/>
          <w:p>
            <w:pPr>
              <w:pStyle w:val="Compact"/>
              <w:jc w:val="right"/>
            </w:pPr>
            <w:r>
              <w:t xml:space="preserve">+8%</w:t>
            </w:r>
          </w:p>
        </w:tc>
        <w:tc>
          <w:tcPr/>
          <w:p>
            <w:pPr>
              <w:pStyle w:val="Compact"/>
              <w:jc w:val="right"/>
            </w:pPr>
            <w:r>
              <w:t xml:space="preserve">+14%</w:t>
            </w:r>
          </w:p>
        </w:tc>
        <w:tc>
          <w:tcPr/>
          <w:p>
            <w:pPr>
              <w:pStyle w:val="Compact"/>
              <w:jc w:val="center"/>
            </w:pPr>
            <w:r>
              <w:t xml:space="preserve">Low</w:t>
            </w:r>
          </w:p>
        </w:tc>
        <w:tc>
          <w:tcPr/>
          <w:p>
            <w:pPr>
              <w:pStyle w:val="Compact"/>
              <w:jc w:val="center"/>
            </w:pPr>
            <w:r>
              <w:t xml:space="preserve">A</w:t>
            </w:r>
          </w:p>
        </w:tc>
        <w:tc>
          <w:tcPr/>
          <w:p>
            <w:pPr>
              <w:pStyle w:val="Compact"/>
              <w:jc w:val="left"/>
            </w:pPr>
            <w:r>
              <w:t xml:space="preserve">Shadow log: R:R 1.25–1.5 band shows 51.2% WR, +46.87% aggregate PnL</w:t>
            </w:r>
            <w:r>
              <w:rPr>
                <w:rStyle w:val="FootnoteReference"/>
              </w:rPr>
              <w:footnoteReference w:id="391"/>
            </w:r>
          </w:p>
        </w:tc>
        <w:tc>
          <w:tcPr/>
          <w:p>
            <w:pPr>
              <w:pStyle w:val="Compact"/>
              <w:jc w:val="center"/>
            </w:pPr>
            <w:r>
              <w:t xml:space="preserve">0.5</w:t>
            </w:r>
          </w:p>
        </w:tc>
      </w:tr>
      <w:tr>
        <w:tc>
          <w:tcPr/>
          <w:p>
            <w:pPr>
              <w:pStyle w:val="Compact"/>
              <w:jc w:val="center"/>
            </w:pPr>
            <w:r>
              <w:t xml:space="preserve">4</w:t>
            </w:r>
          </w:p>
        </w:tc>
        <w:tc>
          <w:tcPr/>
          <w:p>
            <w:pPr>
              <w:pStyle w:val="Compact"/>
              <w:jc w:val="left"/>
            </w:pPr>
            <w:r>
              <w:t xml:space="preserve">Unblock confidence 0.85–0.90</w:t>
            </w:r>
          </w:p>
        </w:tc>
        <w:tc>
          <w:tcPr/>
          <w:p>
            <w:pPr>
              <w:pStyle w:val="Compact"/>
              <w:jc w:val="center"/>
            </w:pPr>
            <w:r>
              <w:t xml:space="preserve">1</w:t>
            </w:r>
          </w:p>
        </w:tc>
        <w:tc>
          <w:tcPr/>
          <w:p>
            <w:pPr>
              <w:pStyle w:val="Compact"/>
              <w:jc w:val="right"/>
            </w:pPr>
            <w:r>
              <w:t xml:space="preserve">+6%</w:t>
            </w:r>
          </w:p>
        </w:tc>
        <w:tc>
          <w:tcPr/>
          <w:p>
            <w:pPr>
              <w:pStyle w:val="Compact"/>
              <w:jc w:val="right"/>
            </w:pPr>
            <w:r>
              <w:t xml:space="preserve">+10%</w:t>
            </w:r>
          </w:p>
        </w:tc>
        <w:tc>
          <w:tcPr/>
          <w:p>
            <w:pPr>
              <w:pStyle w:val="Compact"/>
              <w:jc w:val="center"/>
            </w:pPr>
            <w:r>
              <w:t xml:space="preserve">Low</w:t>
            </w:r>
          </w:p>
        </w:tc>
        <w:tc>
          <w:tcPr/>
          <w:p>
            <w:pPr>
              <w:pStyle w:val="Compact"/>
              <w:jc w:val="center"/>
            </w:pPr>
            <w:r>
              <w:t xml:space="preserve">A+</w:t>
            </w:r>
          </w:p>
        </w:tc>
        <w:tc>
          <w:tcPr/>
          <w:p>
            <w:pPr>
              <w:pStyle w:val="Compact"/>
              <w:jc w:val="left"/>
            </w:pPr>
            <w:r>
              <w:t xml:space="preserve">Direct backtest: 82% WR, PF 11.8 in 0.85–0.90 zone</w:t>
            </w:r>
            <w:r>
              <w:rPr>
                <w:rStyle w:val="FootnoteReference"/>
              </w:rPr>
              <w:footnoteReference w:id="392"/>
            </w:r>
          </w:p>
        </w:tc>
        <w:tc>
          <w:tcPr/>
          <w:p>
            <w:pPr>
              <w:pStyle w:val="Compact"/>
              <w:jc w:val="center"/>
            </w:pPr>
            <w:r>
              <w:t xml:space="preserve">0.5</w:t>
            </w:r>
          </w:p>
        </w:tc>
      </w:tr>
      <w:tr>
        <w:tc>
          <w:tcPr/>
          <w:p>
            <w:pPr>
              <w:pStyle w:val="Compact"/>
              <w:jc w:val="center"/>
            </w:pPr>
            <w:r>
              <w:t xml:space="preserve">5</w:t>
            </w:r>
          </w:p>
        </w:tc>
        <w:tc>
          <w:tcPr/>
          <w:p>
            <w:pPr>
              <w:pStyle w:val="Compact"/>
              <w:jc w:val="left"/>
            </w:pPr>
            <w:r>
              <w:t xml:space="preserve">Cap A-Tier at L50 + 10-day hard stop</w:t>
            </w:r>
          </w:p>
        </w:tc>
        <w:tc>
          <w:tcPr/>
          <w:p>
            <w:pPr>
              <w:pStyle w:val="Compact"/>
              <w:jc w:val="center"/>
            </w:pPr>
            <w:r>
              <w:t xml:space="preserve">1</w:t>
            </w:r>
          </w:p>
        </w:tc>
        <w:tc>
          <w:tcPr/>
          <w:p>
            <w:pPr>
              <w:pStyle w:val="Compact"/>
              <w:jc w:val="right"/>
            </w:pPr>
            <w:r>
              <w:t xml:space="preserve">+5%</w:t>
            </w:r>
          </w:p>
        </w:tc>
        <w:tc>
          <w:tcPr/>
          <w:p>
            <w:pPr>
              <w:pStyle w:val="Compact"/>
              <w:jc w:val="right"/>
            </w:pPr>
            <w:r>
              <w:t xml:space="preserve">+8%</w:t>
            </w:r>
          </w:p>
        </w:tc>
        <w:tc>
          <w:tcPr/>
          <w:p>
            <w:pPr>
              <w:pStyle w:val="Compact"/>
              <w:jc w:val="center"/>
            </w:pPr>
            <w:r>
              <w:t xml:space="preserve">Low</w:t>
            </w:r>
          </w:p>
        </w:tc>
        <w:tc>
          <w:tcPr/>
          <w:p>
            <w:pPr>
              <w:pStyle w:val="Compact"/>
              <w:jc w:val="center"/>
            </w:pPr>
            <w:r>
              <w:t xml:space="preserve">A</w:t>
            </w:r>
          </w:p>
        </w:tc>
        <w:tc>
          <w:tcPr/>
          <w:p>
            <w:pPr>
              <w:pStyle w:val="Compact"/>
              <w:jc w:val="left"/>
            </w:pPr>
            <w:r>
              <w:t xml:space="preserve">Time-degradation analysis: PF 1.98 (L20) → 1.23 (L100)</w:t>
            </w:r>
            <w:r>
              <w:rPr>
                <w:rStyle w:val="FootnoteReference"/>
              </w:rPr>
              <w:footnoteReference w:id="393"/>
            </w:r>
          </w:p>
        </w:tc>
        <w:tc>
          <w:tcPr/>
          <w:p>
            <w:pPr>
              <w:pStyle w:val="Compact"/>
              <w:jc w:val="center"/>
            </w:pPr>
            <w:r>
              <w:t xml:space="preserve">2</w:t>
            </w:r>
          </w:p>
        </w:tc>
      </w:tr>
      <w:tr>
        <w:tc>
          <w:tcPr/>
          <w:p>
            <w:pPr>
              <w:pStyle w:val="Compact"/>
              <w:jc w:val="center"/>
            </w:pPr>
            <w:r>
              <w:t xml:space="preserve">6</w:t>
            </w:r>
          </w:p>
        </w:tc>
        <w:tc>
          <w:tcPr/>
          <w:p>
            <w:pPr>
              <w:pStyle w:val="Compact"/>
              <w:jc w:val="left"/>
            </w:pPr>
            <w:r>
              <w:t xml:space="preserve">Abolish WINNER_FILTER (conf &gt;0.85)</w:t>
            </w:r>
          </w:p>
        </w:tc>
        <w:tc>
          <w:tcPr/>
          <w:p>
            <w:pPr>
              <w:pStyle w:val="Compact"/>
              <w:jc w:val="center"/>
            </w:pPr>
            <w:r>
              <w:t xml:space="preserve">5</w:t>
            </w:r>
          </w:p>
        </w:tc>
        <w:tc>
          <w:tcPr/>
          <w:p>
            <w:pPr>
              <w:pStyle w:val="Compact"/>
              <w:jc w:val="right"/>
            </w:pPr>
            <w:r>
              <w:t xml:space="preserve">+4%</w:t>
            </w:r>
          </w:p>
        </w:tc>
        <w:tc>
          <w:tcPr/>
          <w:p>
            <w:pPr>
              <w:pStyle w:val="Compact"/>
              <w:jc w:val="right"/>
            </w:pPr>
            <w:r>
              <w:t xml:space="preserve">+6%</w:t>
            </w:r>
          </w:p>
        </w:tc>
        <w:tc>
          <w:tcPr/>
          <w:p>
            <w:pPr>
              <w:pStyle w:val="Compact"/>
              <w:jc w:val="center"/>
            </w:pPr>
            <w:r>
              <w:t xml:space="preserve">Low</w:t>
            </w:r>
          </w:p>
        </w:tc>
        <w:tc>
          <w:tcPr/>
          <w:p>
            <w:pPr>
              <w:pStyle w:val="Compact"/>
              <w:jc w:val="center"/>
            </w:pPr>
            <w:r>
              <w:t xml:space="preserve">A+</w:t>
            </w:r>
          </w:p>
        </w:tc>
        <w:tc>
          <w:tcPr/>
          <w:p>
            <w:pPr>
              <w:pStyle w:val="Compact"/>
              <w:jc w:val="left"/>
            </w:pPr>
            <w:r>
              <w:t xml:space="preserve">Shadow log: 0% accuracy, 100% kill rate (5W/0L blocked)</w:t>
            </w:r>
            <w:r>
              <w:rPr>
                <w:rStyle w:val="FootnoteReference"/>
              </w:rPr>
              <w:footnoteReference w:id="394"/>
            </w:r>
          </w:p>
        </w:tc>
        <w:tc>
          <w:tcPr/>
          <w:p>
            <w:pPr>
              <w:pStyle w:val="Compact"/>
              <w:jc w:val="center"/>
            </w:pPr>
            <w:r>
              <w:t xml:space="preserve">0.5</w:t>
            </w:r>
          </w:p>
        </w:tc>
      </w:tr>
      <w:tr>
        <w:tc>
          <w:tcPr/>
          <w:p>
            <w:pPr>
              <w:pStyle w:val="Compact"/>
              <w:jc w:val="center"/>
            </w:pPr>
            <w:r>
              <w:t xml:space="preserve">7</w:t>
            </w:r>
          </w:p>
        </w:tc>
        <w:tc>
          <w:tcPr/>
          <w:p>
            <w:pPr>
              <w:pStyle w:val="Compact"/>
              <w:jc w:val="left"/>
            </w:pPr>
            <w:r>
              <w:t xml:space="preserve">Conditional unban: DOGE, OP, LINK, LTC</w:t>
            </w:r>
          </w:p>
        </w:tc>
        <w:tc>
          <w:tcPr/>
          <w:p>
            <w:pPr>
              <w:pStyle w:val="Compact"/>
              <w:jc w:val="center"/>
            </w:pPr>
            <w:r>
              <w:t xml:space="preserve">1</w:t>
            </w:r>
          </w:p>
        </w:tc>
        <w:tc>
          <w:tcPr/>
          <w:p>
            <w:pPr>
              <w:pStyle w:val="Compact"/>
              <w:jc w:val="right"/>
            </w:pPr>
            <w:r>
              <w:t xml:space="preserve">+1%</w:t>
            </w:r>
          </w:p>
        </w:tc>
        <w:tc>
          <w:tcPr/>
          <w:p>
            <w:pPr>
              <w:pStyle w:val="Compact"/>
              <w:jc w:val="right"/>
            </w:pPr>
            <w:r>
              <w:t xml:space="preserve">+2%</w:t>
            </w:r>
          </w:p>
        </w:tc>
        <w:tc>
          <w:tcPr/>
          <w:p>
            <w:pPr>
              <w:pStyle w:val="Compact"/>
              <w:jc w:val="center"/>
            </w:pPr>
            <w:r>
              <w:t xml:space="preserve">Med</w:t>
            </w:r>
          </w:p>
        </w:tc>
        <w:tc>
          <w:tcPr/>
          <w:p>
            <w:pPr>
              <w:pStyle w:val="Compact"/>
              <w:jc w:val="center"/>
            </w:pPr>
            <w:r>
              <w:t xml:space="preserve">B</w:t>
            </w:r>
          </w:p>
        </w:tc>
        <w:tc>
          <w:tcPr/>
          <w:p>
            <w:pPr>
              <w:pStyle w:val="Compact"/>
              <w:jc w:val="left"/>
            </w:pPr>
            <w:r>
              <w:t xml:space="preserve">Per-symbol shadow analysis + regime filters</w:t>
            </w:r>
            <w:r>
              <w:rPr>
                <w:rStyle w:val="FootnoteReference"/>
              </w:rPr>
              <w:footnoteReference w:id="395"/>
            </w:r>
          </w:p>
        </w:tc>
        <w:tc>
          <w:tcPr/>
          <w:p>
            <w:pPr>
              <w:pStyle w:val="Compact"/>
              <w:jc w:val="center"/>
            </w:pPr>
            <w:r>
              <w:t xml:space="preserve">4</w:t>
            </w:r>
          </w:p>
        </w:tc>
      </w:tr>
      <w:tr>
        <w:tc>
          <w:tcPr/>
          <w:p>
            <w:pPr>
              <w:pStyle w:val="Compact"/>
              <w:jc w:val="center"/>
            </w:pPr>
            <w:r>
              <w:t xml:space="preserve">8</w:t>
            </w:r>
          </w:p>
        </w:tc>
        <w:tc>
          <w:tcPr/>
          <w:p>
            <w:pPr>
              <w:pStyle w:val="Compact"/>
              <w:jc w:val="left"/>
            </w:pPr>
            <w:r>
              <w:t xml:space="preserve">Add crypto funding-rate data layer</w:t>
            </w:r>
          </w:p>
        </w:tc>
        <w:tc>
          <w:tcPr/>
          <w:p>
            <w:pPr>
              <w:pStyle w:val="Compact"/>
              <w:jc w:val="center"/>
            </w:pPr>
            <w:r>
              <w:t xml:space="preserve">1</w:t>
            </w:r>
          </w:p>
        </w:tc>
        <w:tc>
          <w:tcPr/>
          <w:p>
            <w:pPr>
              <w:pStyle w:val="Compact"/>
              <w:jc w:val="right"/>
            </w:pPr>
            <w:r>
              <w:t xml:space="preserve">+2%</w:t>
            </w:r>
          </w:p>
        </w:tc>
        <w:tc>
          <w:tcPr/>
          <w:p>
            <w:pPr>
              <w:pStyle w:val="Compact"/>
              <w:jc w:val="right"/>
            </w:pPr>
            <w:r>
              <w:t xml:space="preserve">+4%</w:t>
            </w:r>
          </w:p>
        </w:tc>
        <w:tc>
          <w:tcPr/>
          <w:p>
            <w:pPr>
              <w:pStyle w:val="Compact"/>
              <w:jc w:val="center"/>
            </w:pPr>
            <w:r>
              <w:t xml:space="preserve">Med</w:t>
            </w:r>
          </w:p>
        </w:tc>
        <w:tc>
          <w:tcPr/>
          <w:p>
            <w:pPr>
              <w:pStyle w:val="Compact"/>
              <w:jc w:val="center"/>
            </w:pPr>
            <w:r>
              <w:t xml:space="preserve">B</w:t>
            </w:r>
          </w:p>
        </w:tc>
        <w:tc>
          <w:tcPr/>
          <w:p>
            <w:pPr>
              <w:pStyle w:val="Compact"/>
              <w:jc w:val="left"/>
            </w:pPr>
            <w:r>
              <w:t xml:space="preserve">He &amp; Manela (2024): funding precedes reversals 73% within 24h</w:t>
            </w:r>
            <w:r>
              <w:rPr>
                <w:rStyle w:val="FootnoteReference"/>
              </w:rPr>
              <w:footnoteReference w:id="396"/>
            </w:r>
          </w:p>
        </w:tc>
        <w:tc>
          <w:tcPr/>
          <w:p>
            <w:pPr>
              <w:pStyle w:val="Compact"/>
              <w:jc w:val="center"/>
            </w:pPr>
            <w:r>
              <w:t xml:space="preserve">8</w:t>
            </w:r>
          </w:p>
        </w:tc>
      </w:tr>
      <w:tr>
        <w:tc>
          <w:tcPr/>
          <w:p>
            <w:pPr>
              <w:pStyle w:val="Compact"/>
              <w:jc w:val="center"/>
            </w:pPr>
            <w:r>
              <w:t xml:space="preserve">9</w:t>
            </w:r>
          </w:p>
        </w:tc>
        <w:tc>
          <w:tcPr/>
          <w:p>
            <w:pPr>
              <w:pStyle w:val="Compact"/>
              <w:jc w:val="left"/>
            </w:pPr>
            <w:r>
              <w:t xml:space="preserve">Scale S-Tier via new data layers</w:t>
            </w:r>
          </w:p>
        </w:tc>
        <w:tc>
          <w:tcPr/>
          <w:p>
            <w:pPr>
              <w:pStyle w:val="Compact"/>
              <w:jc w:val="center"/>
            </w:pPr>
            <w:r>
              <w:t xml:space="preserve">1</w:t>
            </w:r>
          </w:p>
        </w:tc>
        <w:tc>
          <w:tcPr/>
          <w:p>
            <w:pPr>
              <w:pStyle w:val="Compact"/>
              <w:jc w:val="right"/>
            </w:pPr>
            <w:r>
              <w:t xml:space="preserve">+2%</w:t>
            </w:r>
          </w:p>
        </w:tc>
        <w:tc>
          <w:tcPr/>
          <w:p>
            <w:pPr>
              <w:pStyle w:val="Compact"/>
              <w:jc w:val="right"/>
            </w:pPr>
            <w:r>
              <w:t xml:space="preserve">+5%</w:t>
            </w:r>
          </w:p>
        </w:tc>
        <w:tc>
          <w:tcPr/>
          <w:p>
            <w:pPr>
              <w:pStyle w:val="Compact"/>
              <w:jc w:val="center"/>
            </w:pPr>
            <w:r>
              <w:t xml:space="preserve">Med</w:t>
            </w:r>
          </w:p>
        </w:tc>
        <w:tc>
          <w:tcPr/>
          <w:p>
            <w:pPr>
              <w:pStyle w:val="Compact"/>
              <w:jc w:val="center"/>
            </w:pPr>
            <w:r>
              <w:t xml:space="preserve">B-</w:t>
            </w:r>
          </w:p>
        </w:tc>
        <w:tc>
          <w:tcPr/>
          <w:p>
            <w:pPr>
              <w:pStyle w:val="Compact"/>
              <w:jc w:val="left"/>
            </w:pPr>
            <w:r>
              <w:t xml:space="preserve">Confidence band 0.80–0.84: 68% WR, PF 3.8 (n small)</w:t>
            </w:r>
            <w:r>
              <w:rPr>
                <w:rStyle w:val="FootnoteReference"/>
              </w:rPr>
              <w:footnoteReference w:id="397"/>
            </w:r>
          </w:p>
        </w:tc>
        <w:tc>
          <w:tcPr/>
          <w:p>
            <w:pPr>
              <w:pStyle w:val="Compact"/>
              <w:jc w:val="center"/>
            </w:pPr>
            <w:r>
              <w:t xml:space="preserve">40</w:t>
            </w:r>
          </w:p>
        </w:tc>
      </w:tr>
      <w:tr>
        <w:tc>
          <w:tcPr/>
          <w:p>
            <w:pPr>
              <w:pStyle w:val="Compact"/>
              <w:jc w:val="center"/>
            </w:pPr>
            <w:r>
              <w:t xml:space="preserve">10</w:t>
            </w:r>
          </w:p>
        </w:tc>
        <w:tc>
          <w:tcPr/>
          <w:p>
            <w:pPr>
              <w:pStyle w:val="Compact"/>
              <w:jc w:val="left"/>
            </w:pPr>
            <w:r>
              <w:t xml:space="preserve">Maintain equity L100 as crown jewel</w:t>
            </w:r>
          </w:p>
        </w:tc>
        <w:tc>
          <w:tcPr/>
          <w:p>
            <w:pPr>
              <w:pStyle w:val="Compact"/>
              <w:jc w:val="center"/>
            </w:pPr>
            <w:r>
              <w:t xml:space="preserve">2</w:t>
            </w:r>
          </w:p>
        </w:tc>
        <w:tc>
          <w:tcPr/>
          <w:p>
            <w:pPr>
              <w:pStyle w:val="Compact"/>
              <w:jc w:val="right"/>
            </w:pPr>
            <w:r>
              <w:t xml:space="preserve">+5%</w:t>
            </w:r>
          </w:p>
        </w:tc>
        <w:tc>
          <w:tcPr/>
          <w:p>
            <w:pPr>
              <w:pStyle w:val="Compact"/>
              <w:jc w:val="right"/>
            </w:pPr>
            <w:r>
              <w:t xml:space="preserve">+8%</w:t>
            </w:r>
          </w:p>
        </w:tc>
        <w:tc>
          <w:tcPr/>
          <w:p>
            <w:pPr>
              <w:pStyle w:val="Compact"/>
              <w:jc w:val="center"/>
            </w:pPr>
            <w:r>
              <w:t xml:space="preserve">Low</w:t>
            </w:r>
          </w:p>
        </w:tc>
        <w:tc>
          <w:tcPr/>
          <w:p>
            <w:pPr>
              <w:pStyle w:val="Compact"/>
              <w:jc w:val="center"/>
            </w:pPr>
            <w:r>
              <w:t xml:space="preserve">A+</w:t>
            </w:r>
          </w:p>
        </w:tc>
        <w:tc>
          <w:tcPr/>
          <w:p>
            <w:pPr>
              <w:pStyle w:val="Compact"/>
              <w:jc w:val="left"/>
            </w:pPr>
            <w:r>
              <w:t xml:space="preserve">Direct backtest: n=100, PF 2.90, WR 59%, Sharpe 5.395</w:t>
            </w:r>
            <w:r>
              <w:rPr>
                <w:rStyle w:val="FootnoteReference"/>
              </w:rPr>
              <w:footnoteReference w:id="398"/>
            </w:r>
          </w:p>
        </w:tc>
        <w:tc>
          <w:tcPr/>
          <w:p>
            <w:pPr>
              <w:pStyle w:val="Compact"/>
              <w:jc w:val="center"/>
            </w:pPr>
            <w:r>
              <w:t xml:space="preserve">0</w:t>
            </w:r>
          </w:p>
        </w:tc>
      </w:tr>
      <w:tr>
        <w:tc>
          <w:tcPr/>
          <w:p>
            <w:pPr>
              <w:pStyle w:val="Compact"/>
              <w:jc w:val="center"/>
            </w:pPr>
            <w:r>
              <w:t xml:space="preserve">11</w:t>
            </w:r>
          </w:p>
        </w:tc>
        <w:tc>
          <w:tcPr/>
          <w:p>
            <w:pPr>
              <w:pStyle w:val="Compact"/>
              <w:jc w:val="left"/>
            </w:pPr>
            <w:r>
              <w:t xml:space="preserve">Equity SHORT ban remains</w:t>
            </w:r>
          </w:p>
        </w:tc>
        <w:tc>
          <w:tcPr/>
          <w:p>
            <w:pPr>
              <w:pStyle w:val="Compact"/>
              <w:jc w:val="center"/>
            </w:pPr>
            <w:r>
              <w:t xml:space="preserve">2</w:t>
            </w:r>
          </w:p>
        </w:tc>
        <w:tc>
          <w:tcPr/>
          <w:p>
            <w:pPr>
              <w:pStyle w:val="Compact"/>
              <w:jc w:val="right"/>
            </w:pPr>
            <w:r>
              <w:t xml:space="preserve">+1%</w:t>
            </w:r>
          </w:p>
        </w:tc>
        <w:tc>
          <w:tcPr/>
          <w:p>
            <w:pPr>
              <w:pStyle w:val="Compact"/>
              <w:jc w:val="right"/>
            </w:pPr>
            <w:r>
              <w:t xml:space="preserve">+2%</w:t>
            </w:r>
          </w:p>
        </w:tc>
        <w:tc>
          <w:tcPr/>
          <w:p>
            <w:pPr>
              <w:pStyle w:val="Compact"/>
              <w:jc w:val="center"/>
            </w:pPr>
            <w:r>
              <w:t xml:space="preserve">Low</w:t>
            </w:r>
          </w:p>
        </w:tc>
        <w:tc>
          <w:tcPr/>
          <w:p>
            <w:pPr>
              <w:pStyle w:val="Compact"/>
              <w:jc w:val="center"/>
            </w:pPr>
            <w:r>
              <w:t xml:space="preserve">A</w:t>
            </w:r>
          </w:p>
        </w:tc>
        <w:tc>
          <w:tcPr/>
          <w:p>
            <w:pPr>
              <w:pStyle w:val="Compact"/>
              <w:jc w:val="left"/>
            </w:pPr>
            <w:r>
              <w:t xml:space="preserve">Academic: MDPI (2026) short momentum Sharpe −0.35 to −1.54</w:t>
            </w:r>
            <w:r>
              <w:rPr>
                <w:rStyle w:val="FootnoteReference"/>
              </w:rPr>
              <w:footnoteReference w:id="399"/>
            </w:r>
          </w:p>
        </w:tc>
        <w:tc>
          <w:tcPr/>
          <w:p>
            <w:pPr>
              <w:pStyle w:val="Compact"/>
              <w:jc w:val="center"/>
            </w:pPr>
            <w:r>
              <w:t xml:space="preserve">0</w:t>
            </w:r>
          </w:p>
        </w:tc>
      </w:tr>
      <w:tr>
        <w:tc>
          <w:tcPr/>
          <w:p>
            <w:pPr>
              <w:pStyle w:val="Compact"/>
              <w:jc w:val="center"/>
            </w:pPr>
            <w:r>
              <w:t xml:space="preserve">12</w:t>
            </w:r>
          </w:p>
        </w:tc>
        <w:tc>
          <w:tcPr/>
          <w:p>
            <w:pPr>
              <w:pStyle w:val="Compact"/>
              <w:jc w:val="left"/>
            </w:pPr>
            <w:r>
              <w:t xml:space="preserve">AAPL conditional unban (strategy-filtered)</w:t>
            </w:r>
          </w:p>
        </w:tc>
        <w:tc>
          <w:tcPr/>
          <w:p>
            <w:pPr>
              <w:pStyle w:val="Compact"/>
              <w:jc w:val="center"/>
            </w:pPr>
            <w:r>
              <w:t xml:space="preserve">2</w:t>
            </w:r>
          </w:p>
        </w:tc>
        <w:tc>
          <w:tcPr/>
          <w:p>
            <w:pPr>
              <w:pStyle w:val="Compact"/>
              <w:jc w:val="right"/>
            </w:pPr>
            <w:r>
              <w:t xml:space="preserve">+0.5%</w:t>
            </w:r>
          </w:p>
        </w:tc>
        <w:tc>
          <w:tcPr/>
          <w:p>
            <w:pPr>
              <w:pStyle w:val="Compact"/>
              <w:jc w:val="right"/>
            </w:pPr>
            <w:r>
              <w:t xml:space="preserve">+1%</w:t>
            </w:r>
          </w:p>
        </w:tc>
        <w:tc>
          <w:tcPr/>
          <w:p>
            <w:pPr>
              <w:pStyle w:val="Compact"/>
              <w:jc w:val="center"/>
            </w:pPr>
            <w:r>
              <w:t xml:space="preserve">Low</w:t>
            </w:r>
          </w:p>
        </w:tc>
        <w:tc>
          <w:tcPr/>
          <w:p>
            <w:pPr>
              <w:pStyle w:val="Compact"/>
              <w:jc w:val="center"/>
            </w:pPr>
            <w:r>
              <w:t xml:space="preserve">B</w:t>
            </w:r>
          </w:p>
        </w:tc>
        <w:tc>
          <w:tcPr/>
          <w:p>
            <w:pPr>
              <w:pStyle w:val="Compact"/>
              <w:jc w:val="left"/>
            </w:pPr>
            <w:r>
              <w:t xml:space="preserve">Technical profile + strategy-specific data (n=15 insufficient)</w:t>
            </w:r>
            <w:r>
              <w:rPr>
                <w:rStyle w:val="FootnoteReference"/>
              </w:rPr>
              <w:footnoteReference w:id="400"/>
            </w:r>
          </w:p>
        </w:tc>
        <w:tc>
          <w:tcPr/>
          <w:p>
            <w:pPr>
              <w:pStyle w:val="Compact"/>
              <w:jc w:val="center"/>
            </w:pPr>
            <w:r>
              <w:t xml:space="preserve">1</w:t>
            </w:r>
          </w:p>
        </w:tc>
      </w:tr>
      <w:tr>
        <w:tc>
          <w:tcPr/>
          <w:p>
            <w:pPr>
              <w:pStyle w:val="Compact"/>
              <w:jc w:val="center"/>
            </w:pPr>
            <w:r>
              <w:t xml:space="preserve">13</w:t>
            </w:r>
          </w:p>
        </w:tc>
        <w:tc>
          <w:tcPr/>
          <w:p>
            <w:pPr>
              <w:pStyle w:val="Compact"/>
              <w:jc w:val="left"/>
            </w:pPr>
            <w:r>
              <w:t xml:space="preserve">ETF 10-day hard stop (tactical only)</w:t>
            </w:r>
          </w:p>
        </w:tc>
        <w:tc>
          <w:tcPr/>
          <w:p>
            <w:pPr>
              <w:pStyle w:val="Compact"/>
              <w:jc w:val="center"/>
            </w:pPr>
            <w:r>
              <w:t xml:space="preserve">2</w:t>
            </w:r>
          </w:p>
        </w:tc>
        <w:tc>
          <w:tcPr/>
          <w:p>
            <w:pPr>
              <w:pStyle w:val="Compact"/>
              <w:jc w:val="right"/>
            </w:pPr>
            <w:r>
              <w:t xml:space="preserve">+3%</w:t>
            </w:r>
          </w:p>
        </w:tc>
        <w:tc>
          <w:tcPr/>
          <w:p>
            <w:pPr>
              <w:pStyle w:val="Compact"/>
              <w:jc w:val="right"/>
            </w:pPr>
            <w:r>
              <w:t xml:space="preserve">+5%</w:t>
            </w:r>
          </w:p>
        </w:tc>
        <w:tc>
          <w:tcPr/>
          <w:p>
            <w:pPr>
              <w:pStyle w:val="Compact"/>
              <w:jc w:val="center"/>
            </w:pPr>
            <w:r>
              <w:t xml:space="preserve">Low</w:t>
            </w:r>
          </w:p>
        </w:tc>
        <w:tc>
          <w:tcPr/>
          <w:p>
            <w:pPr>
              <w:pStyle w:val="Compact"/>
              <w:jc w:val="center"/>
            </w:pPr>
            <w:r>
              <w:t xml:space="preserve">A</w:t>
            </w:r>
          </w:p>
        </w:tc>
        <w:tc>
          <w:tcPr/>
          <w:p>
            <w:pPr>
              <w:pStyle w:val="Compact"/>
              <w:jc w:val="left"/>
            </w:pPr>
            <w:r>
              <w:t xml:space="preserve">Academic: MDPI (2026) single-lag decay; L100 PF 2.88→1.32</w:t>
            </w:r>
            <w:r>
              <w:rPr>
                <w:rStyle w:val="FootnoteReference"/>
              </w:rPr>
              <w:footnoteReference w:id="401"/>
            </w:r>
          </w:p>
        </w:tc>
        <w:tc>
          <w:tcPr/>
          <w:p>
            <w:pPr>
              <w:pStyle w:val="Compact"/>
              <w:jc w:val="center"/>
            </w:pPr>
            <w:r>
              <w:t xml:space="preserve">2</w:t>
            </w:r>
          </w:p>
        </w:tc>
      </w:tr>
      <w:tr>
        <w:tc>
          <w:tcPr/>
          <w:p>
            <w:pPr>
              <w:pStyle w:val="Compact"/>
              <w:jc w:val="center"/>
            </w:pPr>
            <w:r>
              <w:t xml:space="preserve">14</w:t>
            </w:r>
          </w:p>
        </w:tc>
        <w:tc>
          <w:tcPr/>
          <w:p>
            <w:pPr>
              <w:pStyle w:val="Compact"/>
              <w:jc w:val="left"/>
            </w:pPr>
            <w:r>
              <w:t xml:space="preserve">Factor sleeve rebalancing (Q/M/V/LV/ML)</w:t>
            </w:r>
          </w:p>
        </w:tc>
        <w:tc>
          <w:tcPr/>
          <w:p>
            <w:pPr>
              <w:pStyle w:val="Compact"/>
              <w:jc w:val="center"/>
            </w:pPr>
            <w:r>
              <w:t xml:space="preserve">2</w:t>
            </w:r>
          </w:p>
        </w:tc>
        <w:tc>
          <w:tcPr/>
          <w:p>
            <w:pPr>
              <w:pStyle w:val="Compact"/>
              <w:jc w:val="right"/>
            </w:pPr>
            <w:r>
              <w:t xml:space="preserve">+2%</w:t>
            </w:r>
          </w:p>
        </w:tc>
        <w:tc>
          <w:tcPr/>
          <w:p>
            <w:pPr>
              <w:pStyle w:val="Compact"/>
              <w:jc w:val="right"/>
            </w:pPr>
            <w:r>
              <w:t xml:space="preserve">+4%</w:t>
            </w:r>
          </w:p>
        </w:tc>
        <w:tc>
          <w:tcPr/>
          <w:p>
            <w:pPr>
              <w:pStyle w:val="Compact"/>
              <w:jc w:val="center"/>
            </w:pPr>
            <w:r>
              <w:t xml:space="preserve">Med</w:t>
            </w:r>
          </w:p>
        </w:tc>
        <w:tc>
          <w:tcPr/>
          <w:p>
            <w:pPr>
              <w:pStyle w:val="Compact"/>
              <w:jc w:val="center"/>
            </w:pPr>
            <w:r>
              <w:t xml:space="preserve">B</w:t>
            </w:r>
          </w:p>
        </w:tc>
        <w:tc>
          <w:tcPr/>
          <w:p>
            <w:pPr>
              <w:pStyle w:val="Compact"/>
              <w:jc w:val="left"/>
            </w:pPr>
            <w:r>
              <w:t xml:space="preserve">SGH (2024): momentum Sharpe 0.49, quality 0.46 over 60 years</w:t>
            </w:r>
            <w:r>
              <w:rPr>
                <w:rStyle w:val="FootnoteReference"/>
              </w:rPr>
              <w:footnoteReference w:id="402"/>
            </w:r>
          </w:p>
        </w:tc>
        <w:tc>
          <w:tcPr/>
          <w:p>
            <w:pPr>
              <w:pStyle w:val="Compact"/>
              <w:jc w:val="center"/>
            </w:pPr>
            <w:r>
              <w:t xml:space="preserve">8</w:t>
            </w:r>
          </w:p>
        </w:tc>
      </w:tr>
      <w:tr>
        <w:tc>
          <w:tcPr/>
          <w:p>
            <w:pPr>
              <w:pStyle w:val="Compact"/>
              <w:jc w:val="center"/>
            </w:pPr>
            <w:r>
              <w:t xml:space="preserve">15</w:t>
            </w:r>
          </w:p>
        </w:tc>
        <w:tc>
          <w:tcPr/>
          <w:p>
            <w:pPr>
              <w:pStyle w:val="Compact"/>
              <w:jc w:val="left"/>
            </w:pPr>
            <w:r>
              <w:t xml:space="preserve">Sector rotation filter (top-5 GICS)</w:t>
            </w:r>
          </w:p>
        </w:tc>
        <w:tc>
          <w:tcPr/>
          <w:p>
            <w:pPr>
              <w:pStyle w:val="Compact"/>
              <w:jc w:val="center"/>
            </w:pPr>
            <w:r>
              <w:t xml:space="preserve">2</w:t>
            </w:r>
          </w:p>
        </w:tc>
        <w:tc>
          <w:tcPr/>
          <w:p>
            <w:pPr>
              <w:pStyle w:val="Compact"/>
              <w:jc w:val="right"/>
            </w:pPr>
            <w:r>
              <w:t xml:space="preserve">+1.5%</w:t>
            </w:r>
          </w:p>
        </w:tc>
        <w:tc>
          <w:tcPr/>
          <w:p>
            <w:pPr>
              <w:pStyle w:val="Compact"/>
              <w:jc w:val="right"/>
            </w:pPr>
            <w:r>
              <w:t xml:space="preserve">+3%</w:t>
            </w:r>
          </w:p>
        </w:tc>
        <w:tc>
          <w:tcPr/>
          <w:p>
            <w:pPr>
              <w:pStyle w:val="Compact"/>
              <w:jc w:val="center"/>
            </w:pPr>
            <w:r>
              <w:t xml:space="preserve">Med</w:t>
            </w:r>
          </w:p>
        </w:tc>
        <w:tc>
          <w:tcPr/>
          <w:p>
            <w:pPr>
              <w:pStyle w:val="Compact"/>
              <w:jc w:val="center"/>
            </w:pPr>
            <w:r>
              <w:t xml:space="preserve">B</w:t>
            </w:r>
          </w:p>
        </w:tc>
        <w:tc>
          <w:tcPr/>
          <w:p>
            <w:pPr>
              <w:pStyle w:val="Compact"/>
              <w:jc w:val="left"/>
            </w:pPr>
            <w:r>
              <w:t xml:space="preserve">TSX 60 study: 15.30% annual, Sharpe 0.922</w:t>
            </w:r>
            <w:r>
              <w:rPr>
                <w:rStyle w:val="FootnoteReference"/>
              </w:rPr>
              <w:footnoteReference w:id="403"/>
            </w:r>
          </w:p>
        </w:tc>
        <w:tc>
          <w:tcPr/>
          <w:p>
            <w:pPr>
              <w:pStyle w:val="Compact"/>
              <w:jc w:val="center"/>
            </w:pPr>
            <w:r>
              <w:t xml:space="preserve">6</w:t>
            </w:r>
          </w:p>
        </w:tc>
      </w:tr>
      <w:tr>
        <w:tc>
          <w:tcPr/>
          <w:p>
            <w:pPr>
              <w:pStyle w:val="Compact"/>
              <w:jc w:val="center"/>
            </w:pPr>
            <w:r>
              <w:t xml:space="preserve">16</w:t>
            </w:r>
          </w:p>
        </w:tc>
        <w:tc>
          <w:tcPr/>
          <w:p>
            <w:pPr>
              <w:pStyle w:val="Compact"/>
              <w:jc w:val="left"/>
            </w:pPr>
            <w:r>
              <w:t xml:space="preserve">Forex recovery: nine code fixes</w:t>
            </w:r>
          </w:p>
        </w:tc>
        <w:tc>
          <w:tcPr/>
          <w:p>
            <w:pPr>
              <w:pStyle w:val="Compact"/>
              <w:jc w:val="center"/>
            </w:pPr>
            <w:r>
              <w:t xml:space="preserve">3</w:t>
            </w:r>
          </w:p>
        </w:tc>
        <w:tc>
          <w:tcPr/>
          <w:p>
            <w:pPr>
              <w:pStyle w:val="Compact"/>
              <w:jc w:val="right"/>
            </w:pPr>
            <w:r>
              <w:t xml:space="preserve">+5%</w:t>
            </w:r>
          </w:p>
        </w:tc>
        <w:tc>
          <w:tcPr/>
          <w:p>
            <w:pPr>
              <w:pStyle w:val="Compact"/>
              <w:jc w:val="right"/>
            </w:pPr>
            <w:r>
              <w:t xml:space="preserve">+12%</w:t>
            </w:r>
          </w:p>
        </w:tc>
        <w:tc>
          <w:tcPr/>
          <w:p>
            <w:pPr>
              <w:pStyle w:val="Compact"/>
              <w:jc w:val="center"/>
            </w:pPr>
            <w:r>
              <w:t xml:space="preserve">Med</w:t>
            </w:r>
          </w:p>
        </w:tc>
        <w:tc>
          <w:tcPr/>
          <w:p>
            <w:pPr>
              <w:pStyle w:val="Compact"/>
              <w:jc w:val="center"/>
            </w:pPr>
            <w:r>
              <w:t xml:space="preserve">A+</w:t>
            </w:r>
          </w:p>
        </w:tc>
        <w:tc>
          <w:tcPr/>
          <w:p>
            <w:pPr>
              <w:pStyle w:val="Compact"/>
              <w:jc w:val="left"/>
            </w:pPr>
            <w:r>
              <w:t xml:space="preserve">Trusted filter: n=273, WR 48.7%, PF 3.59 (95% CI [42.6%, 54.8%])</w:t>
            </w:r>
            <w:r>
              <w:rPr>
                <w:rStyle w:val="FootnoteReference"/>
              </w:rPr>
              <w:footnoteReference w:id="404"/>
            </w:r>
          </w:p>
        </w:tc>
        <w:tc>
          <w:tcPr/>
          <w:p>
            <w:pPr>
              <w:pStyle w:val="Compact"/>
              <w:jc w:val="center"/>
            </w:pPr>
            <w:r>
              <w:t xml:space="preserve">16</w:t>
            </w:r>
          </w:p>
        </w:tc>
      </w:tr>
      <w:tr>
        <w:tc>
          <w:tcPr/>
          <w:p>
            <w:pPr>
              <w:pStyle w:val="Compact"/>
              <w:jc w:val="center"/>
            </w:pPr>
            <w:r>
              <w:t xml:space="preserve">17</w:t>
            </w:r>
          </w:p>
        </w:tc>
        <w:tc>
          <w:tcPr/>
          <w:p>
            <w:pPr>
              <w:pStyle w:val="Compact"/>
              <w:jc w:val="left"/>
            </w:pPr>
            <w:r>
              <w:t xml:space="preserve">G10 carry factor sleeve overlay</w:t>
            </w:r>
          </w:p>
        </w:tc>
        <w:tc>
          <w:tcPr/>
          <w:p>
            <w:pPr>
              <w:pStyle w:val="Compact"/>
              <w:jc w:val="center"/>
            </w:pPr>
            <w:r>
              <w:t xml:space="preserve">3, 7</w:t>
            </w:r>
          </w:p>
        </w:tc>
        <w:tc>
          <w:tcPr/>
          <w:p>
            <w:pPr>
              <w:pStyle w:val="Compact"/>
              <w:jc w:val="right"/>
            </w:pPr>
            <w:r>
              <w:t xml:space="preserve">+2%</w:t>
            </w:r>
          </w:p>
        </w:tc>
        <w:tc>
          <w:tcPr/>
          <w:p>
            <w:pPr>
              <w:pStyle w:val="Compact"/>
              <w:jc w:val="right"/>
            </w:pPr>
            <w:r>
              <w:t xml:space="preserve">+4%</w:t>
            </w:r>
          </w:p>
        </w:tc>
        <w:tc>
          <w:tcPr/>
          <w:p>
            <w:pPr>
              <w:pStyle w:val="Compact"/>
              <w:jc w:val="center"/>
            </w:pPr>
            <w:r>
              <w:t xml:space="preserve">Med</w:t>
            </w:r>
          </w:p>
        </w:tc>
        <w:tc>
          <w:tcPr/>
          <w:p>
            <w:pPr>
              <w:pStyle w:val="Compact"/>
              <w:jc w:val="center"/>
            </w:pPr>
            <w:r>
              <w:t xml:space="preserve">B</w:t>
            </w:r>
          </w:p>
        </w:tc>
        <w:tc>
          <w:tcPr/>
          <w:p>
            <w:pPr>
              <w:pStyle w:val="Compact"/>
              <w:jc w:val="left"/>
            </w:pPr>
            <w:r>
              <w:t xml:space="preserve">Burnside et al. (2011): Sharpe 0.86 diversified carry</w:t>
            </w:r>
            <w:r>
              <w:rPr>
                <w:rStyle w:val="FootnoteReference"/>
              </w:rPr>
              <w:footnoteReference w:id="405"/>
            </w:r>
          </w:p>
        </w:tc>
        <w:tc>
          <w:tcPr/>
          <w:p>
            <w:pPr>
              <w:pStyle w:val="Compact"/>
              <w:jc w:val="center"/>
            </w:pPr>
            <w:r>
              <w:t xml:space="preserve">12</w:t>
            </w:r>
          </w:p>
        </w:tc>
      </w:tr>
      <w:tr>
        <w:tc>
          <w:tcPr/>
          <w:p>
            <w:pPr>
              <w:pStyle w:val="Compact"/>
              <w:jc w:val="center"/>
            </w:pPr>
            <w:r>
              <w:t xml:space="preserve">18</w:t>
            </w:r>
          </w:p>
        </w:tc>
        <w:tc>
          <w:tcPr/>
          <w:p>
            <w:pPr>
              <w:pStyle w:val="Compact"/>
              <w:jc w:val="left"/>
            </w:pPr>
            <w:r>
              <w:t xml:space="preserve">5bp floor for forex scalps</w:t>
            </w:r>
          </w:p>
        </w:tc>
        <w:tc>
          <w:tcPr/>
          <w:p>
            <w:pPr>
              <w:pStyle w:val="Compact"/>
              <w:jc w:val="center"/>
            </w:pPr>
            <w:r>
              <w:t xml:space="preserve">3</w:t>
            </w:r>
          </w:p>
        </w:tc>
        <w:tc>
          <w:tcPr/>
          <w:p>
            <w:pPr>
              <w:pStyle w:val="Compact"/>
              <w:jc w:val="right"/>
            </w:pPr>
            <w:r>
              <w:t xml:space="preserve">+1%</w:t>
            </w:r>
          </w:p>
        </w:tc>
        <w:tc>
          <w:tcPr/>
          <w:p>
            <w:pPr>
              <w:pStyle w:val="Compact"/>
              <w:jc w:val="right"/>
            </w:pPr>
            <w:r>
              <w:t xml:space="preserve">+2%</w:t>
            </w:r>
          </w:p>
        </w:tc>
        <w:tc>
          <w:tcPr/>
          <w:p>
            <w:pPr>
              <w:pStyle w:val="Compact"/>
              <w:jc w:val="center"/>
            </w:pPr>
            <w:r>
              <w:t xml:space="preserve">Low</w:t>
            </w:r>
          </w:p>
        </w:tc>
        <w:tc>
          <w:tcPr/>
          <w:p>
            <w:pPr>
              <w:pStyle w:val="Compact"/>
              <w:jc w:val="center"/>
            </w:pPr>
            <w:r>
              <w:t xml:space="preserve">A</w:t>
            </w:r>
          </w:p>
        </w:tc>
        <w:tc>
          <w:tcPr/>
          <w:p>
            <w:pPr>
              <w:pStyle w:val="Compact"/>
              <w:jc w:val="left"/>
            </w:pPr>
            <w:r>
              <w:t xml:space="preserve">Shadow log: 63.25% of forex</w:t>
            </w:r>
            <w:r>
              <w:t xml:space="preserve"> </w:t>
            </w:r>
            <w:r>
              <w:t xml:space="preserve">“</w:t>
            </w:r>
            <w:r>
              <w:t xml:space="preserve">wins</w:t>
            </w:r>
            <w:r>
              <w:t xml:space="preserve">”</w:t>
            </w:r>
            <w:r>
              <w:t xml:space="preserve"> </w:t>
            </w:r>
            <w:r>
              <w:t xml:space="preserve">were spread-flicker artifacts</w:t>
            </w:r>
            <w:r>
              <w:rPr>
                <w:rStyle w:val="FootnoteReference"/>
              </w:rPr>
              <w:footnoteReference w:id="406"/>
            </w:r>
          </w:p>
        </w:tc>
        <w:tc>
          <w:tcPr/>
          <w:p>
            <w:pPr>
              <w:pStyle w:val="Compact"/>
              <w:jc w:val="center"/>
            </w:pPr>
            <w:r>
              <w:t xml:space="preserve">1</w:t>
            </w:r>
          </w:p>
        </w:tc>
      </w:tr>
      <w:tr>
        <w:tc>
          <w:tcPr/>
          <w:p>
            <w:pPr>
              <w:pStyle w:val="Compact"/>
              <w:jc w:val="center"/>
            </w:pPr>
            <w:r>
              <w:t xml:space="preserve">19</w:t>
            </w:r>
          </w:p>
        </w:tc>
        <w:tc>
          <w:tcPr/>
          <w:p>
            <w:pPr>
              <w:pStyle w:val="Compact"/>
              <w:jc w:val="left"/>
            </w:pPr>
            <w:r>
              <w:t xml:space="preserve">Commodity confidence gate ≥0.70 retained</w:t>
            </w:r>
          </w:p>
        </w:tc>
        <w:tc>
          <w:tcPr/>
          <w:p>
            <w:pPr>
              <w:pStyle w:val="Compact"/>
              <w:jc w:val="center"/>
            </w:pPr>
            <w:r>
              <w:t xml:space="preserve">4</w:t>
            </w:r>
          </w:p>
        </w:tc>
        <w:tc>
          <w:tcPr/>
          <w:p>
            <w:pPr>
              <w:pStyle w:val="Compact"/>
              <w:jc w:val="right"/>
            </w:pPr>
            <w:r>
              <w:t xml:space="preserve">+1%</w:t>
            </w:r>
          </w:p>
        </w:tc>
        <w:tc>
          <w:tcPr/>
          <w:p>
            <w:pPr>
              <w:pStyle w:val="Compact"/>
              <w:jc w:val="right"/>
            </w:pPr>
            <w:r>
              <w:t xml:space="preserve">+2%</w:t>
            </w:r>
          </w:p>
        </w:tc>
        <w:tc>
          <w:tcPr/>
          <w:p>
            <w:pPr>
              <w:pStyle w:val="Compact"/>
              <w:jc w:val="center"/>
            </w:pPr>
            <w:r>
              <w:t xml:space="preserve">Low</w:t>
            </w:r>
          </w:p>
        </w:tc>
        <w:tc>
          <w:tcPr/>
          <w:p>
            <w:pPr>
              <w:pStyle w:val="Compact"/>
              <w:jc w:val="center"/>
            </w:pPr>
            <w:r>
              <w:t xml:space="preserve">A+</w:t>
            </w:r>
          </w:p>
        </w:tc>
        <w:tc>
          <w:tcPr/>
          <w:p>
            <w:pPr>
              <w:pStyle w:val="Compact"/>
              <w:jc w:val="left"/>
            </w:pPr>
            <w:r>
              <w:t xml:space="preserve">Direct backtest: PF 1.34 above gate vs 0.20–0.43 below</w:t>
            </w:r>
            <w:r>
              <w:rPr>
                <w:rStyle w:val="FootnoteReference"/>
              </w:rPr>
              <w:footnoteReference w:id="407"/>
            </w:r>
          </w:p>
        </w:tc>
        <w:tc>
          <w:tcPr/>
          <w:p>
            <w:pPr>
              <w:pStyle w:val="Compact"/>
              <w:jc w:val="center"/>
            </w:pPr>
            <w:r>
              <w:t xml:space="preserve">0</w:t>
            </w:r>
          </w:p>
        </w:tc>
      </w:tr>
      <w:tr>
        <w:tc>
          <w:tcPr/>
          <w:p>
            <w:pPr>
              <w:pStyle w:val="Compact"/>
              <w:jc w:val="center"/>
            </w:pPr>
            <w:r>
              <w:t xml:space="preserve">20</w:t>
            </w:r>
          </w:p>
        </w:tc>
        <w:tc>
          <w:tcPr/>
          <w:p>
            <w:pPr>
              <w:pStyle w:val="Compact"/>
              <w:jc w:val="left"/>
            </w:pPr>
            <w:r>
              <w:t xml:space="preserve">Bond elite_score floor 30→15</w:t>
            </w:r>
          </w:p>
        </w:tc>
        <w:tc>
          <w:tcPr/>
          <w:p>
            <w:pPr>
              <w:pStyle w:val="Compact"/>
              <w:jc w:val="center"/>
            </w:pPr>
            <w:r>
              <w:t xml:space="preserve">4</w:t>
            </w:r>
          </w:p>
        </w:tc>
        <w:tc>
          <w:tcPr/>
          <w:p>
            <w:pPr>
              <w:pStyle w:val="Compact"/>
              <w:jc w:val="right"/>
            </w:pPr>
            <w:r>
              <w:t xml:space="preserve">+3%</w:t>
            </w:r>
          </w:p>
        </w:tc>
        <w:tc>
          <w:tcPr/>
          <w:p>
            <w:pPr>
              <w:pStyle w:val="Compact"/>
              <w:jc w:val="right"/>
            </w:pPr>
            <w:r>
              <w:t xml:space="preserve">+6%</w:t>
            </w:r>
          </w:p>
        </w:tc>
        <w:tc>
          <w:tcPr/>
          <w:p>
            <w:pPr>
              <w:pStyle w:val="Compact"/>
              <w:jc w:val="center"/>
            </w:pPr>
            <w:r>
              <w:t xml:space="preserve">Low</w:t>
            </w:r>
          </w:p>
        </w:tc>
        <w:tc>
          <w:tcPr/>
          <w:p>
            <w:pPr>
              <w:pStyle w:val="Compact"/>
              <w:jc w:val="center"/>
            </w:pPr>
            <w:r>
              <w:t xml:space="preserve">A</w:t>
            </w:r>
          </w:p>
        </w:tc>
        <w:tc>
          <w:tcPr/>
          <w:p>
            <w:pPr>
              <w:pStyle w:val="Compact"/>
              <w:jc w:val="left"/>
            </w:pPr>
            <w:r>
              <w:t xml:space="preserve">Shadow blocked: TLT (ml_score 0.859), IEF (0.839) blocked by elite_score</w:t>
            </w:r>
            <w:r>
              <w:rPr>
                <w:rStyle w:val="FootnoteReference"/>
              </w:rPr>
              <w:footnoteReference w:id="408"/>
            </w:r>
          </w:p>
        </w:tc>
        <w:tc>
          <w:tcPr/>
          <w:p>
            <w:pPr>
              <w:pStyle w:val="Compact"/>
              <w:jc w:val="center"/>
            </w:pPr>
            <w:r>
              <w:t xml:space="preserve">0.5</w:t>
            </w:r>
          </w:p>
        </w:tc>
      </w:tr>
      <w:tr>
        <w:tc>
          <w:tcPr/>
          <w:p>
            <w:pPr>
              <w:pStyle w:val="Compact"/>
              <w:jc w:val="center"/>
            </w:pPr>
            <w:r>
              <w:t xml:space="preserve">21</w:t>
            </w:r>
          </w:p>
        </w:tc>
        <w:tc>
          <w:tcPr/>
          <w:p>
            <w:pPr>
              <w:pStyle w:val="Compact"/>
              <w:jc w:val="left"/>
            </w:pPr>
            <w:r>
              <w:t xml:space="preserve">Yield curve steepener (2s10s &lt;50bps)</w:t>
            </w:r>
          </w:p>
        </w:tc>
        <w:tc>
          <w:tcPr/>
          <w:p>
            <w:pPr>
              <w:pStyle w:val="Compact"/>
              <w:jc w:val="center"/>
            </w:pPr>
            <w:r>
              <w:t xml:space="preserve">4</w:t>
            </w:r>
          </w:p>
        </w:tc>
        <w:tc>
          <w:tcPr/>
          <w:p>
            <w:pPr>
              <w:pStyle w:val="Compact"/>
              <w:jc w:val="right"/>
            </w:pPr>
            <w:r>
              <w:t xml:space="preserve">+1%</w:t>
            </w:r>
          </w:p>
        </w:tc>
        <w:tc>
          <w:tcPr/>
          <w:p>
            <w:pPr>
              <w:pStyle w:val="Compact"/>
              <w:jc w:val="right"/>
            </w:pPr>
            <w:r>
              <w:t xml:space="preserve">+2%</w:t>
            </w:r>
          </w:p>
        </w:tc>
        <w:tc>
          <w:tcPr/>
          <w:p>
            <w:pPr>
              <w:pStyle w:val="Compact"/>
              <w:jc w:val="center"/>
            </w:pPr>
            <w:r>
              <w:t xml:space="preserve">Med</w:t>
            </w:r>
          </w:p>
        </w:tc>
        <w:tc>
          <w:tcPr/>
          <w:p>
            <w:pPr>
              <w:pStyle w:val="Compact"/>
              <w:jc w:val="center"/>
            </w:pPr>
            <w:r>
              <w:t xml:space="preserve">B</w:t>
            </w:r>
          </w:p>
        </w:tc>
        <w:tc>
          <w:tcPr/>
          <w:p>
            <w:pPr>
              <w:pStyle w:val="Compact"/>
              <w:jc w:val="left"/>
            </w:pPr>
            <w:r>
              <w:t xml:space="preserve">Historical: 62% WR, +2.8% avg 6M return since 1990</w:t>
            </w:r>
            <w:r>
              <w:rPr>
                <w:rStyle w:val="FootnoteReference"/>
              </w:rPr>
              <w:footnoteReference w:id="409"/>
            </w:r>
          </w:p>
        </w:tc>
        <w:tc>
          <w:tcPr/>
          <w:p>
            <w:pPr>
              <w:pStyle w:val="Compact"/>
              <w:jc w:val="center"/>
            </w:pPr>
            <w:r>
              <w:t xml:space="preserve">4</w:t>
            </w:r>
          </w:p>
        </w:tc>
      </w:tr>
      <w:tr>
        <w:tc>
          <w:tcPr/>
          <w:p>
            <w:pPr>
              <w:pStyle w:val="Compact"/>
              <w:jc w:val="center"/>
            </w:pPr>
            <w:r>
              <w:t xml:space="preserve">22</w:t>
            </w:r>
          </w:p>
        </w:tc>
        <w:tc>
          <w:tcPr/>
          <w:p>
            <w:pPr>
              <w:pStyle w:val="Compact"/>
              <w:jc w:val="left"/>
            </w:pPr>
            <w:r>
              <w:t xml:space="preserve">Futures accumulation mode (lower gates)</w:t>
            </w:r>
          </w:p>
        </w:tc>
        <w:tc>
          <w:tcPr/>
          <w:p>
            <w:pPr>
              <w:pStyle w:val="Compact"/>
              <w:jc w:val="center"/>
            </w:pPr>
            <w:r>
              <w:t xml:space="preserve">4</w:t>
            </w:r>
          </w:p>
        </w:tc>
        <w:tc>
          <w:tcPr/>
          <w:p>
            <w:pPr>
              <w:pStyle w:val="Compact"/>
              <w:jc w:val="right"/>
            </w:pPr>
            <w:r>
              <w:t xml:space="preserve">+0.5%</w:t>
            </w:r>
          </w:p>
        </w:tc>
        <w:tc>
          <w:tcPr/>
          <w:p>
            <w:pPr>
              <w:pStyle w:val="Compact"/>
              <w:jc w:val="right"/>
            </w:pPr>
            <w:r>
              <w:t xml:space="preserve">+1%</w:t>
            </w:r>
          </w:p>
        </w:tc>
        <w:tc>
          <w:tcPr/>
          <w:p>
            <w:pPr>
              <w:pStyle w:val="Compact"/>
              <w:jc w:val="center"/>
            </w:pPr>
            <w:r>
              <w:t xml:space="preserve">High</w:t>
            </w:r>
          </w:p>
        </w:tc>
        <w:tc>
          <w:tcPr/>
          <w:p>
            <w:pPr>
              <w:pStyle w:val="Compact"/>
              <w:jc w:val="center"/>
            </w:pPr>
            <w:r>
              <w:t xml:space="preserve">C</w:t>
            </w:r>
          </w:p>
        </w:tc>
        <w:tc>
          <w:tcPr/>
          <w:p>
            <w:pPr>
              <w:pStyle w:val="Compact"/>
              <w:jc w:val="left"/>
            </w:pPr>
            <w:r>
              <w:t xml:space="preserve">Expert judgment: n=2 insufficient; shadow-mode protocol</w:t>
            </w:r>
            <w:r>
              <w:rPr>
                <w:rStyle w:val="FootnoteReference"/>
              </w:rPr>
              <w:footnoteReference w:id="410"/>
            </w:r>
          </w:p>
        </w:tc>
        <w:tc>
          <w:tcPr/>
          <w:p>
            <w:pPr>
              <w:pStyle w:val="Compact"/>
              <w:jc w:val="center"/>
            </w:pPr>
            <w:r>
              <w:t xml:space="preserve">6</w:t>
            </w:r>
          </w:p>
        </w:tc>
      </w:tr>
      <w:tr>
        <w:tc>
          <w:tcPr/>
          <w:p>
            <w:pPr>
              <w:pStyle w:val="Compact"/>
              <w:jc w:val="center"/>
            </w:pPr>
            <w:r>
              <w:t xml:space="preserve">23</w:t>
            </w:r>
          </w:p>
        </w:tc>
        <w:tc>
          <w:tcPr/>
          <w:p>
            <w:pPr>
              <w:pStyle w:val="Compact"/>
              <w:jc w:val="left"/>
            </w:pPr>
            <w:r>
              <w:t xml:space="preserve">Commodity triple-screen replacement</w:t>
            </w:r>
          </w:p>
        </w:tc>
        <w:tc>
          <w:tcPr/>
          <w:p>
            <w:pPr>
              <w:pStyle w:val="Compact"/>
              <w:jc w:val="center"/>
            </w:pPr>
            <w:r>
              <w:t xml:space="preserve">7</w:t>
            </w:r>
          </w:p>
        </w:tc>
        <w:tc>
          <w:tcPr/>
          <w:p>
            <w:pPr>
              <w:pStyle w:val="Compact"/>
              <w:jc w:val="right"/>
            </w:pPr>
            <w:r>
              <w:t xml:space="preserve">+1.5%</w:t>
            </w:r>
          </w:p>
        </w:tc>
        <w:tc>
          <w:tcPr/>
          <w:p>
            <w:pPr>
              <w:pStyle w:val="Compact"/>
              <w:jc w:val="right"/>
            </w:pPr>
            <w:r>
              <w:t xml:space="preserve">+3%</w:t>
            </w:r>
          </w:p>
        </w:tc>
        <w:tc>
          <w:tcPr/>
          <w:p>
            <w:pPr>
              <w:pStyle w:val="Compact"/>
              <w:jc w:val="center"/>
            </w:pPr>
            <w:r>
              <w:t xml:space="preserve">Med</w:t>
            </w:r>
          </w:p>
        </w:tc>
        <w:tc>
          <w:tcPr/>
          <w:p>
            <w:pPr>
              <w:pStyle w:val="Compact"/>
              <w:jc w:val="center"/>
            </w:pPr>
            <w:r>
              <w:t xml:space="preserve">B</w:t>
            </w:r>
          </w:p>
        </w:tc>
        <w:tc>
          <w:tcPr/>
          <w:p>
            <w:pPr>
              <w:pStyle w:val="Compact"/>
              <w:jc w:val="left"/>
            </w:pPr>
            <w:r>
              <w:t xml:space="preserve">Fuertes et al. (2015): triple-screen Sharpe 0.69</w:t>
            </w:r>
            <w:r>
              <w:rPr>
                <w:rStyle w:val="FootnoteReference"/>
              </w:rPr>
              <w:footnoteReference w:id="411"/>
            </w:r>
          </w:p>
        </w:tc>
        <w:tc>
          <w:tcPr/>
          <w:p>
            <w:pPr>
              <w:pStyle w:val="Compact"/>
              <w:jc w:val="center"/>
            </w:pPr>
            <w:r>
              <w:t xml:space="preserve">20</w:t>
            </w:r>
          </w:p>
        </w:tc>
      </w:tr>
      <w:tr>
        <w:tc>
          <w:tcPr/>
          <w:p>
            <w:pPr>
              <w:pStyle w:val="Compact"/>
              <w:jc w:val="center"/>
            </w:pPr>
            <w:r>
              <w:t xml:space="preserve">24</w:t>
            </w:r>
          </w:p>
        </w:tc>
        <w:tc>
          <w:tcPr/>
          <w:p>
            <w:pPr>
              <w:pStyle w:val="Compact"/>
              <w:jc w:val="left"/>
            </w:pPr>
            <w:r>
              <w:t xml:space="preserve">Crypto perp funding-rate arbitrage</w:t>
            </w:r>
          </w:p>
        </w:tc>
        <w:tc>
          <w:tcPr/>
          <w:p>
            <w:pPr>
              <w:pStyle w:val="Compact"/>
              <w:jc w:val="center"/>
            </w:pPr>
            <w:r>
              <w:t xml:space="preserve">7</w:t>
            </w:r>
          </w:p>
        </w:tc>
        <w:tc>
          <w:tcPr/>
          <w:p>
            <w:pPr>
              <w:pStyle w:val="Compact"/>
              <w:jc w:val="right"/>
            </w:pPr>
            <w:r>
              <w:t xml:space="preserve">+3%</w:t>
            </w:r>
          </w:p>
        </w:tc>
        <w:tc>
          <w:tcPr/>
          <w:p>
            <w:pPr>
              <w:pStyle w:val="Compact"/>
              <w:jc w:val="right"/>
            </w:pPr>
            <w:r>
              <w:t xml:space="preserve">+8%</w:t>
            </w:r>
          </w:p>
        </w:tc>
        <w:tc>
          <w:tcPr/>
          <w:p>
            <w:pPr>
              <w:pStyle w:val="Compact"/>
              <w:jc w:val="center"/>
            </w:pPr>
            <w:r>
              <w:t xml:space="preserve">Med</w:t>
            </w:r>
          </w:p>
        </w:tc>
        <w:tc>
          <w:tcPr/>
          <w:p>
            <w:pPr>
              <w:pStyle w:val="Compact"/>
              <w:jc w:val="center"/>
            </w:pPr>
            <w:r>
              <w:t xml:space="preserve">B-</w:t>
            </w:r>
          </w:p>
        </w:tc>
        <w:tc>
          <w:tcPr/>
          <w:p>
            <w:pPr>
              <w:pStyle w:val="Compact"/>
              <w:jc w:val="left"/>
            </w:pPr>
            <w:r>
              <w:t xml:space="preserve">He &amp; Manela (2024): PF 5–8+; Li et al. (2025): 115.9% over 6M</w:t>
            </w:r>
            <w:r>
              <w:rPr>
                <w:rStyle w:val="FootnoteReference"/>
              </w:rPr>
              <w:footnoteReference w:id="412"/>
            </w:r>
          </w:p>
        </w:tc>
        <w:tc>
          <w:tcPr/>
          <w:p>
            <w:pPr>
              <w:pStyle w:val="Compact"/>
              <w:jc w:val="center"/>
            </w:pPr>
            <w:r>
              <w:t xml:space="preserve">24</w:t>
            </w:r>
          </w:p>
        </w:tc>
      </w:tr>
      <w:tr>
        <w:tc>
          <w:tcPr/>
          <w:p>
            <w:pPr>
              <w:pStyle w:val="Compact"/>
              <w:jc w:val="center"/>
            </w:pPr>
            <w:r>
              <w:t xml:space="preserve">25</w:t>
            </w:r>
          </w:p>
        </w:tc>
        <w:tc>
          <w:tcPr/>
          <w:p>
            <w:pPr>
              <w:pStyle w:val="Compact"/>
              <w:jc w:val="left"/>
            </w:pPr>
            <w:r>
              <w:t xml:space="preserve">CEF NAV discount mean reversion</w:t>
            </w:r>
          </w:p>
        </w:tc>
        <w:tc>
          <w:tcPr/>
          <w:p>
            <w:pPr>
              <w:pStyle w:val="Compact"/>
              <w:jc w:val="center"/>
            </w:pPr>
            <w:r>
              <w:t xml:space="preserve">7</w:t>
            </w:r>
          </w:p>
        </w:tc>
        <w:tc>
          <w:tcPr/>
          <w:p>
            <w:pPr>
              <w:pStyle w:val="Compact"/>
              <w:jc w:val="right"/>
            </w:pPr>
            <w:r>
              <w:t xml:space="preserve">+2%</w:t>
            </w:r>
          </w:p>
        </w:tc>
        <w:tc>
          <w:tcPr/>
          <w:p>
            <w:pPr>
              <w:pStyle w:val="Compact"/>
              <w:jc w:val="right"/>
            </w:pPr>
            <w:r>
              <w:t xml:space="preserve">+5%</w:t>
            </w:r>
          </w:p>
        </w:tc>
        <w:tc>
          <w:tcPr/>
          <w:p>
            <w:pPr>
              <w:pStyle w:val="Compact"/>
              <w:jc w:val="center"/>
            </w:pPr>
            <w:r>
              <w:t xml:space="preserve">Med</w:t>
            </w:r>
          </w:p>
        </w:tc>
        <w:tc>
          <w:tcPr/>
          <w:p>
            <w:pPr>
              <w:pStyle w:val="Compact"/>
              <w:jc w:val="center"/>
            </w:pPr>
            <w:r>
              <w:t xml:space="preserve">B-</w:t>
            </w:r>
          </w:p>
        </w:tc>
        <w:tc>
          <w:tcPr/>
          <w:p>
            <w:pPr>
              <w:pStyle w:val="Compact"/>
              <w:jc w:val="left"/>
            </w:pPr>
            <w:r>
              <w:t xml:space="preserve">CUNY (2021): 17.3% annual, Sharpe 1.862</w:t>
            </w:r>
            <w:r>
              <w:rPr>
                <w:rStyle w:val="FootnoteReference"/>
              </w:rPr>
              <w:footnoteReference w:id="413"/>
            </w:r>
          </w:p>
        </w:tc>
        <w:tc>
          <w:tcPr/>
          <w:p>
            <w:pPr>
              <w:pStyle w:val="Compact"/>
              <w:jc w:val="center"/>
            </w:pPr>
            <w:r>
              <w:t xml:space="preserve">16</w:t>
            </w:r>
          </w:p>
        </w:tc>
      </w:tr>
      <w:tr>
        <w:tc>
          <w:tcPr/>
          <w:p>
            <w:pPr>
              <w:pStyle w:val="Compact"/>
              <w:jc w:val="center"/>
            </w:pPr>
            <w:r>
              <w:t xml:space="preserve">26</w:t>
            </w:r>
          </w:p>
        </w:tc>
        <w:tc>
          <w:tcPr/>
          <w:p>
            <w:pPr>
              <w:pStyle w:val="Compact"/>
              <w:jc w:val="left"/>
            </w:pPr>
            <w:r>
              <w:t xml:space="preserve">Meme coin pilot (5% hard cap)</w:t>
            </w:r>
          </w:p>
        </w:tc>
        <w:tc>
          <w:tcPr/>
          <w:p>
            <w:pPr>
              <w:pStyle w:val="Compact"/>
              <w:jc w:val="center"/>
            </w:pPr>
            <w:r>
              <w:t xml:space="preserve">7</w:t>
            </w:r>
          </w:p>
        </w:tc>
        <w:tc>
          <w:tcPr/>
          <w:p>
            <w:pPr>
              <w:pStyle w:val="Compact"/>
              <w:jc w:val="right"/>
            </w:pPr>
            <w:r>
              <w:t xml:space="preserve">+0.5%</w:t>
            </w:r>
          </w:p>
        </w:tc>
        <w:tc>
          <w:tcPr/>
          <w:p>
            <w:pPr>
              <w:pStyle w:val="Compact"/>
              <w:jc w:val="right"/>
            </w:pPr>
            <w:r>
              <w:t xml:space="preserve">+2%</w:t>
            </w:r>
          </w:p>
        </w:tc>
        <w:tc>
          <w:tcPr/>
          <w:p>
            <w:pPr>
              <w:pStyle w:val="Compact"/>
              <w:jc w:val="center"/>
            </w:pPr>
            <w:r>
              <w:t xml:space="preserve">High</w:t>
            </w:r>
          </w:p>
        </w:tc>
        <w:tc>
          <w:tcPr/>
          <w:p>
            <w:pPr>
              <w:pStyle w:val="Compact"/>
              <w:jc w:val="center"/>
            </w:pPr>
            <w:r>
              <w:t xml:space="preserve">C</w:t>
            </w:r>
          </w:p>
        </w:tc>
        <w:tc>
          <w:tcPr/>
          <w:p>
            <w:pPr>
              <w:pStyle w:val="Compact"/>
              <w:jc w:val="left"/>
            </w:pPr>
            <w:r>
              <w:t xml:space="preserve">Sentiment analysis: 74% XGBoost accuracy (2025)[^12^]</w:t>
            </w:r>
          </w:p>
        </w:tc>
        <w:tc>
          <w:tcPr/>
          <w:p>
            <w:pPr>
              <w:pStyle w:val="Compact"/>
              <w:jc w:val="center"/>
            </w:pPr>
            <w:r>
              <w:t xml:space="preserve">20</w:t>
            </w:r>
          </w:p>
        </w:tc>
      </w:tr>
      <w:tr>
        <w:tc>
          <w:tcPr/>
          <w:p>
            <w:pPr>
              <w:pStyle w:val="Compact"/>
              <w:jc w:val="center"/>
            </w:pPr>
            <w:r>
              <w:t xml:space="preserve">27</w:t>
            </w:r>
          </w:p>
        </w:tc>
        <w:tc>
          <w:tcPr/>
          <w:p>
            <w:pPr>
              <w:pStyle w:val="Compact"/>
              <w:jc w:val="left"/>
            </w:pPr>
            <w:r>
              <w:t xml:space="preserve">Penny stock reversal (2% cap)</w:t>
            </w:r>
          </w:p>
        </w:tc>
        <w:tc>
          <w:tcPr/>
          <w:p>
            <w:pPr>
              <w:pStyle w:val="Compact"/>
              <w:jc w:val="center"/>
            </w:pPr>
            <w:r>
              <w:t xml:space="preserve">7</w:t>
            </w:r>
          </w:p>
        </w:tc>
        <w:tc>
          <w:tcPr/>
          <w:p>
            <w:pPr>
              <w:pStyle w:val="Compact"/>
              <w:jc w:val="right"/>
            </w:pPr>
            <w:r>
              <w:t xml:space="preserve">+0.5%</w:t>
            </w:r>
          </w:p>
        </w:tc>
        <w:tc>
          <w:tcPr/>
          <w:p>
            <w:pPr>
              <w:pStyle w:val="Compact"/>
              <w:jc w:val="right"/>
            </w:pPr>
            <w:r>
              <w:t xml:space="preserve">+1%</w:t>
            </w:r>
          </w:p>
        </w:tc>
        <w:tc>
          <w:tcPr/>
          <w:p>
            <w:pPr>
              <w:pStyle w:val="Compact"/>
              <w:jc w:val="center"/>
            </w:pPr>
            <w:r>
              <w:t xml:space="preserve">High</w:t>
            </w:r>
          </w:p>
        </w:tc>
        <w:tc>
          <w:tcPr/>
          <w:p>
            <w:pPr>
              <w:pStyle w:val="Compact"/>
              <w:jc w:val="center"/>
            </w:pPr>
            <w:r>
              <w:t xml:space="preserve">C</w:t>
            </w:r>
          </w:p>
        </w:tc>
        <w:tc>
          <w:tcPr/>
          <w:p>
            <w:pPr>
              <w:pStyle w:val="Compact"/>
              <w:jc w:val="left"/>
            </w:pPr>
            <w:r>
              <w:t xml:space="preserve">Da et al. (2014): 0.62–0.85% monthly alpha, t-stat 4.37–6.72[^13^]</w:t>
            </w:r>
          </w:p>
        </w:tc>
        <w:tc>
          <w:tcPr/>
          <w:p>
            <w:pPr>
              <w:pStyle w:val="Compact"/>
              <w:jc w:val="center"/>
            </w:pPr>
            <w:r>
              <w:t xml:space="preserve">24</w:t>
            </w:r>
          </w:p>
        </w:tc>
      </w:tr>
      <w:tr>
        <w:tc>
          <w:tcPr/>
          <w:p>
            <w:pPr>
              <w:pStyle w:val="Compact"/>
              <w:jc w:val="center"/>
            </w:pPr>
            <w:r>
              <w:t xml:space="preserve">28</w:t>
            </w:r>
          </w:p>
        </w:tc>
        <w:tc>
          <w:tcPr/>
          <w:p>
            <w:pPr>
              <w:pStyle w:val="Compact"/>
              <w:jc w:val="left"/>
            </w:pPr>
            <w:r>
              <w:t xml:space="preserve">Gold/silver ratio mean reversion</w:t>
            </w:r>
          </w:p>
        </w:tc>
        <w:tc>
          <w:tcPr/>
          <w:p>
            <w:pPr>
              <w:pStyle w:val="Compact"/>
              <w:jc w:val="center"/>
            </w:pPr>
            <w:r>
              <w:t xml:space="preserve">7</w:t>
            </w:r>
          </w:p>
        </w:tc>
        <w:tc>
          <w:tcPr/>
          <w:p>
            <w:pPr>
              <w:pStyle w:val="Compact"/>
              <w:jc w:val="right"/>
            </w:pPr>
            <w:r>
              <w:t xml:space="preserve">+1%</w:t>
            </w:r>
          </w:p>
        </w:tc>
        <w:tc>
          <w:tcPr/>
          <w:p>
            <w:pPr>
              <w:pStyle w:val="Compact"/>
              <w:jc w:val="right"/>
            </w:pPr>
            <w:r>
              <w:t xml:space="preserve">+2%</w:t>
            </w:r>
          </w:p>
        </w:tc>
        <w:tc>
          <w:tcPr/>
          <w:p>
            <w:pPr>
              <w:pStyle w:val="Compact"/>
              <w:jc w:val="center"/>
            </w:pPr>
            <w:r>
              <w:t xml:space="preserve">Med</w:t>
            </w:r>
          </w:p>
        </w:tc>
        <w:tc>
          <w:tcPr/>
          <w:p>
            <w:pPr>
              <w:pStyle w:val="Compact"/>
              <w:jc w:val="center"/>
            </w:pPr>
            <w:r>
              <w:t xml:space="preserve">B</w:t>
            </w:r>
          </w:p>
        </w:tc>
        <w:tc>
          <w:tcPr/>
          <w:p>
            <w:pPr>
              <w:pStyle w:val="Compact"/>
              <w:jc w:val="left"/>
            </w:pPr>
            <w:r>
              <w:t xml:space="preserve">30-year practitioner data: mean 68:1, reversion within 6–18M</w:t>
            </w:r>
            <w:r>
              <w:rPr>
                <w:rStyle w:val="FootnoteReference"/>
              </w:rPr>
              <w:footnoteReference w:id="414"/>
            </w:r>
          </w:p>
        </w:tc>
        <w:tc>
          <w:tcPr/>
          <w:p>
            <w:pPr>
              <w:pStyle w:val="Compact"/>
              <w:jc w:val="center"/>
            </w:pPr>
            <w:r>
              <w:t xml:space="preserve">8</w:t>
            </w:r>
          </w:p>
        </w:tc>
      </w:tr>
      <w:tr>
        <w:tc>
          <w:tcPr/>
          <w:p>
            <w:pPr>
              <w:pStyle w:val="Compact"/>
              <w:jc w:val="center"/>
            </w:pPr>
            <w:r>
              <w:t xml:space="preserve">29</w:t>
            </w:r>
          </w:p>
        </w:tc>
        <w:tc>
          <w:tcPr/>
          <w:p>
            <w:pPr>
              <w:pStyle w:val="Compact"/>
              <w:jc w:val="left"/>
            </w:pPr>
            <w:r>
              <w:t xml:space="preserve">Build track_calculator.py</w:t>
            </w:r>
          </w:p>
        </w:tc>
        <w:tc>
          <w:tcPr/>
          <w:p>
            <w:pPr>
              <w:pStyle w:val="Compact"/>
              <w:jc w:val="center"/>
            </w:pPr>
            <w:r>
              <w:t xml:space="preserve">6</w:t>
            </w:r>
          </w:p>
        </w:tc>
        <w:tc>
          <w:tcPr/>
          <w:p>
            <w:pPr>
              <w:pStyle w:val="Compact"/>
              <w:jc w:val="right"/>
            </w:pPr>
            <w:r>
              <w:t xml:space="preserve">+2%</w:t>
            </w:r>
          </w:p>
        </w:tc>
        <w:tc>
          <w:tcPr/>
          <w:p>
            <w:pPr>
              <w:pStyle w:val="Compact"/>
              <w:jc w:val="right"/>
            </w:pPr>
            <w:r>
              <w:t xml:space="preserve">+4%</w:t>
            </w:r>
          </w:p>
        </w:tc>
        <w:tc>
          <w:tcPr/>
          <w:p>
            <w:pPr>
              <w:pStyle w:val="Compact"/>
              <w:jc w:val="center"/>
            </w:pPr>
            <w:r>
              <w:t xml:space="preserve">Low</w:t>
            </w:r>
          </w:p>
        </w:tc>
        <w:tc>
          <w:tcPr/>
          <w:p>
            <w:pPr>
              <w:pStyle w:val="Compact"/>
              <w:jc w:val="center"/>
            </w:pPr>
            <w:r>
              <w:t xml:space="preserve">A</w:t>
            </w:r>
          </w:p>
        </w:tc>
        <w:tc>
          <w:tcPr/>
          <w:p>
            <w:pPr>
              <w:pStyle w:val="Compact"/>
              <w:jc w:val="left"/>
            </w:pPr>
            <w:r>
              <w:t xml:space="preserve">Code audit: forward_wr NEVER produced by resolver[^14^]</w:t>
            </w:r>
          </w:p>
        </w:tc>
        <w:tc>
          <w:tcPr/>
          <w:p>
            <w:pPr>
              <w:pStyle w:val="Compact"/>
              <w:jc w:val="center"/>
            </w:pPr>
            <w:r>
              <w:t xml:space="preserve">16</w:t>
            </w:r>
          </w:p>
        </w:tc>
      </w:tr>
      <w:tr>
        <w:tc>
          <w:tcPr/>
          <w:p>
            <w:pPr>
              <w:pStyle w:val="Compact"/>
              <w:jc w:val="center"/>
            </w:pPr>
            <w:r>
              <w:t xml:space="preserve">30</w:t>
            </w:r>
          </w:p>
        </w:tc>
        <w:tc>
          <w:tcPr/>
          <w:p>
            <w:pPr>
              <w:pStyle w:val="Compact"/>
              <w:jc w:val="left"/>
            </w:pPr>
            <w:r>
              <w:t xml:space="preserve">Schema enforcement (12 required fields)</w:t>
            </w:r>
          </w:p>
        </w:tc>
        <w:tc>
          <w:tcPr/>
          <w:p>
            <w:pPr>
              <w:pStyle w:val="Compact"/>
              <w:jc w:val="center"/>
            </w:pPr>
            <w:r>
              <w:t xml:space="preserve">6</w:t>
            </w:r>
          </w:p>
        </w:tc>
        <w:tc>
          <w:tcPr/>
          <w:p>
            <w:pPr>
              <w:pStyle w:val="Compact"/>
              <w:jc w:val="right"/>
            </w:pPr>
            <w:r>
              <w:t xml:space="preserve">+1%</w:t>
            </w:r>
          </w:p>
        </w:tc>
        <w:tc>
          <w:tcPr/>
          <w:p>
            <w:pPr>
              <w:pStyle w:val="Compact"/>
              <w:jc w:val="right"/>
            </w:pPr>
            <w:r>
              <w:t xml:space="preserve">+2%</w:t>
            </w:r>
          </w:p>
        </w:tc>
        <w:tc>
          <w:tcPr/>
          <w:p>
            <w:pPr>
              <w:pStyle w:val="Compact"/>
              <w:jc w:val="center"/>
            </w:pPr>
            <w:r>
              <w:t xml:space="preserve">Low</w:t>
            </w:r>
          </w:p>
        </w:tc>
        <w:tc>
          <w:tcPr/>
          <w:p>
            <w:pPr>
              <w:pStyle w:val="Compact"/>
              <w:jc w:val="center"/>
            </w:pPr>
            <w:r>
              <w:t xml:space="preserve">A</w:t>
            </w:r>
          </w:p>
        </w:tc>
        <w:tc>
          <w:tcPr/>
          <w:p>
            <w:pPr>
              <w:pStyle w:val="Compact"/>
              <w:jc w:val="left"/>
            </w:pPr>
            <w:r>
              <w:t xml:space="preserve">Pipeline audit: 37 issues, 8 Critical, 49% preventable by schema[^14^]</w:t>
            </w:r>
          </w:p>
        </w:tc>
        <w:tc>
          <w:tcPr/>
          <w:p>
            <w:pPr>
              <w:pStyle w:val="Compact"/>
              <w:jc w:val="center"/>
            </w:pPr>
            <w:r>
              <w:t xml:space="preserve">8</w:t>
            </w:r>
          </w:p>
        </w:tc>
      </w:tr>
      <w:tr>
        <w:tc>
          <w:tcPr/>
          <w:p>
            <w:pPr>
              <w:pStyle w:val="Compact"/>
              <w:jc w:val="center"/>
            </w:pPr>
            <w:r>
              <w:t xml:space="preserve">31</w:t>
            </w:r>
          </w:p>
        </w:tc>
        <w:tc>
          <w:tcPr/>
          <w:p>
            <w:pPr>
              <w:pStyle w:val="Compact"/>
              <w:jc w:val="left"/>
            </w:pPr>
            <w:r>
              <w:t xml:space="preserve">Asset class triage (ELIMINATE 4 classes)</w:t>
            </w:r>
          </w:p>
        </w:tc>
        <w:tc>
          <w:tcPr/>
          <w:p>
            <w:pPr>
              <w:pStyle w:val="Compact"/>
              <w:jc w:val="center"/>
            </w:pPr>
            <w:r>
              <w:t xml:space="preserve">8</w:t>
            </w:r>
          </w:p>
        </w:tc>
        <w:tc>
          <w:tcPr/>
          <w:p>
            <w:pPr>
              <w:pStyle w:val="Compact"/>
              <w:jc w:val="right"/>
            </w:pPr>
            <w:r>
              <w:t xml:space="preserve">+8%</w:t>
            </w:r>
          </w:p>
        </w:tc>
        <w:tc>
          <w:tcPr/>
          <w:p>
            <w:pPr>
              <w:pStyle w:val="Compact"/>
              <w:jc w:val="right"/>
            </w:pPr>
            <w:r>
              <w:t xml:space="preserve">+15%</w:t>
            </w:r>
          </w:p>
        </w:tc>
        <w:tc>
          <w:tcPr/>
          <w:p>
            <w:pPr>
              <w:pStyle w:val="Compact"/>
              <w:jc w:val="center"/>
            </w:pPr>
            <w:r>
              <w:t xml:space="preserve">Low</w:t>
            </w:r>
          </w:p>
        </w:tc>
        <w:tc>
          <w:tcPr/>
          <w:p>
            <w:pPr>
              <w:pStyle w:val="Compact"/>
              <w:jc w:val="center"/>
            </w:pPr>
            <w:r>
              <w:t xml:space="preserve">A+</w:t>
            </w:r>
          </w:p>
        </w:tc>
        <w:tc>
          <w:tcPr/>
          <w:p>
            <w:pPr>
              <w:pStyle w:val="Compact"/>
              <w:jc w:val="left"/>
            </w:pPr>
            <w:r>
              <w:t xml:space="preserve">CIO review: C-Tier + Forex + Commodities destroyed −77.79% PnL[^15^]</w:t>
            </w:r>
          </w:p>
        </w:tc>
        <w:tc>
          <w:tcPr/>
          <w:p>
            <w:pPr>
              <w:pStyle w:val="Compact"/>
              <w:jc w:val="center"/>
            </w:pPr>
            <w:r>
              <w:t xml:space="preserve">0</w:t>
            </w:r>
          </w:p>
        </w:tc>
      </w:tr>
      <w:tr>
        <w:tc>
          <w:tcPr/>
          <w:p>
            <w:pPr>
              <w:pStyle w:val="Compact"/>
              <w:jc w:val="center"/>
            </w:pPr>
            <w:r>
              <w:t xml:space="preserve">32</w:t>
            </w:r>
          </w:p>
        </w:tc>
        <w:tc>
          <w:tcPr/>
          <w:p>
            <w:pPr>
              <w:pStyle w:val="Compact"/>
              <w:jc w:val="left"/>
            </w:pPr>
            <w:r>
              <w:t xml:space="preserve">Golden Portfolio allocation</w:t>
            </w:r>
          </w:p>
        </w:tc>
        <w:tc>
          <w:tcPr/>
          <w:p>
            <w:pPr>
              <w:pStyle w:val="Compact"/>
              <w:jc w:val="center"/>
            </w:pPr>
            <w:r>
              <w:t xml:space="preserve">8</w:t>
            </w:r>
          </w:p>
        </w:tc>
        <w:tc>
          <w:tcPr/>
          <w:p>
            <w:pPr>
              <w:pStyle w:val="Compact"/>
              <w:jc w:val="right"/>
            </w:pPr>
            <w:r>
              <w:t xml:space="preserve">+5%</w:t>
            </w:r>
          </w:p>
        </w:tc>
        <w:tc>
          <w:tcPr/>
          <w:p>
            <w:pPr>
              <w:pStyle w:val="Compact"/>
              <w:jc w:val="right"/>
            </w:pPr>
            <w:r>
              <w:t xml:space="preserve">+10%</w:t>
            </w:r>
          </w:p>
        </w:tc>
        <w:tc>
          <w:tcPr/>
          <w:p>
            <w:pPr>
              <w:pStyle w:val="Compact"/>
              <w:jc w:val="center"/>
            </w:pPr>
            <w:r>
              <w:t xml:space="preserve">Med</w:t>
            </w:r>
          </w:p>
        </w:tc>
        <w:tc>
          <w:tcPr/>
          <w:p>
            <w:pPr>
              <w:pStyle w:val="Compact"/>
              <w:jc w:val="center"/>
            </w:pPr>
            <w:r>
              <w:t xml:space="preserve">B</w:t>
            </w:r>
          </w:p>
        </w:tc>
        <w:tc>
          <w:tcPr/>
          <w:p>
            <w:pPr>
              <w:pStyle w:val="Compact"/>
              <w:jc w:val="left"/>
            </w:pPr>
            <w:r>
              <w:t xml:space="preserve">Portfolio theory: projected Sharpe 4.20 vs Renaissance 2.5–4.0[^15^]</w:t>
            </w:r>
          </w:p>
        </w:tc>
        <w:tc>
          <w:tcPr/>
          <w:p>
            <w:pPr>
              <w:pStyle w:val="Compact"/>
              <w:jc w:val="center"/>
            </w:pPr>
            <w:r>
              <w:t xml:space="preserve">4</w:t>
            </w:r>
          </w:p>
        </w:tc>
      </w:tr>
      <w:tr>
        <w:tc>
          <w:tcPr/>
          <w:p>
            <w:pPr>
              <w:pStyle w:val="Compact"/>
              <w:jc w:val="center"/>
            </w:pPr>
            <w:r>
              <w:t xml:space="preserve">33</w:t>
            </w:r>
          </w:p>
        </w:tc>
        <w:tc>
          <w:tcPr/>
          <w:p>
            <w:pPr>
              <w:pStyle w:val="Compact"/>
              <w:jc w:val="left"/>
            </w:pPr>
            <w:r>
              <w:t xml:space="preserve">Capital commitment framework (4 phases)</w:t>
            </w:r>
          </w:p>
        </w:tc>
        <w:tc>
          <w:tcPr/>
          <w:p>
            <w:pPr>
              <w:pStyle w:val="Compact"/>
              <w:jc w:val="center"/>
            </w:pPr>
            <w:r>
              <w:t xml:space="preserve">8</w:t>
            </w:r>
          </w:p>
        </w:tc>
        <w:tc>
          <w:tcPr/>
          <w:p>
            <w:pPr>
              <w:pStyle w:val="Compact"/>
              <w:jc w:val="right"/>
            </w:pPr>
            <w:r>
              <w:t xml:space="preserve">+1%</w:t>
            </w:r>
          </w:p>
        </w:tc>
        <w:tc>
          <w:tcPr/>
          <w:p>
            <w:pPr>
              <w:pStyle w:val="Compact"/>
              <w:jc w:val="right"/>
            </w:pPr>
            <w:r>
              <w:t xml:space="preserve">+2%</w:t>
            </w:r>
          </w:p>
        </w:tc>
        <w:tc>
          <w:tcPr/>
          <w:p>
            <w:pPr>
              <w:pStyle w:val="Compact"/>
              <w:jc w:val="center"/>
            </w:pPr>
            <w:r>
              <w:t xml:space="preserve">Med</w:t>
            </w:r>
          </w:p>
        </w:tc>
        <w:tc>
          <w:tcPr/>
          <w:p>
            <w:pPr>
              <w:pStyle w:val="Compact"/>
              <w:jc w:val="center"/>
            </w:pPr>
            <w:r>
              <w:t xml:space="preserve">C</w:t>
            </w:r>
          </w:p>
        </w:tc>
        <w:tc>
          <w:tcPr/>
          <w:p>
            <w:pPr>
              <w:pStyle w:val="Compact"/>
              <w:jc w:val="left"/>
            </w:pPr>
            <w:r>
              <w:t xml:space="preserve">Expert judgment: institutional best-practice risk management[^15^]</w:t>
            </w:r>
          </w:p>
        </w:tc>
        <w:tc>
          <w:tcPr/>
          <w:p>
            <w:pPr>
              <w:pStyle w:val="Compact"/>
              <w:jc w:val="center"/>
            </w:pPr>
            <w:r>
              <w:t xml:space="preserve">8</w:t>
            </w:r>
          </w:p>
        </w:tc>
      </w:tr>
      <w:tr>
        <w:tc>
          <w:tcPr/>
          <w:p>
            <w:pPr>
              <w:pStyle w:val="Compact"/>
              <w:jc w:val="center"/>
            </w:pPr>
            <w:r>
              <w:t xml:space="preserve">34</w:t>
            </w:r>
          </w:p>
        </w:tc>
        <w:tc>
          <w:tcPr/>
          <w:p>
            <w:pPr>
              <w:pStyle w:val="Compact"/>
              <w:jc w:val="left"/>
            </w:pPr>
            <w:r>
              <w:t xml:space="preserve">HRP allocator deployment</w:t>
            </w:r>
          </w:p>
        </w:tc>
        <w:tc>
          <w:tcPr/>
          <w:p>
            <w:pPr>
              <w:pStyle w:val="Compact"/>
              <w:jc w:val="center"/>
            </w:pPr>
            <w:r>
              <w:t xml:space="preserve">8</w:t>
            </w:r>
          </w:p>
        </w:tc>
        <w:tc>
          <w:tcPr/>
          <w:p>
            <w:pPr>
              <w:pStyle w:val="Compact"/>
              <w:jc w:val="right"/>
            </w:pPr>
            <w:r>
              <w:t xml:space="preserve">+2%</w:t>
            </w:r>
          </w:p>
        </w:tc>
        <w:tc>
          <w:tcPr/>
          <w:p>
            <w:pPr>
              <w:pStyle w:val="Compact"/>
              <w:jc w:val="right"/>
            </w:pPr>
            <w:r>
              <w:t xml:space="preserve">+4%</w:t>
            </w:r>
          </w:p>
        </w:tc>
        <w:tc>
          <w:tcPr/>
          <w:p>
            <w:pPr>
              <w:pStyle w:val="Compact"/>
              <w:jc w:val="center"/>
            </w:pPr>
            <w:r>
              <w:t xml:space="preserve">Med</w:t>
            </w:r>
          </w:p>
        </w:tc>
        <w:tc>
          <w:tcPr/>
          <w:p>
            <w:pPr>
              <w:pStyle w:val="Compact"/>
              <w:jc w:val="center"/>
            </w:pPr>
            <w:r>
              <w:t xml:space="preserve">C</w:t>
            </w:r>
          </w:p>
        </w:tc>
        <w:tc>
          <w:tcPr/>
          <w:p>
            <w:pPr>
              <w:pStyle w:val="Compact"/>
              <w:jc w:val="left"/>
            </w:pPr>
            <w:r>
              <w:t xml:space="preserve">Portfolio construction: quarter-Kelly discipline[^15^]</w:t>
            </w:r>
          </w:p>
        </w:tc>
        <w:tc>
          <w:tcPr/>
          <w:p>
            <w:pPr>
              <w:pStyle w:val="Compact"/>
              <w:jc w:val="center"/>
            </w:pPr>
            <w:r>
              <w:t xml:space="preserve">16</w:t>
            </w:r>
          </w:p>
        </w:tc>
      </w:tr>
      <w:tr>
        <w:tc>
          <w:tcPr/>
          <w:p>
            <w:pPr>
              <w:pStyle w:val="Compact"/>
              <w:jc w:val="center"/>
            </w:pPr>
            <w:r>
              <w:t xml:space="preserve">35</w:t>
            </w:r>
          </w:p>
        </w:tc>
        <w:tc>
          <w:tcPr/>
          <w:p>
            <w:pPr>
              <w:pStyle w:val="Compact"/>
              <w:jc w:val="left"/>
            </w:pPr>
            <w:r>
              <w:t xml:space="preserve">Kill-switch ladder (5-tier)</w:t>
            </w:r>
          </w:p>
        </w:tc>
        <w:tc>
          <w:tcPr/>
          <w:p>
            <w:pPr>
              <w:pStyle w:val="Compact"/>
              <w:jc w:val="center"/>
            </w:pPr>
            <w:r>
              <w:t xml:space="preserve">8</w:t>
            </w:r>
          </w:p>
        </w:tc>
        <w:tc>
          <w:tcPr/>
          <w:p>
            <w:pPr>
              <w:pStyle w:val="Compact"/>
              <w:jc w:val="right"/>
            </w:pPr>
            <w:r>
              <w:t xml:space="preserve">+1%</w:t>
            </w:r>
          </w:p>
        </w:tc>
        <w:tc>
          <w:tcPr/>
          <w:p>
            <w:pPr>
              <w:pStyle w:val="Compact"/>
              <w:jc w:val="right"/>
            </w:pPr>
            <w:r>
              <w:t xml:space="preserve">+2%</w:t>
            </w:r>
          </w:p>
        </w:tc>
        <w:tc>
          <w:tcPr/>
          <w:p>
            <w:pPr>
              <w:pStyle w:val="Compact"/>
              <w:jc w:val="center"/>
            </w:pPr>
            <w:r>
              <w:t xml:space="preserve">Low</w:t>
            </w:r>
          </w:p>
        </w:tc>
        <w:tc>
          <w:tcPr/>
          <w:p>
            <w:pPr>
              <w:pStyle w:val="Compact"/>
              <w:jc w:val="center"/>
            </w:pPr>
            <w:r>
              <w:t xml:space="preserve">C</w:t>
            </w:r>
          </w:p>
        </w:tc>
        <w:tc>
          <w:tcPr/>
          <w:p>
            <w:pPr>
              <w:pStyle w:val="Compact"/>
              <w:jc w:val="left"/>
            </w:pPr>
            <w:r>
              <w:t xml:space="preserve">Expert judgment: risk-management infrastructure[^15^]</w:t>
            </w:r>
          </w:p>
        </w:tc>
        <w:tc>
          <w:tcPr/>
          <w:p>
            <w:pPr>
              <w:pStyle w:val="Compact"/>
              <w:jc w:val="center"/>
            </w:pPr>
            <w:r>
              <w:t xml:space="preserve">8</w:t>
            </w:r>
          </w:p>
        </w:tc>
      </w:tr>
      <w:tr>
        <w:tc>
          <w:tcPr/>
          <w:p>
            <w:pPr>
              <w:pStyle w:val="Compact"/>
            </w:pPr>
          </w:p>
        </w:tc>
        <w:tc>
          <w:tcPr/>
          <w:p>
            <w:pPr>
              <w:pStyle w:val="Compact"/>
              <w:jc w:val="left"/>
            </w:pPr>
            <w:r>
              <w:rPr>
                <w:bCs/>
                <w:b/>
              </w:rPr>
              <w:t xml:space="preserve">TOTAL</w:t>
            </w:r>
          </w:p>
        </w:tc>
        <w:tc>
          <w:tcPr/>
          <w:p>
            <w:pPr>
              <w:pStyle w:val="Compact"/>
            </w:pPr>
          </w:p>
        </w:tc>
        <w:tc>
          <w:tcPr/>
          <w:p>
            <w:pPr>
              <w:pStyle w:val="Compact"/>
              <w:jc w:val="right"/>
            </w:pPr>
            <w:r>
              <w:rPr>
                <w:bCs/>
                <w:b/>
              </w:rPr>
              <w:t xml:space="preserve">+35%</w:t>
            </w:r>
          </w:p>
        </w:tc>
        <w:tc>
          <w:tcPr/>
          <w:p>
            <w:pPr>
              <w:pStyle w:val="Compact"/>
              <w:jc w:val="right"/>
            </w:pPr>
            <w:r>
              <w:rPr>
                <w:bCs/>
                <w:b/>
              </w:rPr>
              <w:t xml:space="preserve">+60%</w:t>
            </w:r>
          </w:p>
        </w:tc>
        <w:tc>
          <w:tcPr/>
          <w:p>
            <w:pPr>
              <w:pStyle w:val="Compact"/>
            </w:pPr>
          </w:p>
        </w:tc>
        <w:tc>
          <w:tcPr/>
          <w:p>
            <w:pPr>
              <w:pStyle w:val="Compact"/>
            </w:pPr>
          </w:p>
        </w:tc>
        <w:tc>
          <w:tcPr/>
          <w:p>
            <w:pPr>
              <w:pStyle w:val="Compact"/>
            </w:pPr>
          </w:p>
        </w:tc>
        <w:tc>
          <w:tcPr/>
          <w:p>
            <w:pPr>
              <w:pStyle w:val="Compact"/>
              <w:jc w:val="center"/>
            </w:pPr>
            <w:r>
              <w:rPr>
                <w:bCs/>
                <w:b/>
              </w:rPr>
              <w:t xml:space="preserve">~258</w:t>
            </w:r>
          </w:p>
        </w:tc>
      </w:tr>
    </w:tbl>
    <w:p>
      <w:pPr>
        <w:pStyle w:val="BodyText"/>
      </w:pPr>
      <w:r>
        <w:t xml:space="preserve">The conservative total of +35% assumes: (i) A+ and A-grade gate changes contributing approximately +22%, (ii) asset-class triage contributing +8%, (iii) infrastructure fixes contributing +3%, and (iv) new strategies at 50% of projected efficacy contributing +2%. The optimistic +60% assumes all new strategies achieve paper-trading projections and no signal degradation occurs during the 12-week window. Neither total accounts for market-regime risk: a sustained bear market could reduce realized lift by 30–50%.</w:t>
      </w:r>
    </w:p>
    <w:p>
      <w:pPr>
        <w:pStyle w:val="BodyText"/>
      </w:pPr>
      <w:r>
        <w:t xml:space="preserve">“</w:t>
      </w:r>
      <w:r>
        <w:t xml:space="preserve">Low</w:t>
      </w:r>
      <w:r>
        <w:t xml:space="preserve">”</w:t>
      </w:r>
      <w:r>
        <w:t xml:space="preserve"> </w:t>
      </w:r>
      <w:r>
        <w:t xml:space="preserve">risk recommendations involve reversible parameter changes with extensive empirical backing.</w:t>
      </w:r>
      <w:r>
        <w:t xml:space="preserve"> </w:t>
      </w:r>
      <w:r>
        <w:t xml:space="preserve">“</w:t>
      </w:r>
      <w:r>
        <w:t xml:space="preserve">Medium</w:t>
      </w:r>
      <w:r>
        <w:t xml:space="preserve">”</w:t>
      </w:r>
      <w:r>
        <w:t xml:space="preserve"> </w:t>
      </w:r>
      <w:r>
        <w:t xml:space="preserve">risk changes require new code or data integration.</w:t>
      </w:r>
      <w:r>
        <w:t xml:space="preserve"> </w:t>
      </w:r>
      <w:r>
        <w:t xml:space="preserve">“</w:t>
      </w:r>
      <w:r>
        <w:t xml:space="preserve">High</w:t>
      </w:r>
      <w:r>
        <w:t xml:space="preserve">”</w:t>
      </w:r>
      <w:r>
        <w:t xml:space="preserve"> </w:t>
      </w:r>
      <w:r>
        <w:t xml:space="preserve">risk recommendations entail new strategies with limited platform-specific track records. Every Grade C recommendation carries Medium or High risk by construction. Implementation sequencing should prioritize Low-risk, high-grade items in Weeks 1–2, defer High-risk proposals to Phase 2–3, and subject all C-grade recommendations to minimum 30-day shadow-mode validation.</w:t>
      </w:r>
    </w:p>
    <w:p>
      <w:pPr>
        <w:pStyle w:val="BodyText"/>
      </w:pPr>
      <w:r>
        <w:t xml:space="preserve">The effort column aggregates to approximately 258 hours — roughly 6.5 weeks at one FTE, compressible to 3.5–4 weeks with two engineers. The heaviest items are crypto perp funding arb (24 hours), S-Tier scaling infrastructure (40 hours), and penny stock liquidity filter (24 hours). The lightest high-impact items are C-Tier suspension (1 hour) and bond gate relaxation (0.5 hours), together delivering an estimated +15% portfolio P&amp;L lift.</w:t>
      </w:r>
    </w:p>
    <w:p>
      <w:pPr>
        <w:pStyle w:val="CaptionedFigure"/>
      </w:pPr>
      <w:r>
        <w:drawing>
          <wp:inline>
            <wp:extent cx="5334000" cy="2398952"/>
            <wp:effectExtent b="0" l="0" r="0" t="0"/>
            <wp:docPr descr="Top 10 recommendations: projected portfolio P&amp;L lift" title="" id="416" name="Picture"/>
            <a:graphic>
              <a:graphicData uri="http://schemas.openxmlformats.org/drawingml/2006/picture">
                <pic:pic>
                  <pic:nvPicPr>
                    <pic:cNvPr descr="pll_lift_projection.png" id="417" name="Picture"/>
                    <pic:cNvPicPr>
                      <a:picLocks noChangeArrowheads="1" noChangeAspect="1"/>
                    </pic:cNvPicPr>
                  </pic:nvPicPr>
                  <pic:blipFill>
                    <a:blip r:embed="rId415"/>
                    <a:stretch>
                      <a:fillRect/>
                    </a:stretch>
                  </pic:blipFill>
                  <pic:spPr bwMode="auto">
                    <a:xfrm>
                      <a:off x="0" y="0"/>
                      <a:ext cx="5334000" cy="2398952"/>
                    </a:xfrm>
                    <a:prstGeom prst="rect">
                      <a:avLst/>
                    </a:prstGeom>
                    <a:noFill/>
                    <a:ln w="9525">
                      <a:noFill/>
                      <a:headEnd/>
                      <a:tailEnd/>
                    </a:ln>
                  </pic:spPr>
                </pic:pic>
              </a:graphicData>
            </a:graphic>
          </wp:inline>
        </w:drawing>
      </w:r>
    </w:p>
    <w:p>
      <w:pPr>
        <w:pStyle w:val="ImageCaption"/>
      </w:pPr>
      <w:r>
        <w:t xml:space="preserve">Top 10 recommendations: projected portfolio P&amp;L lift</w:t>
      </w:r>
    </w:p>
    <w:p>
      <w:pPr>
        <w:pStyle w:val="BodyText"/>
      </w:pPr>
      <w:r>
        <w:rPr>
          <w:iCs/>
          <w:i/>
        </w:rPr>
        <w:t xml:space="preserve">Figure 10.2: Conservative and optimistic P&amp;L lift projections for the ten highest-impact recommendations. The elite_score→ml_score replacement dominates both scenarios, reflecting the gate’s 84% volume share and its below-random 44.1% accuracy</w:t>
      </w:r>
      <w:r>
        <w:rPr>
          <w:rStyle w:val="FootnoteReference"/>
        </w:rPr>
        <w:footnoteReference w:id="418"/>
      </w:r>
      <w:r>
        <w:rPr>
          <w:iCs/>
          <w:i/>
        </w:rPr>
        <w:t xml:space="preserve">.</w:t>
      </w:r>
    </w:p>
    <w:bookmarkEnd w:id="419"/>
    <w:bookmarkStart w:id="436" w:name="academic-references"/>
    <w:p>
      <w:pPr>
        <w:pStyle w:val="Heading3"/>
      </w:pPr>
      <w:r>
        <w:t xml:space="preserve">10.2 Academic References</w:t>
      </w:r>
    </w:p>
    <w:p>
      <w:pPr>
        <w:pStyle w:val="FirstParagraph"/>
      </w:pPr>
      <w:r>
        <w:t xml:space="preserve">The following table catalogues every peer-reviewed or working-paper citation referenced across Chapters 1–9. Citations are ordered by the chapter in which they first appear, with annotation indicating the specific claim each supports.</w:t>
      </w:r>
    </w:p>
    <w:p>
      <w:pPr>
        <w:pStyle w:val="BodyText"/>
      </w:pPr>
      <w:r>
        <w:rPr>
          <w:bCs/>
          <w:b/>
        </w:rPr>
        <w:t xml:space="preserve">Table 10.2: Academic Reference Catalog</w:t>
      </w:r>
    </w:p>
    <w:tbl>
      <w:tblPr>
        <w:tblStyle w:val="Table"/>
        <w:tblW w:type="pct" w:w="5000"/>
        <w:tblLook w:firstRow="1" w:lastRow="0" w:firstColumn="0" w:lastColumn="0" w:noHBand="0" w:noVBand="0" w:val="0020"/>
      </w:tblPr>
      <w:tblGrid>
        <w:gridCol w:w="1414"/>
        <w:gridCol w:w="1697"/>
        <w:gridCol w:w="1697"/>
        <w:gridCol w:w="1697"/>
        <w:gridCol w:w="1414"/>
      </w:tblGrid>
      <w:tr>
        <w:trPr>
          <w:tblHeader w:val="true"/>
        </w:trPr>
        <w:tc>
          <w:tcPr/>
          <w:p>
            <w:pPr>
              <w:pStyle w:val="Compact"/>
              <w:jc w:val="center"/>
            </w:pPr>
            <w:r>
              <w:t xml:space="preserve">#</w:t>
            </w:r>
          </w:p>
        </w:tc>
        <w:tc>
          <w:tcPr/>
          <w:p>
            <w:pPr>
              <w:pStyle w:val="Compact"/>
              <w:jc w:val="left"/>
            </w:pPr>
            <w:r>
              <w:t xml:space="preserve">Citation</w:t>
            </w:r>
          </w:p>
        </w:tc>
        <w:tc>
          <w:tcPr/>
          <w:p>
            <w:pPr>
              <w:pStyle w:val="Compact"/>
              <w:jc w:val="left"/>
            </w:pPr>
            <w:r>
              <w:t xml:space="preserve">Venue / Year</w:t>
            </w:r>
          </w:p>
        </w:tc>
        <w:tc>
          <w:tcPr/>
          <w:p>
            <w:pPr>
              <w:pStyle w:val="Compact"/>
              <w:jc w:val="left"/>
            </w:pPr>
            <w:r>
              <w:t xml:space="preserve">Claim Supported</w:t>
            </w:r>
          </w:p>
        </w:tc>
        <w:tc>
          <w:tcPr/>
          <w:p>
            <w:pPr>
              <w:pStyle w:val="Compact"/>
              <w:jc w:val="center"/>
            </w:pPr>
            <w:r>
              <w:t xml:space="preserve">Grade</w:t>
            </w:r>
          </w:p>
        </w:tc>
      </w:tr>
      <w:tr>
        <w:tc>
          <w:tcPr/>
          <w:p>
            <w:pPr>
              <w:pStyle w:val="Compact"/>
              <w:jc w:val="center"/>
            </w:pPr>
            <w:r>
              <w:t xml:space="preserve">1</w:t>
            </w:r>
          </w:p>
        </w:tc>
        <w:tc>
          <w:tcPr/>
          <w:p>
            <w:pPr>
              <w:pStyle w:val="Compact"/>
              <w:jc w:val="left"/>
            </w:pPr>
            <w:r>
              <w:t xml:space="preserve">He, S. &amp; Manela, A. (2024).</w:t>
            </w:r>
            <w:r>
              <w:t xml:space="preserve"> </w:t>
            </w:r>
            <w:r>
              <w:t xml:space="preserve">“</w:t>
            </w:r>
            <w:r>
              <w:t xml:space="preserve">Fundamentals of Perpetual Futures.</w:t>
            </w:r>
            <w:r>
              <w:t xml:space="preserve">”</w:t>
            </w:r>
          </w:p>
        </w:tc>
        <w:tc>
          <w:tcPr/>
          <w:p>
            <w:pPr>
              <w:pStyle w:val="Compact"/>
              <w:jc w:val="left"/>
            </w:pPr>
            <w:r>
              <w:rPr>
                <w:iCs/>
                <w:i/>
              </w:rPr>
              <w:t xml:space="preserve">Journal of Finance</w:t>
            </w:r>
            <w:r>
              <w:t xml:space="preserve">, forthcoming / WashU working paper</w:t>
            </w:r>
          </w:p>
        </w:tc>
        <w:tc>
          <w:tcPr/>
          <w:p>
            <w:pPr>
              <w:pStyle w:val="Compact"/>
              <w:jc w:val="left"/>
            </w:pPr>
            <w:r>
              <w:t xml:space="preserve">Perpetual futures arbitrage yields substantial Sharpe ratios; price convergence (not funding alone) is dominant profit source; basis half-lives of 1–3 days</w:t>
            </w:r>
            <w:r>
              <w:rPr>
                <w:rStyle w:val="FootnoteReference"/>
              </w:rPr>
              <w:footnoteReference w:id="420"/>
            </w:r>
          </w:p>
        </w:tc>
        <w:tc>
          <w:tcPr/>
          <w:p>
            <w:pPr>
              <w:pStyle w:val="Compact"/>
              <w:jc w:val="center"/>
            </w:pPr>
            <w:r>
              <w:t xml:space="preserve">B-</w:t>
            </w:r>
          </w:p>
        </w:tc>
      </w:tr>
      <w:tr>
        <w:tc>
          <w:tcPr/>
          <w:p>
            <w:pPr>
              <w:pStyle w:val="Compact"/>
              <w:jc w:val="center"/>
            </w:pPr>
            <w:r>
              <w:t xml:space="preserve">2</w:t>
            </w:r>
          </w:p>
        </w:tc>
        <w:tc>
          <w:tcPr/>
          <w:p>
            <w:pPr>
              <w:pStyle w:val="Compact"/>
              <w:jc w:val="left"/>
            </w:pPr>
            <w:r>
              <w:t xml:space="preserve">Li, Y., Shim, J. &amp; Song, J. (2025).</w:t>
            </w:r>
            <w:r>
              <w:t xml:space="preserve"> </w:t>
            </w:r>
            <w:r>
              <w:t xml:space="preserve">“</w:t>
            </w:r>
            <w:r>
              <w:t xml:space="preserve">Exploring Risk and Return Profiles of Funding Rate Arbitrage on CEX and DEX.</w:t>
            </w:r>
            <w:r>
              <w:t xml:space="preserve">”</w:t>
            </w:r>
          </w:p>
        </w:tc>
        <w:tc>
          <w:tcPr/>
          <w:p>
            <w:pPr>
              <w:pStyle w:val="Compact"/>
              <w:jc w:val="left"/>
            </w:pPr>
            <w:r>
              <w:rPr>
                <w:iCs/>
                <w:i/>
              </w:rPr>
              <w:t xml:space="preserve">Journal of Zhejiang University</w:t>
            </w:r>
          </w:p>
        </w:tc>
        <w:tc>
          <w:tcPr/>
          <w:p>
            <w:pPr>
              <w:pStyle w:val="Compact"/>
              <w:jc w:val="left"/>
            </w:pPr>
            <w:r>
              <w:t xml:space="preserve">Funding-rate arb: 115.9% over 6 months, max loss 1.92%, zero correlation with HODL</w:t>
            </w:r>
            <w:r>
              <w:rPr>
                <w:rStyle w:val="FootnoteReference"/>
              </w:rPr>
              <w:footnoteReference w:id="421"/>
            </w:r>
          </w:p>
        </w:tc>
        <w:tc>
          <w:tcPr/>
          <w:p>
            <w:pPr>
              <w:pStyle w:val="Compact"/>
              <w:jc w:val="center"/>
            </w:pPr>
            <w:r>
              <w:t xml:space="preserve">B-</w:t>
            </w:r>
          </w:p>
        </w:tc>
      </w:tr>
      <w:tr>
        <w:tc>
          <w:tcPr/>
          <w:p>
            <w:pPr>
              <w:pStyle w:val="Compact"/>
              <w:jc w:val="center"/>
            </w:pPr>
            <w:r>
              <w:t xml:space="preserve">3</w:t>
            </w:r>
          </w:p>
        </w:tc>
        <w:tc>
          <w:tcPr/>
          <w:p>
            <w:pPr>
              <w:pStyle w:val="Compact"/>
              <w:jc w:val="left"/>
            </w:pPr>
            <w:r>
              <w:t xml:space="preserve">Burnside, C., Eichenbaum, M. &amp; Rebelo, S. (2011).</w:t>
            </w:r>
            <w:r>
              <w:t xml:space="preserve"> </w:t>
            </w:r>
            <w:r>
              <w:t xml:space="preserve">“</w:t>
            </w:r>
            <w:r>
              <w:t xml:space="preserve">Carry Trade and Momentum in Currency Markets.</w:t>
            </w:r>
            <w:r>
              <w:t xml:space="preserve">”</w:t>
            </w:r>
          </w:p>
        </w:tc>
        <w:tc>
          <w:tcPr/>
          <w:p>
            <w:pPr>
              <w:pStyle w:val="Compact"/>
              <w:jc w:val="left"/>
            </w:pPr>
            <w:r>
              <w:rPr>
                <w:iCs/>
                <w:i/>
              </w:rPr>
              <w:t xml:space="preserve">NBER Reporter</w:t>
            </w:r>
          </w:p>
        </w:tc>
        <w:tc>
          <w:tcPr/>
          <w:p>
            <w:pPr>
              <w:pStyle w:val="Compact"/>
              <w:jc w:val="left"/>
            </w:pPr>
            <w:r>
              <w:t xml:space="preserve">Diversified carry: 4.5% annualized, 5.2% SD, Sharpe 0.86 across 20 currencies; diversification cuts vol &gt;50%</w:t>
            </w:r>
            <w:r>
              <w:rPr>
                <w:rStyle w:val="FootnoteReference"/>
              </w:rPr>
              <w:footnoteReference w:id="422"/>
            </w:r>
          </w:p>
        </w:tc>
        <w:tc>
          <w:tcPr/>
          <w:p>
            <w:pPr>
              <w:pStyle w:val="Compact"/>
              <w:jc w:val="center"/>
            </w:pPr>
            <w:r>
              <w:t xml:space="preserve">B</w:t>
            </w:r>
          </w:p>
        </w:tc>
      </w:tr>
      <w:tr>
        <w:tc>
          <w:tcPr/>
          <w:p>
            <w:pPr>
              <w:pStyle w:val="Compact"/>
              <w:jc w:val="center"/>
            </w:pPr>
            <w:r>
              <w:t xml:space="preserve">4</w:t>
            </w:r>
          </w:p>
        </w:tc>
        <w:tc>
          <w:tcPr/>
          <w:p>
            <w:pPr>
              <w:pStyle w:val="Compact"/>
              <w:jc w:val="left"/>
            </w:pPr>
            <w:r>
              <w:t xml:space="preserve">“</w:t>
            </w:r>
            <w:r>
              <w:t xml:space="preserve">Dissecting Currency Momentum.</w:t>
            </w:r>
            <w:r>
              <w:t xml:space="preserve">”</w:t>
            </w:r>
            <w:r>
              <w:t xml:space="preserve"> </w:t>
            </w:r>
            <w:r>
              <w:t xml:space="preserve">(2021).</w:t>
            </w:r>
          </w:p>
        </w:tc>
        <w:tc>
          <w:tcPr/>
          <w:p>
            <w:pPr>
              <w:pStyle w:val="Compact"/>
              <w:jc w:val="left"/>
            </w:pPr>
            <w:r>
              <w:rPr>
                <w:iCs/>
                <w:i/>
              </w:rPr>
              <w:t xml:space="preserve">Journal of Financial Economics</w:t>
            </w:r>
          </w:p>
        </w:tc>
        <w:tc>
          <w:tcPr/>
          <w:p>
            <w:pPr>
              <w:pStyle w:val="Compact"/>
              <w:jc w:val="left"/>
            </w:pPr>
            <w:r>
              <w:t xml:space="preserve">Factor momentum on carry/dollar factors: Sharpe 0.84–0.94 with 1–3 month formation periods</w:t>
            </w:r>
            <w:r>
              <w:rPr>
                <w:rStyle w:val="FootnoteReference"/>
              </w:rPr>
              <w:footnoteReference w:id="423"/>
            </w:r>
          </w:p>
        </w:tc>
        <w:tc>
          <w:tcPr/>
          <w:p>
            <w:pPr>
              <w:pStyle w:val="Compact"/>
              <w:jc w:val="center"/>
            </w:pPr>
            <w:r>
              <w:t xml:space="preserve">B</w:t>
            </w:r>
          </w:p>
        </w:tc>
      </w:tr>
      <w:tr>
        <w:tc>
          <w:tcPr/>
          <w:p>
            <w:pPr>
              <w:pStyle w:val="Compact"/>
              <w:jc w:val="center"/>
            </w:pPr>
            <w:r>
              <w:t xml:space="preserve">5</w:t>
            </w:r>
          </w:p>
        </w:tc>
        <w:tc>
          <w:tcPr/>
          <w:p>
            <w:pPr>
              <w:pStyle w:val="Compact"/>
              <w:jc w:val="left"/>
            </w:pPr>
            <w:r>
              <w:t xml:space="preserve">SGH (2024).</w:t>
            </w:r>
            <w:r>
              <w:t xml:space="preserve"> </w:t>
            </w:r>
            <w:r>
              <w:t xml:space="preserve">“</w:t>
            </w:r>
            <w:r>
              <w:t xml:space="preserve">Factor Performance: 1963–2024.</w:t>
            </w:r>
            <w:r>
              <w:t xml:space="preserve">”</w:t>
            </w:r>
          </w:p>
        </w:tc>
        <w:tc>
          <w:tcPr/>
          <w:p>
            <w:pPr>
              <w:pStyle w:val="Compact"/>
              <w:jc w:val="left"/>
            </w:pPr>
            <w:r>
              <w:t xml:space="preserve">SGH Research / Fama-French data</w:t>
            </w:r>
          </w:p>
        </w:tc>
        <w:tc>
          <w:tcPr/>
          <w:p>
            <w:pPr>
              <w:pStyle w:val="Compact"/>
              <w:jc w:val="left"/>
            </w:pPr>
            <w:r>
              <w:t xml:space="preserve">Momentum Sharpe 0.49, quality (RMW) 0.46, value ~0.38 for US large caps over 60 years</w:t>
            </w:r>
            <w:r>
              <w:rPr>
                <w:rStyle w:val="FootnoteReference"/>
              </w:rPr>
              <w:footnoteReference w:id="424"/>
            </w:r>
          </w:p>
        </w:tc>
        <w:tc>
          <w:tcPr/>
          <w:p>
            <w:pPr>
              <w:pStyle w:val="Compact"/>
              <w:jc w:val="center"/>
            </w:pPr>
            <w:r>
              <w:t xml:space="preserve">B</w:t>
            </w:r>
          </w:p>
        </w:tc>
      </w:tr>
      <w:tr>
        <w:tc>
          <w:tcPr/>
          <w:p>
            <w:pPr>
              <w:pStyle w:val="Compact"/>
              <w:jc w:val="center"/>
            </w:pPr>
            <w:r>
              <w:t xml:space="preserve">6</w:t>
            </w:r>
          </w:p>
        </w:tc>
        <w:tc>
          <w:tcPr/>
          <w:p>
            <w:pPr>
              <w:pStyle w:val="Compact"/>
              <w:jc w:val="left"/>
            </w:pPr>
            <w:r>
              <w:t xml:space="preserve">Jegadeesh, N. &amp; Titman, S. (1993).</w:t>
            </w:r>
            <w:r>
              <w:t xml:space="preserve"> </w:t>
            </w:r>
            <w:r>
              <w:t xml:space="preserve">“</w:t>
            </w:r>
            <w:r>
              <w:t xml:space="preserve">Returns to Buying Winners and Selling Losers.</w:t>
            </w:r>
            <w:r>
              <w:t xml:space="preserve">”</w:t>
            </w:r>
          </w:p>
        </w:tc>
        <w:tc>
          <w:tcPr/>
          <w:p>
            <w:pPr>
              <w:pStyle w:val="Compact"/>
              <w:jc w:val="left"/>
            </w:pPr>
            <w:r>
              <w:rPr>
                <w:iCs/>
                <w:i/>
              </w:rPr>
              <w:t xml:space="preserve">Journal of Finance</w:t>
            </w:r>
          </w:p>
        </w:tc>
        <w:tc>
          <w:tcPr/>
          <w:p>
            <w:pPr>
              <w:pStyle w:val="Compact"/>
              <w:jc w:val="left"/>
            </w:pPr>
            <w:r>
              <w:t xml:space="preserve">Original momentum premium documentation; 13.30% annualized for US large caps</w:t>
            </w:r>
            <w:r>
              <w:rPr>
                <w:rStyle w:val="FootnoteReference"/>
              </w:rPr>
              <w:footnoteReference w:id="425"/>
            </w:r>
          </w:p>
        </w:tc>
        <w:tc>
          <w:tcPr/>
          <w:p>
            <w:pPr>
              <w:pStyle w:val="Compact"/>
              <w:jc w:val="center"/>
            </w:pPr>
            <w:r>
              <w:t xml:space="preserve">B</w:t>
            </w:r>
          </w:p>
        </w:tc>
      </w:tr>
      <w:tr>
        <w:tc>
          <w:tcPr/>
          <w:p>
            <w:pPr>
              <w:pStyle w:val="Compact"/>
              <w:jc w:val="center"/>
            </w:pPr>
            <w:r>
              <w:t xml:space="preserve">7</w:t>
            </w:r>
          </w:p>
        </w:tc>
        <w:tc>
          <w:tcPr/>
          <w:p>
            <w:pPr>
              <w:pStyle w:val="Compact"/>
              <w:jc w:val="left"/>
            </w:pPr>
            <w:r>
              <w:t xml:space="preserve">Carhart, M.M. (1997).</w:t>
            </w:r>
            <w:r>
              <w:t xml:space="preserve"> </w:t>
            </w:r>
            <w:r>
              <w:t xml:space="preserve">“</w:t>
            </w:r>
            <w:r>
              <w:t xml:space="preserve">On Persistence in Mutual Fund Performance.</w:t>
            </w:r>
            <w:r>
              <w:t xml:space="preserve">”</w:t>
            </w:r>
          </w:p>
        </w:tc>
        <w:tc>
          <w:tcPr/>
          <w:p>
            <w:pPr>
              <w:pStyle w:val="Compact"/>
              <w:jc w:val="left"/>
            </w:pPr>
            <w:r>
              <w:rPr>
                <w:iCs/>
                <w:i/>
              </w:rPr>
              <w:t xml:space="preserve">Journal of Finance</w:t>
            </w:r>
          </w:p>
        </w:tc>
        <w:tc>
          <w:tcPr/>
          <w:p>
            <w:pPr>
              <w:pStyle w:val="Compact"/>
              <w:jc w:val="left"/>
            </w:pPr>
            <w:r>
              <w:t xml:space="preserve">Formalized momentum as fourth factor in asset pricing</w:t>
            </w:r>
            <w:r>
              <w:rPr>
                <w:rStyle w:val="FootnoteReference"/>
              </w:rPr>
              <w:footnoteReference w:id="426"/>
            </w:r>
          </w:p>
        </w:tc>
        <w:tc>
          <w:tcPr/>
          <w:p>
            <w:pPr>
              <w:pStyle w:val="Compact"/>
              <w:jc w:val="center"/>
            </w:pPr>
            <w:r>
              <w:t xml:space="preserve">B</w:t>
            </w:r>
          </w:p>
        </w:tc>
      </w:tr>
      <w:tr>
        <w:tc>
          <w:tcPr/>
          <w:p>
            <w:pPr>
              <w:pStyle w:val="Compact"/>
              <w:jc w:val="center"/>
            </w:pPr>
            <w:r>
              <w:t xml:space="preserve">8</w:t>
            </w:r>
          </w:p>
        </w:tc>
        <w:tc>
          <w:tcPr/>
          <w:p>
            <w:pPr>
              <w:pStyle w:val="Compact"/>
              <w:jc w:val="left"/>
            </w:pPr>
            <w:r>
              <w:t xml:space="preserve">Fama, E.F. &amp; French, K.R. (2015).</w:t>
            </w:r>
            <w:r>
              <w:t xml:space="preserve"> </w:t>
            </w:r>
            <w:r>
              <w:t xml:space="preserve">“</w:t>
            </w:r>
            <w:r>
              <w:t xml:space="preserve">A Five-Factor Asset Pricing Model.</w:t>
            </w:r>
            <w:r>
              <w:t xml:space="preserve">”</w:t>
            </w:r>
          </w:p>
        </w:tc>
        <w:tc>
          <w:tcPr/>
          <w:p>
            <w:pPr>
              <w:pStyle w:val="Compact"/>
              <w:jc w:val="left"/>
            </w:pPr>
            <w:r>
              <w:rPr>
                <w:iCs/>
                <w:i/>
              </w:rPr>
              <w:t xml:space="preserve">Journal of Financial Economics</w:t>
            </w:r>
          </w:p>
        </w:tc>
        <w:tc>
          <w:tcPr/>
          <w:p>
            <w:pPr>
              <w:pStyle w:val="Compact"/>
              <w:jc w:val="left"/>
            </w:pPr>
            <w:r>
              <w:t xml:space="preserve">Profitability (RMW) factor Sharpe 0.46; investment factor addition</w:t>
            </w:r>
            <w:r>
              <w:rPr>
                <w:rStyle w:val="FootnoteReference"/>
              </w:rPr>
              <w:footnoteReference w:id="427"/>
            </w:r>
          </w:p>
        </w:tc>
        <w:tc>
          <w:tcPr/>
          <w:p>
            <w:pPr>
              <w:pStyle w:val="Compact"/>
              <w:jc w:val="center"/>
            </w:pPr>
            <w:r>
              <w:t xml:space="preserve">B</w:t>
            </w:r>
          </w:p>
        </w:tc>
      </w:tr>
      <w:tr>
        <w:tc>
          <w:tcPr/>
          <w:p>
            <w:pPr>
              <w:pStyle w:val="Compact"/>
              <w:jc w:val="center"/>
            </w:pPr>
            <w:r>
              <w:t xml:space="preserve">9</w:t>
            </w:r>
          </w:p>
        </w:tc>
        <w:tc>
          <w:tcPr/>
          <w:p>
            <w:pPr>
              <w:pStyle w:val="Compact"/>
              <w:jc w:val="left"/>
            </w:pPr>
            <w:r>
              <w:t xml:space="preserve">Blitz, D.C. &amp; van Vliet, P. (2007).</w:t>
            </w:r>
            <w:r>
              <w:t xml:space="preserve"> </w:t>
            </w:r>
            <w:r>
              <w:t xml:space="preserve">“</w:t>
            </w:r>
            <w:r>
              <w:t xml:space="preserve">The Volatility Effect.</w:t>
            </w:r>
            <w:r>
              <w:t xml:space="preserve">”</w:t>
            </w:r>
          </w:p>
        </w:tc>
        <w:tc>
          <w:tcPr/>
          <w:p>
            <w:pPr>
              <w:pStyle w:val="Compact"/>
              <w:jc w:val="left"/>
            </w:pPr>
            <w:r>
              <w:rPr>
                <w:iCs/>
                <w:i/>
              </w:rPr>
              <w:t xml:space="preserve">Journal of Portfolio Management</w:t>
            </w:r>
          </w:p>
        </w:tc>
        <w:tc>
          <w:tcPr/>
          <w:p>
            <w:pPr>
              <w:pStyle w:val="Compact"/>
              <w:jc w:val="left"/>
            </w:pPr>
            <w:r>
              <w:t xml:space="preserve">Low-volatility anomaly: 2.34–2.62% annualized excess return across regions</w:t>
            </w:r>
            <w:r>
              <w:rPr>
                <w:rStyle w:val="FootnoteReference"/>
              </w:rPr>
              <w:footnoteReference w:id="428"/>
            </w:r>
          </w:p>
        </w:tc>
        <w:tc>
          <w:tcPr/>
          <w:p>
            <w:pPr>
              <w:pStyle w:val="Compact"/>
              <w:jc w:val="center"/>
            </w:pPr>
            <w:r>
              <w:t xml:space="preserve">B</w:t>
            </w:r>
          </w:p>
        </w:tc>
      </w:tr>
      <w:tr>
        <w:tc>
          <w:tcPr/>
          <w:p>
            <w:pPr>
              <w:pStyle w:val="Compact"/>
              <w:jc w:val="center"/>
            </w:pPr>
            <w:r>
              <w:t xml:space="preserve">10</w:t>
            </w:r>
          </w:p>
        </w:tc>
        <w:tc>
          <w:tcPr/>
          <w:p>
            <w:pPr>
              <w:pStyle w:val="Compact"/>
              <w:jc w:val="left"/>
            </w:pPr>
            <w:r>
              <w:t xml:space="preserve">Moskowitz, T.J. &amp; Grinblatt, M. (1999).</w:t>
            </w:r>
            <w:r>
              <w:t xml:space="preserve"> </w:t>
            </w:r>
            <w:r>
              <w:t xml:space="preserve">“</w:t>
            </w:r>
            <w:r>
              <w:t xml:space="preserve">Do Industries Explain Momentum?</w:t>
            </w:r>
            <w:r>
              <w:t xml:space="preserve">”</w:t>
            </w:r>
          </w:p>
        </w:tc>
        <w:tc>
          <w:tcPr/>
          <w:p>
            <w:pPr>
              <w:pStyle w:val="Compact"/>
              <w:jc w:val="left"/>
            </w:pPr>
            <w:r>
              <w:rPr>
                <w:iCs/>
                <w:i/>
              </w:rPr>
              <w:t xml:space="preserve">Journal of Finance</w:t>
            </w:r>
          </w:p>
        </w:tc>
        <w:tc>
          <w:tcPr/>
          <w:p>
            <w:pPr>
              <w:pStyle w:val="Compact"/>
              <w:jc w:val="left"/>
            </w:pPr>
            <w:r>
              <w:t xml:space="preserve">Industry momentum explains significant fraction of individual stock momentum; sector rotation foundation</w:t>
            </w:r>
            <w:r>
              <w:rPr>
                <w:rStyle w:val="FootnoteReference"/>
              </w:rPr>
              <w:footnoteReference w:id="429"/>
            </w:r>
          </w:p>
        </w:tc>
        <w:tc>
          <w:tcPr/>
          <w:p>
            <w:pPr>
              <w:pStyle w:val="Compact"/>
              <w:jc w:val="center"/>
            </w:pPr>
            <w:r>
              <w:t xml:space="preserve">B</w:t>
            </w:r>
          </w:p>
        </w:tc>
      </w:tr>
      <w:tr>
        <w:tc>
          <w:tcPr/>
          <w:p>
            <w:pPr>
              <w:pStyle w:val="Compact"/>
              <w:jc w:val="center"/>
            </w:pPr>
            <w:r>
              <w:t xml:space="preserve">11</w:t>
            </w:r>
          </w:p>
        </w:tc>
        <w:tc>
          <w:tcPr/>
          <w:p>
            <w:pPr>
              <w:pStyle w:val="Compact"/>
              <w:jc w:val="left"/>
            </w:pPr>
            <w:r>
              <w:t xml:space="preserve">Alexiou, C. &amp; Tygi, A. (2020).</w:t>
            </w:r>
            <w:r>
              <w:t xml:space="preserve"> </w:t>
            </w:r>
            <w:r>
              <w:t xml:space="preserve">“</w:t>
            </w:r>
            <w:r>
              <w:t xml:space="preserve">Sector Momentum in US and European Markets.</w:t>
            </w:r>
            <w:r>
              <w:t xml:space="preserve">”</w:t>
            </w:r>
          </w:p>
        </w:tc>
        <w:tc>
          <w:tcPr/>
          <w:p>
            <w:pPr>
              <w:pStyle w:val="Compact"/>
              <w:jc w:val="left"/>
            </w:pPr>
            <w:r>
              <w:rPr>
                <w:iCs/>
                <w:i/>
              </w:rPr>
              <w:t xml:space="preserve">International Review of Financial Analysis</w:t>
            </w:r>
          </w:p>
        </w:tc>
        <w:tc>
          <w:tcPr/>
          <w:p>
            <w:pPr>
              <w:pStyle w:val="Compact"/>
              <w:jc w:val="left"/>
            </w:pPr>
            <w:r>
              <w:t xml:space="preserve">Confirmed sector momentum in US and European markets</w:t>
            </w:r>
            <w:r>
              <w:rPr>
                <w:rStyle w:val="FootnoteReference"/>
              </w:rPr>
              <w:footnoteReference w:id="430"/>
            </w:r>
          </w:p>
        </w:tc>
        <w:tc>
          <w:tcPr/>
          <w:p>
            <w:pPr>
              <w:pStyle w:val="Compact"/>
              <w:jc w:val="center"/>
            </w:pPr>
            <w:r>
              <w:t xml:space="preserve">B</w:t>
            </w:r>
          </w:p>
        </w:tc>
      </w:tr>
      <w:tr>
        <w:tc>
          <w:tcPr/>
          <w:p>
            <w:pPr>
              <w:pStyle w:val="Compact"/>
              <w:jc w:val="center"/>
            </w:pPr>
            <w:r>
              <w:t xml:space="preserve">12</w:t>
            </w:r>
          </w:p>
        </w:tc>
        <w:tc>
          <w:tcPr/>
          <w:p>
            <w:pPr>
              <w:pStyle w:val="Compact"/>
              <w:jc w:val="left"/>
            </w:pPr>
            <w:r>
              <w:t xml:space="preserve">MDPI (2026).</w:t>
            </w:r>
            <w:r>
              <w:t xml:space="preserve"> </w:t>
            </w:r>
            <w:r>
              <w:t xml:space="preserve">“</w:t>
            </w:r>
            <w:r>
              <w:t xml:space="preserve">Overnight/Daytime ETF Return Decomposition.</w:t>
            </w:r>
            <w:r>
              <w:t xml:space="preserve">”</w:t>
            </w:r>
          </w:p>
        </w:tc>
        <w:tc>
          <w:tcPr/>
          <w:p>
            <w:pPr>
              <w:pStyle w:val="Compact"/>
              <w:jc w:val="left"/>
            </w:pPr>
            <w:r>
              <w:rPr>
                <w:iCs/>
                <w:i/>
              </w:rPr>
              <w:t xml:space="preserve">Journal of Risk and Financial Management</w:t>
            </w:r>
          </w:p>
        </w:tc>
        <w:tc>
          <w:tcPr/>
          <w:p>
            <w:pPr>
              <w:pStyle w:val="Compact"/>
              <w:jc w:val="left"/>
            </w:pPr>
            <w:r>
              <w:t xml:space="preserve">Single-lag mean reversion in ETFs; Strategy #18 Sharpe 1.09–1.25; short strategies universally negative Sharpe</w:t>
            </w:r>
            <w:r>
              <w:rPr>
                <w:rStyle w:val="FootnoteReference"/>
              </w:rPr>
              <w:footnoteReference w:id="431"/>
            </w:r>
          </w:p>
        </w:tc>
        <w:tc>
          <w:tcPr/>
          <w:p>
            <w:pPr>
              <w:pStyle w:val="Compact"/>
              <w:jc w:val="center"/>
            </w:pPr>
            <w:r>
              <w:t xml:space="preserve">B</w:t>
            </w:r>
          </w:p>
        </w:tc>
      </w:tr>
      <w:tr>
        <w:tc>
          <w:tcPr/>
          <w:p>
            <w:pPr>
              <w:pStyle w:val="Compact"/>
              <w:jc w:val="center"/>
            </w:pPr>
            <w:r>
              <w:t xml:space="preserve">13</w:t>
            </w:r>
          </w:p>
        </w:tc>
        <w:tc>
          <w:tcPr/>
          <w:p>
            <w:pPr>
              <w:pStyle w:val="Compact"/>
              <w:jc w:val="left"/>
            </w:pPr>
            <w:r>
              <w:t xml:space="preserve">CUNY Academic Paper (2021).</w:t>
            </w:r>
            <w:r>
              <w:t xml:space="preserve"> </w:t>
            </w:r>
            <w:r>
              <w:t xml:space="preserve">“</w:t>
            </w:r>
            <w:r>
              <w:t xml:space="preserve">Exploiting Closed-End Fund Discounts: Bias-Adjusted Mean Reversion Strategies.</w:t>
            </w:r>
            <w:r>
              <w:t xml:space="preserve">”</w:t>
            </w:r>
          </w:p>
        </w:tc>
        <w:tc>
          <w:tcPr/>
          <w:p>
            <w:pPr>
              <w:pStyle w:val="Compact"/>
              <w:jc w:val="left"/>
            </w:pPr>
            <w:r>
              <w:t xml:space="preserve">CUNY working paper</w:t>
            </w:r>
          </w:p>
        </w:tc>
        <w:tc>
          <w:tcPr/>
          <w:p>
            <w:pPr>
              <w:pStyle w:val="Compact"/>
              <w:jc w:val="left"/>
            </w:pPr>
            <w:r>
              <w:t xml:space="preserve">CEF BMR strategy: 17.3% annual, Sharpe 1.862; 86% of CEFs show significant premium mean reversion</w:t>
            </w:r>
            <w:r>
              <w:rPr>
                <w:rStyle w:val="FootnoteReference"/>
              </w:rPr>
              <w:footnoteReference w:id="432"/>
            </w:r>
          </w:p>
        </w:tc>
        <w:tc>
          <w:tcPr/>
          <w:p>
            <w:pPr>
              <w:pStyle w:val="Compact"/>
              <w:jc w:val="center"/>
            </w:pPr>
            <w:r>
              <w:t xml:space="preserve">B-</w:t>
            </w:r>
          </w:p>
        </w:tc>
      </w:tr>
      <w:tr>
        <w:tc>
          <w:tcPr/>
          <w:p>
            <w:pPr>
              <w:pStyle w:val="Compact"/>
              <w:jc w:val="center"/>
            </w:pPr>
            <w:r>
              <w:t xml:space="preserve">14</w:t>
            </w:r>
          </w:p>
        </w:tc>
        <w:tc>
          <w:tcPr/>
          <w:p>
            <w:pPr>
              <w:pStyle w:val="Compact"/>
              <w:jc w:val="left"/>
            </w:pPr>
            <w:r>
              <w:t xml:space="preserve">Fuertes, A-M., Miffre, J. &amp; Fernandez-Perez, A. (2015).</w:t>
            </w:r>
            <w:r>
              <w:t xml:space="preserve"> </w:t>
            </w:r>
            <w:r>
              <w:t xml:space="preserve">“</w:t>
            </w:r>
            <w:r>
              <w:t xml:space="preserve">Commodity Strategies Based on Momentum, Term Structure and Idiosyncratic Volatility.</w:t>
            </w:r>
            <w:r>
              <w:t xml:space="preserve">”</w:t>
            </w:r>
          </w:p>
        </w:tc>
        <w:tc>
          <w:tcPr/>
          <w:p>
            <w:pPr>
              <w:pStyle w:val="Compact"/>
              <w:jc w:val="left"/>
            </w:pPr>
            <w:r>
              <w:rPr>
                <w:iCs/>
                <w:i/>
              </w:rPr>
              <w:t xml:space="preserve">Journal of Banking &amp; Finance</w:t>
            </w:r>
          </w:p>
        </w:tc>
        <w:tc>
          <w:tcPr/>
          <w:p>
            <w:pPr>
              <w:pStyle w:val="Compact"/>
              <w:jc w:val="left"/>
            </w:pPr>
            <w:r>
              <w:t xml:space="preserve">Triple-screen Sharpe 0.69 (1985–2011), 5× S&amp;P-GSCI; individual signal Sharpe: momentum 0.37, TS 0.35, vol 0.20</w:t>
            </w:r>
            <w:r>
              <w:rPr>
                <w:rStyle w:val="FootnoteReference"/>
              </w:rPr>
              <w:footnoteReference w:id="433"/>
            </w:r>
          </w:p>
        </w:tc>
        <w:tc>
          <w:tcPr/>
          <w:p>
            <w:pPr>
              <w:pStyle w:val="Compact"/>
              <w:jc w:val="center"/>
            </w:pPr>
            <w:r>
              <w:t xml:space="preserve">B</w:t>
            </w:r>
          </w:p>
        </w:tc>
      </w:tr>
      <w:tr>
        <w:tc>
          <w:tcPr/>
          <w:p>
            <w:pPr>
              <w:pStyle w:val="Compact"/>
              <w:jc w:val="center"/>
            </w:pPr>
            <w:r>
              <w:t xml:space="preserve">15</w:t>
            </w:r>
          </w:p>
        </w:tc>
        <w:tc>
          <w:tcPr/>
          <w:p>
            <w:pPr>
              <w:pStyle w:val="Compact"/>
              <w:jc w:val="left"/>
            </w:pPr>
            <w:r>
              <w:t xml:space="preserve">Ghoddusi, H. (2016).</w:t>
            </w:r>
            <w:r>
              <w:t xml:space="preserve"> </w:t>
            </w:r>
            <w:r>
              <w:t xml:space="preserve">“</w:t>
            </w:r>
            <w:r>
              <w:t xml:space="preserve">Maturity Structure of Commodity Roll Strategies.</w:t>
            </w:r>
            <w:r>
              <w:t xml:space="preserve">”</w:t>
            </w:r>
          </w:p>
        </w:tc>
        <w:tc>
          <w:tcPr/>
          <w:p>
            <w:pPr>
              <w:pStyle w:val="Compact"/>
              <w:jc w:val="left"/>
            </w:pPr>
            <w:r>
              <w:rPr>
                <w:iCs/>
                <w:i/>
              </w:rPr>
              <w:t xml:space="preserve">SSRN Working Paper</w:t>
            </w:r>
          </w:p>
        </w:tc>
        <w:tc>
          <w:tcPr/>
          <w:p>
            <w:pPr>
              <w:pStyle w:val="Compact"/>
              <w:jc w:val="left"/>
            </w:pPr>
            <w:r>
              <w:t xml:space="preserve">Conditional rollover: long backwardation/short contango delivers highest energy Sharpe; shorter maturity amplifies</w:t>
            </w:r>
            <w:r>
              <w:rPr>
                <w:rStyle w:val="FootnoteReference"/>
              </w:rPr>
              <w:footnoteReference w:id="434"/>
            </w:r>
          </w:p>
        </w:tc>
        <w:tc>
          <w:tcPr/>
          <w:p>
            <w:pPr>
              <w:pStyle w:val="Compact"/>
              <w:jc w:val="center"/>
            </w:pPr>
            <w:r>
              <w:t xml:space="preserve">B</w:t>
            </w:r>
          </w:p>
        </w:tc>
      </w:tr>
      <w:tr>
        <w:tc>
          <w:tcPr/>
          <w:p>
            <w:pPr>
              <w:pStyle w:val="Compact"/>
              <w:jc w:val="center"/>
            </w:pPr>
            <w:r>
              <w:t xml:space="preserve">16</w:t>
            </w:r>
          </w:p>
        </w:tc>
        <w:tc>
          <w:tcPr/>
          <w:p>
            <w:pPr>
              <w:pStyle w:val="Compact"/>
              <w:jc w:val="left"/>
            </w:pPr>
            <w:r>
              <w:t xml:space="preserve">Gorton, G., Hayashi, F. &amp; Rouwenhorst, K.G. (2013).</w:t>
            </w:r>
            <w:r>
              <w:t xml:space="preserve"> </w:t>
            </w:r>
            <w:r>
              <w:t xml:space="preserve">“</w:t>
            </w:r>
            <w:r>
              <w:t xml:space="preserve">The Fundamentals of Commodity Futures Returns.</w:t>
            </w:r>
            <w:r>
              <w:t xml:space="preserve">”</w:t>
            </w:r>
          </w:p>
        </w:tc>
        <w:tc>
          <w:tcPr/>
          <w:p>
            <w:pPr>
              <w:pStyle w:val="Compact"/>
              <w:jc w:val="left"/>
            </w:pPr>
            <w:r>
              <w:rPr>
                <w:iCs/>
                <w:i/>
              </w:rPr>
              <w:t xml:space="preserve">Journal of Financial Economics</w:t>
            </w:r>
          </w:p>
        </w:tc>
        <w:tc>
          <w:tcPr/>
          <w:p>
            <w:pPr>
              <w:pStyle w:val="Compact"/>
              <w:jc w:val="left"/>
            </w:pPr>
            <w:r>
              <w:t xml:space="preserve">Carry and hedging-pressure signals predict commodity returns cross-sectionally</w:t>
            </w:r>
            <w:r>
              <w:rPr>
                <w:rStyle w:val="FootnoteReference"/>
              </w:rPr>
              <w:footnoteReference w:id="435"/>
            </w:r>
          </w:p>
        </w:tc>
        <w:tc>
          <w:tcPr/>
          <w:p>
            <w:pPr>
              <w:pStyle w:val="Compact"/>
              <w:jc w:val="center"/>
            </w:pPr>
            <w:r>
              <w:t xml:space="preserve">B</w:t>
            </w:r>
          </w:p>
        </w:tc>
      </w:tr>
      <w:tr>
        <w:tc>
          <w:tcPr/>
          <w:p>
            <w:pPr>
              <w:pStyle w:val="Compact"/>
              <w:jc w:val="center"/>
            </w:pPr>
            <w:r>
              <w:t xml:space="preserve">17</w:t>
            </w:r>
          </w:p>
        </w:tc>
        <w:tc>
          <w:tcPr/>
          <w:p>
            <w:pPr>
              <w:pStyle w:val="Compact"/>
              <w:jc w:val="left"/>
            </w:pPr>
            <w:r>
              <w:t xml:space="preserve">Da, Z., Liu, Q. &amp; Schaumburg, E. (2014).</w:t>
            </w:r>
            <w:r>
              <w:t xml:space="preserve"> </w:t>
            </w:r>
            <w:r>
              <w:t xml:space="preserve">“</w:t>
            </w:r>
            <w:r>
              <w:t xml:space="preserve">A Closer Look at the Short-term Return Reversal.</w:t>
            </w:r>
            <w:r>
              <w:t xml:space="preserve">”</w:t>
            </w:r>
          </w:p>
        </w:tc>
        <w:tc>
          <w:tcPr/>
          <w:p>
            <w:pPr>
              <w:pStyle w:val="Compact"/>
              <w:jc w:val="left"/>
            </w:pPr>
            <w:r>
              <w:rPr>
                <w:iCs/>
                <w:i/>
              </w:rPr>
              <w:t xml:space="preserve">Management Science</w:t>
            </w:r>
          </w:p>
        </w:tc>
        <w:tc>
          <w:tcPr/>
          <w:p>
            <w:pPr>
              <w:pStyle w:val="Compact"/>
              <w:jc w:val="left"/>
            </w:pPr>
            <w:r>
              <w:t xml:space="preserve">Intraday reversal: 0.62–0.85% monthly alpha, t-statistics 4.37–6.72; penny-stock adaptation[^13^]</w:t>
            </w:r>
          </w:p>
        </w:tc>
        <w:tc>
          <w:tcPr/>
          <w:p>
            <w:pPr>
              <w:pStyle w:val="Compact"/>
              <w:jc w:val="center"/>
            </w:pPr>
            <w:r>
              <w:t xml:space="preserve">B-</w:t>
            </w:r>
          </w:p>
        </w:tc>
      </w:tr>
      <w:tr>
        <w:tc>
          <w:tcPr/>
          <w:p>
            <w:pPr>
              <w:pStyle w:val="Compact"/>
              <w:jc w:val="center"/>
            </w:pPr>
            <w:r>
              <w:t xml:space="preserve">18</w:t>
            </w:r>
          </w:p>
        </w:tc>
        <w:tc>
          <w:tcPr/>
          <w:p>
            <w:pPr>
              <w:pStyle w:val="Compact"/>
              <w:jc w:val="left"/>
            </w:pPr>
            <w:r>
              <w:t xml:space="preserve">Liu, W., Zhang, L. &amp; Zhao, S. (2012).</w:t>
            </w:r>
            <w:r>
              <w:t xml:space="preserve"> </w:t>
            </w:r>
            <w:r>
              <w:t xml:space="preserve">“</w:t>
            </w:r>
            <w:r>
              <w:t xml:space="preserve">Explaining Penny Stock Returns.</w:t>
            </w:r>
            <w:r>
              <w:t xml:space="preserve">”</w:t>
            </w:r>
          </w:p>
        </w:tc>
        <w:tc>
          <w:tcPr/>
          <w:p>
            <w:pPr>
              <w:pStyle w:val="Compact"/>
              <w:jc w:val="left"/>
            </w:pPr>
            <w:r>
              <w:t xml:space="preserve">Working paper</w:t>
            </w:r>
          </w:p>
        </w:tc>
        <w:tc>
          <w:tcPr/>
          <w:p>
            <w:pPr>
              <w:pStyle w:val="Compact"/>
              <w:jc w:val="left"/>
            </w:pPr>
            <w:r>
              <w:t xml:space="preserve">Penny-stock liquidity risk premium across Malaysian, Polish, Chinese markets; five-factor Amihud model[^13^]</w:t>
            </w:r>
          </w:p>
        </w:tc>
        <w:tc>
          <w:tcPr/>
          <w:p>
            <w:pPr>
              <w:pStyle w:val="Compact"/>
              <w:jc w:val="center"/>
            </w:pPr>
            <w:r>
              <w:t xml:space="preserve">B-</w:t>
            </w:r>
          </w:p>
        </w:tc>
      </w:tr>
      <w:tr>
        <w:tc>
          <w:tcPr/>
          <w:p>
            <w:pPr>
              <w:pStyle w:val="Compact"/>
              <w:jc w:val="center"/>
            </w:pPr>
            <w:r>
              <w:t xml:space="preserve">19</w:t>
            </w:r>
          </w:p>
        </w:tc>
        <w:tc>
          <w:tcPr/>
          <w:p>
            <w:pPr>
              <w:pStyle w:val="Compact"/>
              <w:jc w:val="left"/>
            </w:pPr>
            <w:r>
              <w:t xml:space="preserve">“</w:t>
            </w:r>
            <w:r>
              <w:t xml:space="preserve">Understanding Meme Coin Trends Through Sentiment Analysis.</w:t>
            </w:r>
            <w:r>
              <w:t xml:space="preserve">”</w:t>
            </w:r>
            <w:r>
              <w:t xml:space="preserve"> </w:t>
            </w:r>
            <w:r>
              <w:t xml:space="preserve">(2025).</w:t>
            </w:r>
          </w:p>
        </w:tc>
        <w:tc>
          <w:tcPr/>
          <w:p>
            <w:pPr>
              <w:pStyle w:val="Compact"/>
              <w:jc w:val="left"/>
            </w:pPr>
            <w:r>
              <w:rPr>
                <w:iCs/>
                <w:i/>
              </w:rPr>
              <w:t xml:space="preserve">IJRASET</w:t>
            </w:r>
          </w:p>
        </w:tc>
        <w:tc>
          <w:tcPr/>
          <w:p>
            <w:pPr>
              <w:pStyle w:val="Compact"/>
              <w:jc w:val="left"/>
            </w:pPr>
            <w:r>
              <w:t xml:space="preserve">XGBoost sentiment model: 74% accuracy forecasting bullish/bearish meme-coin movements[^12^]</w:t>
            </w:r>
          </w:p>
        </w:tc>
        <w:tc>
          <w:tcPr/>
          <w:p>
            <w:pPr>
              <w:pStyle w:val="Compact"/>
              <w:jc w:val="center"/>
            </w:pPr>
            <w:r>
              <w:t xml:space="preserve">C</w:t>
            </w:r>
          </w:p>
        </w:tc>
      </w:tr>
      <w:tr>
        <w:tc>
          <w:tcPr/>
          <w:p>
            <w:pPr>
              <w:pStyle w:val="Compact"/>
              <w:jc w:val="center"/>
            </w:pPr>
            <w:r>
              <w:t xml:space="preserve">20</w:t>
            </w:r>
          </w:p>
        </w:tc>
        <w:tc>
          <w:tcPr/>
          <w:p>
            <w:pPr>
              <w:pStyle w:val="Compact"/>
              <w:jc w:val="left"/>
            </w:pPr>
            <w:r>
              <w:t xml:space="preserve">CoinGecko (2025).</w:t>
            </w:r>
            <w:r>
              <w:t xml:space="preserve"> </w:t>
            </w:r>
            <w:r>
              <w:t xml:space="preserve">“</w:t>
            </w:r>
            <w:r>
              <w:t xml:space="preserve">2025 State of Memecoins Report.</w:t>
            </w:r>
            <w:r>
              <w:t xml:space="preserve">”</w:t>
            </w:r>
          </w:p>
        </w:tc>
        <w:tc>
          <w:tcPr/>
          <w:p>
            <w:pPr>
              <w:pStyle w:val="Compact"/>
              <w:jc w:val="left"/>
            </w:pPr>
            <w:r>
              <w:t xml:space="preserve">CoinGecko Research</w:t>
            </w:r>
          </w:p>
        </w:tc>
        <w:tc>
          <w:tcPr/>
          <w:p>
            <w:pPr>
              <w:pStyle w:val="Compact"/>
              <w:jc w:val="left"/>
            </w:pPr>
            <w:r>
              <w:t xml:space="preserve">$47.2B market cap; 767% YoY volume surge; 5.3M tokens on Pump.fun; 77% turnover ratio[^12^]</w:t>
            </w:r>
          </w:p>
        </w:tc>
        <w:tc>
          <w:tcPr/>
          <w:p>
            <w:pPr>
              <w:pStyle w:val="Compact"/>
              <w:jc w:val="center"/>
            </w:pPr>
            <w:r>
              <w:t xml:space="preserve">C</w:t>
            </w:r>
          </w:p>
        </w:tc>
      </w:tr>
    </w:tbl>
    <w:p>
      <w:pPr>
        <w:pStyle w:val="BodyText"/>
      </w:pPr>
      <w:r>
        <w:t xml:space="preserve">The academic reference set spans 20 publications across seven journals and four working-paper series, with temporal range from 1993 (Jegadeesh &amp; Titman) to 2025 (practitioner data). Source tier distribution: 10 Tier 1 journal citations, 5 Tier 2 working papers, and 5 Tier 3 practitioner sources. Grade B or above recommendations rely exclusively on Tier 1–2 sources; Grade C recommendations draw from Tier 3 by necessity, as peer-reviewed research on meme-coin sentiment or penny-stock liquidity is inherently limited.</w:t>
      </w:r>
    </w:p>
    <w:p>
      <w:pPr>
        <w:pStyle w:val="BodyText"/>
      </w:pPr>
      <w:r>
        <w:t xml:space="preserve">The three most consequential academic anchors merit commentary. He &amp; Manela (2024), forthcoming in the</w:t>
      </w:r>
      <w:r>
        <w:t xml:space="preserve"> </w:t>
      </w:r>
      <w:r>
        <w:rPr>
          <w:iCs/>
          <w:i/>
        </w:rPr>
        <w:t xml:space="preserve">Journal of Finance</w:t>
      </w:r>
      <w:r>
        <w:t xml:space="preserve">, provides the theoretical foundation for the crypto perp funding-arbitrage strategy (Recommendation 24). Their finding that price convergence — not funding-rate carry — is the dominant profit source directly informs the dual-engine implementation. Burnside et al. (2011) underpins the forex carry sleeve (Recommendation 17); the Sharpe 0.86 figure serves as the conservative benchmark. Da et al. (2014), in</w:t>
      </w:r>
      <w:r>
        <w:t xml:space="preserve"> </w:t>
      </w:r>
      <w:r>
        <w:rPr>
          <w:iCs/>
          <w:i/>
        </w:rPr>
        <w:t xml:space="preserve">Management Science</w:t>
      </w:r>
      <w:r>
        <w:t xml:space="preserve">, justifies the penny-stock reversal pilot (Recommendation 27) with t-statistics of 4.37–6.72, though the applicability assessment notes deal-breaking transaction-cost constraints.</w:t>
      </w:r>
    </w:p>
    <w:bookmarkEnd w:id="436"/>
    <w:bookmarkStart w:id="438" w:name="code-changes-summary"/>
    <w:p>
      <w:pPr>
        <w:pStyle w:val="Heading3"/>
      </w:pPr>
      <w:r>
        <w:t xml:space="preserve">10.3 Code Changes Summary</w:t>
      </w:r>
    </w:p>
    <w:p>
      <w:pPr>
        <w:pStyle w:val="FirstParagraph"/>
      </w:pPr>
      <w:r>
        <w:t xml:space="preserve">The implementation of the 35 recommendations catalogued in Section 10.1 requires modifications to four existing files and the creation of five new modules or directories. The table below specifies each file, the nature of the change, estimated line count, and the recommendation numbers it implements.</w:t>
      </w:r>
    </w:p>
    <w:p>
      <w:pPr>
        <w:pStyle w:val="BodyText"/>
      </w:pPr>
      <w:r>
        <w:rPr>
          <w:bCs/>
          <w:b/>
        </w:rPr>
        <w:t xml:space="preserve">Table 10.3: Code Changes — Files Modified and Added</w:t>
      </w:r>
    </w:p>
    <w:tbl>
      <w:tblPr>
        <w:tblStyle w:val="Table"/>
        <w:tblW w:type="pct" w:w="5000"/>
        <w:tblLook w:firstRow="1" w:lastRow="0" w:firstColumn="0" w:lastColumn="0" w:noHBand="0" w:noVBand="0" w:val="0020"/>
      </w:tblPr>
      <w:tblGrid>
        <w:gridCol w:w="1980"/>
        <w:gridCol w:w="1414"/>
        <w:gridCol w:w="1414"/>
        <w:gridCol w:w="1414"/>
        <w:gridCol w:w="1697"/>
      </w:tblGrid>
      <w:tr>
        <w:trPr>
          <w:tblHeader w:val="true"/>
        </w:trPr>
        <w:tc>
          <w:tcPr/>
          <w:p>
            <w:pPr>
              <w:pStyle w:val="Compact"/>
              <w:jc w:val="left"/>
            </w:pPr>
            <w:r>
              <w:t xml:space="preserve">File Path</w:t>
            </w:r>
          </w:p>
        </w:tc>
        <w:tc>
          <w:tcPr/>
          <w:p>
            <w:pPr>
              <w:pStyle w:val="Compact"/>
              <w:jc w:val="center"/>
            </w:pPr>
            <w:r>
              <w:t xml:space="preserve">Change Type</w:t>
            </w:r>
          </w:p>
        </w:tc>
        <w:tc>
          <w:tcPr/>
          <w:p>
            <w:pPr>
              <w:pStyle w:val="Compact"/>
              <w:jc w:val="center"/>
            </w:pPr>
            <w:r>
              <w:t xml:space="preserve">Lines (est.)</w:t>
            </w:r>
          </w:p>
        </w:tc>
        <w:tc>
          <w:tcPr/>
          <w:p>
            <w:pPr>
              <w:pStyle w:val="Compact"/>
              <w:jc w:val="center"/>
            </w:pPr>
            <w:r>
              <w:t xml:space="preserve">Recs. Implemented</w:t>
            </w:r>
          </w:p>
        </w:tc>
        <w:tc>
          <w:tcPr/>
          <w:p>
            <w:pPr>
              <w:pStyle w:val="Compact"/>
              <w:jc w:val="left"/>
            </w:pPr>
            <w:r>
              <w:t xml:space="preserve">Description</w:t>
            </w:r>
          </w:p>
        </w:tc>
      </w:tr>
      <w:tr>
        <w:tc>
          <w:tcPr/>
          <w:p>
            <w:pPr>
              <w:pStyle w:val="Compact"/>
              <w:jc w:val="left"/>
            </w:pPr>
            <w:r>
              <w:rPr>
                <w:rStyle w:val="VerbatimChar"/>
              </w:rPr>
              <w:t xml:space="preserve">outcome_resolver.py</w:t>
            </w:r>
          </w:p>
        </w:tc>
        <w:tc>
          <w:tcPr/>
          <w:p>
            <w:pPr>
              <w:pStyle w:val="Compact"/>
              <w:jc w:val="center"/>
            </w:pPr>
            <w:r>
              <w:t xml:space="preserve">Modified</w:t>
            </w:r>
          </w:p>
        </w:tc>
        <w:tc>
          <w:tcPr/>
          <w:p>
            <w:pPr>
              <w:pStyle w:val="Compact"/>
              <w:jc w:val="center"/>
            </w:pPr>
            <w:r>
              <w:t xml:space="preserve">+45 / −12</w:t>
            </w:r>
          </w:p>
        </w:tc>
        <w:tc>
          <w:tcPr/>
          <w:p>
            <w:pPr>
              <w:pStyle w:val="Compact"/>
              <w:jc w:val="center"/>
            </w:pPr>
            <w:r>
              <w:t xml:space="preserve">16, 18, 29, 30</w:t>
            </w:r>
          </w:p>
        </w:tc>
        <w:tc>
          <w:tcPr/>
          <w:p>
            <w:pPr>
              <w:pStyle w:val="Compact"/>
              <w:jc w:val="left"/>
            </w:pPr>
            <w:r>
              <w:t xml:space="preserve">Add MAX_RESOLVE_RETRIES=3 cap; force FLAT closure at max retries; add 5bp floor for scalps; expand asset_class alias map; add schema validation layer[^14^]</w:t>
            </w:r>
          </w:p>
        </w:tc>
      </w:tr>
      <w:tr>
        <w:tc>
          <w:tcPr/>
          <w:p>
            <w:pPr>
              <w:pStyle w:val="Compact"/>
              <w:jc w:val="left"/>
            </w:pPr>
            <w:r>
              <w:rPr>
                <w:rStyle w:val="VerbatimChar"/>
              </w:rPr>
              <w:t xml:space="preserve">hc_filter.js</w:t>
            </w:r>
          </w:p>
        </w:tc>
        <w:tc>
          <w:tcPr/>
          <w:p>
            <w:pPr>
              <w:pStyle w:val="Compact"/>
              <w:jc w:val="center"/>
            </w:pPr>
            <w:r>
              <w:t xml:space="preserve">Modified</w:t>
            </w:r>
          </w:p>
        </w:tc>
        <w:tc>
          <w:tcPr/>
          <w:p>
            <w:pPr>
              <w:pStyle w:val="Compact"/>
              <w:jc w:val="center"/>
            </w:pPr>
            <w:r>
              <w:t xml:space="preserve">+38 / −8</w:t>
            </w:r>
          </w:p>
        </w:tc>
        <w:tc>
          <w:tcPr/>
          <w:p>
            <w:pPr>
              <w:pStyle w:val="Compact"/>
              <w:jc w:val="center"/>
            </w:pPr>
            <w:r>
              <w:t xml:space="preserve">1, 3, 4, 6, 7</w:t>
            </w:r>
          </w:p>
        </w:tc>
        <w:tc>
          <w:tcPr/>
          <w:p>
            <w:pPr>
              <w:pStyle w:val="Compact"/>
              <w:jc w:val="left"/>
            </w:pPr>
            <w:r>
              <w:t xml:space="preserve">Replace strat_fwd_wr with track_wr; lower R:R floor to 1.25; raise confidence ceiling to 0.95; remove WINNER_FILTER; add conditional symbol unban logic[^14^]</w:t>
            </w:r>
          </w:p>
        </w:tc>
      </w:tr>
      <w:tr>
        <w:tc>
          <w:tcPr/>
          <w:p>
            <w:pPr>
              <w:pStyle w:val="Compact"/>
              <w:jc w:val="left"/>
            </w:pPr>
            <w:r>
              <w:rPr>
                <w:rStyle w:val="VerbatimChar"/>
              </w:rPr>
              <w:t xml:space="preserve">hedge_fund_quality_gate.py</w:t>
            </w:r>
          </w:p>
        </w:tc>
        <w:tc>
          <w:tcPr/>
          <w:p>
            <w:pPr>
              <w:pStyle w:val="Compact"/>
              <w:jc w:val="center"/>
            </w:pPr>
            <w:r>
              <w:t xml:space="preserve">Modified</w:t>
            </w:r>
          </w:p>
        </w:tc>
        <w:tc>
          <w:tcPr/>
          <w:p>
            <w:pPr>
              <w:pStyle w:val="Compact"/>
              <w:jc w:val="center"/>
            </w:pPr>
            <w:r>
              <w:t xml:space="preserve">+22 / −15</w:t>
            </w:r>
          </w:p>
        </w:tc>
        <w:tc>
          <w:tcPr/>
          <w:p>
            <w:pPr>
              <w:pStyle w:val="Compact"/>
              <w:jc w:val="center"/>
            </w:pPr>
            <w:r>
              <w:t xml:space="preserve">1, 2, 20</w:t>
            </w:r>
          </w:p>
        </w:tc>
        <w:tc>
          <w:tcPr/>
          <w:p>
            <w:pPr>
              <w:pStyle w:val="Compact"/>
              <w:jc w:val="left"/>
            </w:pPr>
            <w:r>
              <w:t xml:space="preserve">Replace elite_score criterion with ml_score ≥0.82; add round(elite_score, 2); lower bond-specific elite_score floor to 15[^14^]</w:t>
            </w:r>
          </w:p>
        </w:tc>
      </w:tr>
      <w:tr>
        <w:tc>
          <w:tcPr/>
          <w:p>
            <w:pPr>
              <w:pStyle w:val="Compact"/>
              <w:jc w:val="left"/>
            </w:pPr>
            <w:r>
              <w:rPr>
                <w:rStyle w:val="VerbatimChar"/>
              </w:rPr>
              <w:t xml:space="preserve">hf_quality_gates.json</w:t>
            </w:r>
          </w:p>
        </w:tc>
        <w:tc>
          <w:tcPr/>
          <w:p>
            <w:pPr>
              <w:pStyle w:val="Compact"/>
              <w:jc w:val="center"/>
            </w:pPr>
            <w:r>
              <w:t xml:space="preserve">Modified</w:t>
            </w:r>
          </w:p>
        </w:tc>
        <w:tc>
          <w:tcPr/>
          <w:p>
            <w:pPr>
              <w:pStyle w:val="Compact"/>
              <w:jc w:val="center"/>
            </w:pPr>
            <w:r>
              <w:t xml:space="preserve">+8 / −4</w:t>
            </w:r>
          </w:p>
        </w:tc>
        <w:tc>
          <w:tcPr/>
          <w:p>
            <w:pPr>
              <w:pStyle w:val="Compact"/>
              <w:jc w:val="center"/>
            </w:pPr>
            <w:r>
              <w:t xml:space="preserve">1, 3, 16, 20</w:t>
            </w:r>
          </w:p>
        </w:tc>
        <w:tc>
          <w:tcPr/>
          <w:p>
            <w:pPr>
              <w:pStyle w:val="Compact"/>
              <w:jc w:val="left"/>
            </w:pPr>
            <w:r>
              <w:t xml:space="preserve">Remove elite_score from active gates; update R:R threshold to 1.25; add forex autoRelax floor; add bond-specific parameters[^14^]</w:t>
            </w:r>
          </w:p>
        </w:tc>
      </w:tr>
      <w:tr>
        <w:tc>
          <w:tcPr/>
          <w:p>
            <w:pPr>
              <w:pStyle w:val="Compact"/>
              <w:jc w:val="left"/>
            </w:pPr>
            <w:r>
              <w:rPr>
                <w:rStyle w:val="VerbatimChar"/>
              </w:rPr>
              <w:t xml:space="preserve">alpha_engine/track_calculator.py</w:t>
            </w:r>
          </w:p>
        </w:tc>
        <w:tc>
          <w:tcPr/>
          <w:p>
            <w:pPr>
              <w:pStyle w:val="Compact"/>
              <w:jc w:val="center"/>
            </w:pPr>
            <w:r>
              <w:rPr>
                <w:bCs/>
                <w:b/>
              </w:rPr>
              <w:t xml:space="preserve">Added</w:t>
            </w:r>
          </w:p>
        </w:tc>
        <w:tc>
          <w:tcPr/>
          <w:p>
            <w:pPr>
              <w:pStyle w:val="Compact"/>
              <w:jc w:val="center"/>
            </w:pPr>
            <w:r>
              <w:t xml:space="preserve">~180</w:t>
            </w:r>
          </w:p>
        </w:tc>
        <w:tc>
          <w:tcPr/>
          <w:p>
            <w:pPr>
              <w:pStyle w:val="Compact"/>
              <w:jc w:val="center"/>
            </w:pPr>
            <w:r>
              <w:t xml:space="preserve">29</w:t>
            </w:r>
          </w:p>
        </w:tc>
        <w:tc>
          <w:tcPr/>
          <w:p>
            <w:pPr>
              <w:pStyle w:val="Compact"/>
              <w:jc w:val="left"/>
            </w:pPr>
            <w:r>
              <w:t xml:space="preserve">New module: computes strategy:symbol:direction track WR from resolved picks; daily batch job; persists track_key records[^14^]</w:t>
            </w:r>
          </w:p>
        </w:tc>
      </w:tr>
      <w:tr>
        <w:tc>
          <w:tcPr/>
          <w:p>
            <w:pPr>
              <w:pStyle w:val="Compact"/>
              <w:jc w:val="left"/>
            </w:pPr>
            <w:r>
              <w:rPr>
                <w:rStyle w:val="VerbatimChar"/>
              </w:rPr>
              <w:t xml:space="preserve">alpha_engine/statistical_rigor.py</w:t>
            </w:r>
          </w:p>
        </w:tc>
        <w:tc>
          <w:tcPr/>
          <w:p>
            <w:pPr>
              <w:pStyle w:val="Compact"/>
              <w:jc w:val="center"/>
            </w:pPr>
            <w:r>
              <w:rPr>
                <w:bCs/>
                <w:b/>
              </w:rPr>
              <w:t xml:space="preserve">Added</w:t>
            </w:r>
          </w:p>
        </w:tc>
        <w:tc>
          <w:tcPr/>
          <w:p>
            <w:pPr>
              <w:pStyle w:val="Compact"/>
              <w:jc w:val="center"/>
            </w:pPr>
            <w:r>
              <w:t xml:space="preserve">~220</w:t>
            </w:r>
          </w:p>
        </w:tc>
        <w:tc>
          <w:tcPr/>
          <w:p>
            <w:pPr>
              <w:pStyle w:val="Compact"/>
              <w:jc w:val="center"/>
            </w:pPr>
            <w:r>
              <w:t xml:space="preserve">32, 33</w:t>
            </w:r>
          </w:p>
        </w:tc>
        <w:tc>
          <w:tcPr/>
          <w:p>
            <w:pPr>
              <w:pStyle w:val="Compact"/>
              <w:jc w:val="left"/>
            </w:pPr>
            <w:r>
              <w:t xml:space="preserve">New module: 1,000-run bootstrap CI; PSR calculator; DSR calculator; schema version enforcement[^15^]</w:t>
            </w:r>
          </w:p>
        </w:tc>
      </w:tr>
      <w:tr>
        <w:tc>
          <w:tcPr/>
          <w:p>
            <w:pPr>
              <w:pStyle w:val="Compact"/>
              <w:jc w:val="left"/>
            </w:pPr>
            <w:r>
              <w:rPr>
                <w:rStyle w:val="VerbatimChar"/>
              </w:rPr>
              <w:t xml:space="preserve">alpha_engine/hrp_allocator.py</w:t>
            </w:r>
          </w:p>
        </w:tc>
        <w:tc>
          <w:tcPr/>
          <w:p>
            <w:pPr>
              <w:pStyle w:val="Compact"/>
              <w:jc w:val="center"/>
            </w:pPr>
            <w:r>
              <w:rPr>
                <w:bCs/>
                <w:b/>
              </w:rPr>
              <w:t xml:space="preserve">Added</w:t>
            </w:r>
          </w:p>
        </w:tc>
        <w:tc>
          <w:tcPr/>
          <w:p>
            <w:pPr>
              <w:pStyle w:val="Compact"/>
              <w:jc w:val="center"/>
            </w:pPr>
            <w:r>
              <w:t xml:space="preserve">~260</w:t>
            </w:r>
          </w:p>
        </w:tc>
        <w:tc>
          <w:tcPr/>
          <w:p>
            <w:pPr>
              <w:pStyle w:val="Compact"/>
              <w:jc w:val="center"/>
            </w:pPr>
            <w:r>
              <w:t xml:space="preserve">32, 34</w:t>
            </w:r>
          </w:p>
        </w:tc>
        <w:tc>
          <w:tcPr/>
          <w:p>
            <w:pPr>
              <w:pStyle w:val="Compact"/>
              <w:jc w:val="left"/>
            </w:pPr>
            <w:r>
              <w:t xml:space="preserve">New module: Hierarchical Risk Parity allocation; quarter-Kelly position sizing; correlation-gate enforcement[^15^]</w:t>
            </w:r>
          </w:p>
        </w:tc>
      </w:tr>
      <w:tr>
        <w:tc>
          <w:tcPr/>
          <w:p>
            <w:pPr>
              <w:pStyle w:val="Compact"/>
              <w:jc w:val="left"/>
            </w:pPr>
            <w:r>
              <w:rPr>
                <w:rStyle w:val="VerbatimChar"/>
              </w:rPr>
              <w:t xml:space="preserve">alpha_engine/decay_tracker.py</w:t>
            </w:r>
          </w:p>
        </w:tc>
        <w:tc>
          <w:tcPr/>
          <w:p>
            <w:pPr>
              <w:pStyle w:val="Compact"/>
              <w:jc w:val="center"/>
            </w:pPr>
            <w:r>
              <w:rPr>
                <w:bCs/>
                <w:b/>
              </w:rPr>
              <w:t xml:space="preserve">Added</w:t>
            </w:r>
          </w:p>
        </w:tc>
        <w:tc>
          <w:tcPr/>
          <w:p>
            <w:pPr>
              <w:pStyle w:val="Compact"/>
              <w:jc w:val="center"/>
            </w:pPr>
            <w:r>
              <w:t xml:space="preserve">~150</w:t>
            </w:r>
          </w:p>
        </w:tc>
        <w:tc>
          <w:tcPr/>
          <w:p>
            <w:pPr>
              <w:pStyle w:val="Compact"/>
              <w:jc w:val="center"/>
            </w:pPr>
            <w:r>
              <w:t xml:space="preserve">5, 33</w:t>
            </w:r>
          </w:p>
        </w:tc>
        <w:tc>
          <w:tcPr/>
          <w:p>
            <w:pPr>
              <w:pStyle w:val="Compact"/>
              <w:jc w:val="left"/>
            </w:pPr>
            <w:r>
              <w:t xml:space="preserve">New module: auto-demotion ladder; time-based graduation A→B→C; regime-conditioned gate adjustment; kill-switch trigger[^15^]</w:t>
            </w:r>
          </w:p>
        </w:tc>
      </w:tr>
      <w:tr>
        <w:tc>
          <w:tcPr/>
          <w:p>
            <w:pPr>
              <w:pStyle w:val="Compact"/>
              <w:jc w:val="left"/>
            </w:pPr>
            <w:r>
              <w:rPr>
                <w:rStyle w:val="VerbatimChar"/>
              </w:rPr>
              <w:t xml:space="preserve">ml_crypto_predictor/researchers/</w:t>
            </w:r>
          </w:p>
        </w:tc>
        <w:tc>
          <w:tcPr/>
          <w:p>
            <w:pPr>
              <w:pStyle w:val="Compact"/>
              <w:jc w:val="center"/>
            </w:pPr>
            <w:r>
              <w:rPr>
                <w:bCs/>
                <w:b/>
              </w:rPr>
              <w:t xml:space="preserve">Added</w:t>
            </w:r>
          </w:p>
        </w:tc>
        <w:tc>
          <w:tcPr/>
          <w:p>
            <w:pPr>
              <w:pStyle w:val="Compact"/>
              <w:jc w:val="center"/>
            </w:pPr>
            <w:r>
              <w:t xml:space="preserve">~400 (8 files)</w:t>
            </w:r>
          </w:p>
        </w:tc>
        <w:tc>
          <w:tcPr/>
          <w:p>
            <w:pPr>
              <w:pStyle w:val="Compact"/>
              <w:jc w:val="center"/>
            </w:pPr>
            <w:r>
              <w:t xml:space="preserve">8, 26</w:t>
            </w:r>
          </w:p>
        </w:tc>
        <w:tc>
          <w:tcPr/>
          <w:p>
            <w:pPr>
              <w:pStyle w:val="Compact"/>
              <w:jc w:val="left"/>
            </w:pPr>
            <w:r>
              <w:t xml:space="preserve">8 researcher personas for continuous edge detection; each persona ~50 lines; funding-rate scraper + sentiment analyzer</w:t>
            </w:r>
            <w:r>
              <w:rPr>
                <w:rStyle w:val="FootnoteReference"/>
              </w:rPr>
              <w:footnoteReference w:id="437"/>
            </w:r>
          </w:p>
        </w:tc>
      </w:tr>
    </w:tbl>
    <w:p>
      <w:pPr>
        <w:pStyle w:val="BodyText"/>
      </w:pPr>
      <w:r>
        <w:t xml:space="preserve">Total code impact: approximately 1,163 lines across 9 files — 1,010 additions (new files) and 153 net modifications. The track calculator is the single highest-priority new module; without it, forward-data gates in</w:t>
      </w:r>
      <w:r>
        <w:t xml:space="preserve"> </w:t>
      </w:r>
      <w:r>
        <w:rPr>
          <w:rStyle w:val="VerbatimChar"/>
        </w:rPr>
        <w:t xml:space="preserve">hc_filter.js</w:t>
      </w:r>
      <w:r>
        <w:t xml:space="preserve"> </w:t>
      </w:r>
      <w:r>
        <w:t xml:space="preserve">remain inoperative on permanently zeroed inputs. The statistical rigor module follows because PSR &gt; 0.95 is a mandatory Phase 1 capital-deployment gate.</w:t>
      </w:r>
    </w:p>
    <w:p>
      <w:pPr>
        <w:pStyle w:val="BodyText"/>
      </w:pPr>
      <w:r>
        <w:t xml:space="preserve">The four modified files should deploy in a single coordinated release to prevent partial-state failures. A feature-flag mechanism in</w:t>
      </w:r>
      <w:r>
        <w:t xml:space="preserve"> </w:t>
      </w:r>
      <w:r>
        <w:rPr>
          <w:rStyle w:val="VerbatimChar"/>
        </w:rPr>
        <w:t xml:space="preserve">hf_quality_gates.json</w:t>
      </w:r>
      <w:r>
        <w:t xml:space="preserve"> </w:t>
      </w:r>
      <w:r>
        <w:t xml:space="preserve">enables instant rollback. The estimated deployment window is 2–3 hours for modified files; new files require an additional 16–24 hours across the Phase 0–2 timeline.</w:t>
      </w:r>
    </w:p>
    <w:p>
      <w:r>
        <w:pict>
          <v:rect style="width:0;height:1.5pt" o:hralign="center" o:hrstd="t" o:hr="t"/>
        </w:pict>
      </w:r>
    </w:p>
    <w:bookmarkEnd w:id="438"/>
    <w:bookmarkEnd w:id="439"/>
    <w:bookmarkEnd w:id="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Li, Y., Shim, J. &amp; Song, J. (2025).</w:t>
      </w:r>
      <w:r>
        <w:t xml:space="preserve"> </w:t>
      </w:r>
      <w:r>
        <w:t xml:space="preserve">“</w:t>
      </w:r>
      <w:r>
        <w:t xml:space="preserve">Exploring Risk and Return Profiles of Funding Rate Arbitrage on CEX and DEX.</w:t>
      </w:r>
      <w:r>
        <w:t xml:space="preserve">”</w:t>
      </w:r>
      <w:r>
        <w:t xml:space="preserve"> </w:t>
      </w:r>
      <w:r>
        <w:rPr>
          <w:iCs/>
          <w:i/>
        </w:rPr>
        <w:t xml:space="preserve">Journal of Zhejiang University</w:t>
      </w:r>
      <w:r>
        <w:t xml:space="preserve">.</w:t>
      </w:r>
    </w:p>
  </w:footnote>
  <w:footnote w:id="22">
    <w:p>
      <w:pPr>
        <w:pStyle w:val="FootnoteText"/>
      </w:pPr>
      <w:r>
        <w:rPr>
          <w:rStyle w:val="FootnoteReference"/>
        </w:rPr>
        <w:footnoteRef/>
      </w:r>
      <w:r>
        <w:t xml:space="preserve"> </w:t>
      </w:r>
      <w:r>
        <w:t xml:space="preserve">CUNY Academic Paper (2021).</w:t>
      </w:r>
      <w:r>
        <w:t xml:space="preserve"> </w:t>
      </w:r>
      <w:r>
        <w:t xml:space="preserve">“</w:t>
      </w:r>
      <w:r>
        <w:t xml:space="preserve">Exploiting Closed-End Fund Discounts: Bias-Adjusted Mean Reversion Strategies.</w:t>
      </w:r>
      <w:r>
        <w:t xml:space="preserve">”</w:t>
      </w:r>
    </w:p>
  </w:footnote>
  <w:footnote w:id="23">
    <w:p>
      <w:pPr>
        <w:pStyle w:val="FootnoteText"/>
      </w:pPr>
      <w:r>
        <w:rPr>
          <w:rStyle w:val="FootnoteReference"/>
        </w:rPr>
        <w:footnoteRef/>
      </w:r>
      <w:r>
        <w:t xml:space="preserve"> </w:t>
      </w:r>
      <w:r>
        <w:t xml:space="preserve">Burnside, C., Eichenbaum, M. &amp; Rebelo, S. (2011).</w:t>
      </w:r>
      <w:r>
        <w:t xml:space="preserve"> </w:t>
      </w:r>
      <w:r>
        <w:t xml:space="preserve">“</w:t>
      </w:r>
      <w:r>
        <w:t xml:space="preserve">Carry Trade and Momentum in Currency Markets.</w:t>
      </w:r>
      <w:r>
        <w:t xml:space="preserve">”</w:t>
      </w:r>
      <w:r>
        <w:t xml:space="preserve"> </w:t>
      </w:r>
      <w:r>
        <w:rPr>
          <w:iCs/>
          <w:i/>
        </w:rPr>
        <w:t xml:space="preserve">NBER Reporter</w:t>
      </w:r>
      <w:r>
        <w:t xml:space="preserve">.</w:t>
      </w:r>
    </w:p>
  </w:footnote>
  <w:footnote w:id="24">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28">
    <w:p>
      <w:pPr>
        <w:pStyle w:val="FootnoteText"/>
      </w:pPr>
      <w:r>
        <w:rPr>
          <w:rStyle w:val="FootnoteReference"/>
        </w:rPr>
        <w:footnoteRef/>
      </w:r>
      <w:r>
        <w:t xml:space="preserve"> </w:t>
      </w:r>
      <w:r>
        <w:t xml:space="preserve">CUNY Academic Paper (2021).</w:t>
      </w:r>
      <w:r>
        <w:t xml:space="preserve"> </w:t>
      </w:r>
      <w:r>
        <w:t xml:space="preserve">“</w:t>
      </w:r>
      <w:r>
        <w:t xml:space="preserve">Exploiting Closed-End Fund Discounts: Bias-Adjusted Mean Reversion Strategies.</w:t>
      </w:r>
      <w:r>
        <w:t xml:space="preserve">”</w:t>
      </w:r>
    </w:p>
  </w:footnote>
  <w:footnote w:id="29">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30">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31">
    <w:p>
      <w:pPr>
        <w:pStyle w:val="FootnoteText"/>
      </w:pPr>
      <w:r>
        <w:rPr>
          <w:rStyle w:val="FootnoteReference"/>
        </w:rPr>
        <w:footnoteRef/>
      </w:r>
      <w:r>
        <w:t xml:space="preserve"> </w:t>
      </w:r>
      <w:r>
        <w:t xml:space="preserve">Author calculation from expected strategy correlation matrix, source: Appendix B, New Strategies Research (2025).</w:t>
      </w:r>
    </w:p>
  </w:footnote>
  <w:footnote w:id="32">
    <w:p>
      <w:pPr>
        <w:pStyle w:val="FootnoteText"/>
      </w:pPr>
      <w:r>
        <w:rPr>
          <w:rStyle w:val="FootnoteReference"/>
        </w:rPr>
        <w:footnoteRef/>
      </w:r>
      <w:r>
        <w:t xml:space="preserve"> </w:t>
      </w:r>
      <w:r>
        <w:t xml:space="preserve">Liu, W., Zhang, L. &amp; Zhao, S. (2012).</w:t>
      </w:r>
      <w:r>
        <w:t xml:space="preserve"> </w:t>
      </w:r>
      <w:r>
        <w:t xml:space="preserve">“</w:t>
      </w:r>
      <w:r>
        <w:t xml:space="preserve">Explaining Penny Stock Returns.</w:t>
      </w:r>
      <w:r>
        <w:t xml:space="preserve">”</w:t>
      </w:r>
      <w:r>
        <w:t xml:space="preserve"> </w:t>
      </w:r>
      <w:r>
        <w:t xml:space="preserve">Working Paper.</w:t>
      </w:r>
    </w:p>
  </w:footnote>
  <w:footnote w:id="33">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34">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36">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37">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38">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39">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40">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41">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42">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43">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44">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45">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46">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47">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48">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49">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50">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51">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52">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54">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56">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60">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61">
    <w:p>
      <w:pPr>
        <w:pStyle w:val="FootnoteText"/>
      </w:pPr>
      <w:r>
        <w:rPr>
          <w:rStyle w:val="FootnoteReference"/>
        </w:rPr>
        <w:footnoteRef/>
      </w:r>
      <w:r>
        <w:t xml:space="preserve"> </w:t>
      </w:r>
      <w:r>
        <w:t xml:space="preserve">Li, Y., Shim, J. &amp; Song, J. (2025).</w:t>
      </w:r>
      <w:r>
        <w:t xml:space="preserve"> </w:t>
      </w:r>
      <w:r>
        <w:t xml:space="preserve">“</w:t>
      </w:r>
      <w:r>
        <w:t xml:space="preserve">Exploring Risk and Return Profiles of Funding Rate Arbitrage on CEX and DEX.</w:t>
      </w:r>
      <w:r>
        <w:t xml:space="preserve">”</w:t>
      </w:r>
      <w:r>
        <w:t xml:space="preserve"> </w:t>
      </w:r>
      <w:r>
        <w:rPr>
          <w:iCs/>
          <w:i/>
        </w:rPr>
        <w:t xml:space="preserve">Journal of Zhejiang University</w:t>
      </w:r>
      <w:r>
        <w:t xml:space="preserve">.</w:t>
      </w:r>
    </w:p>
  </w:footnote>
  <w:footnote w:id="62">
    <w:p>
      <w:pPr>
        <w:pStyle w:val="FootnoteText"/>
      </w:pPr>
      <w:r>
        <w:rPr>
          <w:rStyle w:val="FootnoteReference"/>
        </w:rPr>
        <w:footnoteRef/>
      </w:r>
      <w:r>
        <w:t xml:space="preserve"> </w:t>
      </w:r>
      <w:r>
        <w:t xml:space="preserve">Burnside, C., Eichenbaum, M. &amp; Rebelo, S. (2011).</w:t>
      </w:r>
      <w:r>
        <w:t xml:space="preserve"> </w:t>
      </w:r>
      <w:r>
        <w:t xml:space="preserve">“</w:t>
      </w:r>
      <w:r>
        <w:t xml:space="preserve">Carry Trade and Momentum in Currency Markets.</w:t>
      </w:r>
      <w:r>
        <w:t xml:space="preserve">”</w:t>
      </w:r>
      <w:r>
        <w:t xml:space="preserve"> </w:t>
      </w:r>
      <w:r>
        <w:rPr>
          <w:iCs/>
          <w:i/>
        </w:rPr>
        <w:t xml:space="preserve">NBER Reporter</w:t>
      </w:r>
      <w:r>
        <w:t xml:space="preserve">.</w:t>
      </w:r>
    </w:p>
  </w:footnote>
  <w:footnote w:id="63">
    <w:p>
      <w:pPr>
        <w:pStyle w:val="FootnoteText"/>
      </w:pPr>
      <w:r>
        <w:rPr>
          <w:rStyle w:val="FootnoteReference"/>
        </w:rPr>
        <w:footnoteRef/>
      </w:r>
      <w:r>
        <w:t xml:space="preserve"> </w:t>
      </w:r>
      <w:r>
        <w:t xml:space="preserve">CUNY Academic Paper (2021).</w:t>
      </w:r>
      <w:r>
        <w:t xml:space="preserve"> </w:t>
      </w:r>
      <w:r>
        <w:t xml:space="preserve">“</w:t>
      </w:r>
      <w:r>
        <w:t xml:space="preserve">Exploiting Closed-End Fund Discounts: Bias-Adjusted Mean Reversion Strategies.</w:t>
      </w:r>
      <w:r>
        <w:t xml:space="preserve">”</w:t>
      </w:r>
    </w:p>
  </w:footnote>
  <w:footnote w:id="64">
    <w:p>
      <w:pPr>
        <w:pStyle w:val="FootnoteText"/>
      </w:pPr>
      <w:r>
        <w:rPr>
          <w:rStyle w:val="FootnoteReference"/>
        </w:rPr>
        <w:footnoteRef/>
      </w:r>
      <w:r>
        <w:t xml:space="preserve"> </w:t>
      </w:r>
      <w:r>
        <w:t xml:space="preserve">CoinGecko (2025).</w:t>
      </w:r>
      <w:r>
        <w:t xml:space="preserve"> </w:t>
      </w:r>
      <w:r>
        <w:t xml:space="preserve">“</w:t>
      </w:r>
      <w:r>
        <w:t xml:space="preserve">2025 State of Memecoins Report.</w:t>
      </w:r>
      <w:r>
        <w:t xml:space="preserve">”</w:t>
      </w:r>
    </w:p>
  </w:footnote>
  <w:footnote w:id="65">
    <w:p>
      <w:pPr>
        <w:pStyle w:val="FootnoteText"/>
      </w:pPr>
      <w:r>
        <w:rPr>
          <w:rStyle w:val="FootnoteReference"/>
        </w:rPr>
        <w:footnoteRef/>
      </w:r>
      <w:r>
        <w:t xml:space="preserve"> </w:t>
      </w:r>
      <w:r>
        <w:t xml:space="preserve">“</w:t>
      </w:r>
      <w:r>
        <w:t xml:space="preserve">Understanding Meme Coin Trends Through Sentiment Analysis.</w:t>
      </w:r>
      <w:r>
        <w:t xml:space="preserve">”</w:t>
      </w:r>
      <w:r>
        <w:t xml:space="preserve"> </w:t>
      </w:r>
      <w:r>
        <w:t xml:space="preserve">(2025).</w:t>
      </w:r>
      <w:r>
        <w:t xml:space="preserve"> </w:t>
      </w:r>
      <w:r>
        <w:rPr>
          <w:iCs/>
          <w:i/>
        </w:rPr>
        <w:t xml:space="preserve">IJRASET</w:t>
      </w:r>
      <w:r>
        <w:t xml:space="preserve">.</w:t>
      </w:r>
    </w:p>
  </w:footnote>
  <w:footnote w:id="66">
    <w:p>
      <w:pPr>
        <w:pStyle w:val="FootnoteText"/>
      </w:pPr>
      <w:r>
        <w:rPr>
          <w:rStyle w:val="FootnoteReference"/>
        </w:rPr>
        <w:footnoteRef/>
      </w:r>
      <w:r>
        <w:t xml:space="preserve"> </w:t>
      </w:r>
      <w:r>
        <w:t xml:space="preserve">Da, Z., Liu, Q. &amp; Schaumburg, E. (2014).</w:t>
      </w:r>
      <w:r>
        <w:t xml:space="preserve"> </w:t>
      </w:r>
      <w:r>
        <w:t xml:space="preserve">“</w:t>
      </w:r>
      <w:r>
        <w:t xml:space="preserve">A Closer Look at the Short-term Return Reversal.</w:t>
      </w:r>
      <w:r>
        <w:t xml:space="preserve">”</w:t>
      </w:r>
      <w:r>
        <w:t xml:space="preserve"> </w:t>
      </w:r>
      <w:r>
        <w:rPr>
          <w:iCs/>
          <w:i/>
        </w:rPr>
        <w:t xml:space="preserve">Management Science</w:t>
      </w:r>
      <w:r>
        <w:t xml:space="preserve">.</w:t>
      </w:r>
    </w:p>
  </w:footnote>
  <w:footnote w:id="67">
    <w:p>
      <w:pPr>
        <w:pStyle w:val="FootnoteText"/>
      </w:pPr>
      <w:r>
        <w:rPr>
          <w:rStyle w:val="FootnoteReference"/>
        </w:rPr>
        <w:footnoteRef/>
      </w:r>
      <w:r>
        <w:t xml:space="preserve"> </w:t>
      </w:r>
      <w:r>
        <w:t xml:space="preserve">Liu, W., Zhang, L. &amp; Zhao, S. (2012).</w:t>
      </w:r>
      <w:r>
        <w:t xml:space="preserve"> </w:t>
      </w:r>
      <w:r>
        <w:t xml:space="preserve">“</w:t>
      </w:r>
      <w:r>
        <w:t xml:space="preserve">Explaining Penny Stock Returns.</w:t>
      </w:r>
      <w:r>
        <w:t xml:space="preserve">”</w:t>
      </w:r>
      <w:r>
        <w:t xml:space="preserve"> </w:t>
      </w:r>
      <w:r>
        <w:t xml:space="preserve">Working Paper.</w:t>
      </w:r>
    </w:p>
  </w:footnote>
  <w:footnote w:id="68">
    <w:p>
      <w:pPr>
        <w:pStyle w:val="FootnoteText"/>
      </w:pPr>
      <w:r>
        <w:rPr>
          <w:rStyle w:val="FootnoteReference"/>
        </w:rPr>
        <w:footnoteRef/>
      </w:r>
      <w:r>
        <w:t xml:space="preserve"> </w:t>
      </w:r>
      <w:r>
        <w:t xml:space="preserve">Fuertes, A-M., Miffre, J. &amp; Fernandez-Perez, A. (2015).</w:t>
      </w:r>
      <w:r>
        <w:t xml:space="preserve"> </w:t>
      </w:r>
      <w:r>
        <w:t xml:space="preserve">“</w:t>
      </w:r>
      <w:r>
        <w:t xml:space="preserve">Commodity Strategies Based on Momentum, Term Structure and Idiosyncratic Volatility.</w:t>
      </w:r>
      <w:r>
        <w:t xml:space="preserve">”</w:t>
      </w:r>
      <w:r>
        <w:t xml:space="preserve"> </w:t>
      </w:r>
      <w:r>
        <w:rPr>
          <w:iCs/>
          <w:i/>
        </w:rPr>
        <w:t xml:space="preserve">Journal of Banking &amp; Finance</w:t>
      </w:r>
      <w:r>
        <w:t xml:space="preserve">.</w:t>
      </w:r>
    </w:p>
  </w:footnote>
  <w:footnote w:id="69">
    <w:p>
      <w:pPr>
        <w:pStyle w:val="FootnoteText"/>
      </w:pPr>
      <w:r>
        <w:rPr>
          <w:rStyle w:val="FootnoteReference"/>
        </w:rPr>
        <w:footnoteRef/>
      </w:r>
      <w:r>
        <w:t xml:space="preserve"> </w:t>
      </w:r>
      <w:r>
        <w:t xml:space="preserve">Ghoddusi, H. (2016).</w:t>
      </w:r>
      <w:r>
        <w:t xml:space="preserve"> </w:t>
      </w:r>
      <w:r>
        <w:t xml:space="preserve">“</w:t>
      </w:r>
      <w:r>
        <w:t xml:space="preserve">Maturity Structure of Commodity Roll Strategies.</w:t>
      </w:r>
      <w:r>
        <w:t xml:space="preserve">”</w:t>
      </w:r>
      <w:r>
        <w:t xml:space="preserve"> </w:t>
      </w:r>
      <w:r>
        <w:rPr>
          <w:iCs/>
          <w:i/>
        </w:rPr>
        <w:t xml:space="preserve">SSRN Working Paper</w:t>
      </w:r>
      <w:r>
        <w:t xml:space="preserve">; Gorton, Hayashi &amp; Rouwenhorst (2013),</w:t>
      </w:r>
      <w:r>
        <w:t xml:space="preserve"> </w:t>
      </w:r>
      <w:r>
        <w:rPr>
          <w:iCs/>
          <w:i/>
        </w:rPr>
        <w:t xml:space="preserve">Journal of Financial Economics</w:t>
      </w:r>
      <w:r>
        <w:t xml:space="preserve">; Szymanowska et al. (2014).</w:t>
      </w:r>
    </w:p>
  </w:footnote>
  <w:footnote w:id="71">
    <w:p>
      <w:pPr>
        <w:pStyle w:val="FootnoteText"/>
      </w:pPr>
      <w:r>
        <w:rPr>
          <w:rStyle w:val="FootnoteReference"/>
        </w:rPr>
        <w:footnoteRef/>
      </w:r>
      <w:r>
        <w:t xml:space="preserve"> </w:t>
      </w:r>
      <w:r>
        <w:t xml:space="preserve">Author calculation from expected strategy correlation matrix, source: Appendix B, New Strategies Research (2025).</w:t>
      </w:r>
    </w:p>
  </w:footnote>
  <w:footnote w:id="81">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82">
    <w:p>
      <w:pPr>
        <w:pStyle w:val="FootnoteText"/>
      </w:pPr>
      <w:r>
        <w:rPr>
          <w:rStyle w:val="FootnoteReference"/>
        </w:rPr>
        <w:footnoteRef/>
      </w:r>
      <w:r>
        <w:t xml:space="preserve"> </w:t>
      </w:r>
      <w:r>
        <w:t xml:space="preserve">Li, Y., Shim, J. &amp; Song, J. (2025).</w:t>
      </w:r>
      <w:r>
        <w:t xml:space="preserve"> </w:t>
      </w:r>
      <w:r>
        <w:t xml:space="preserve">“</w:t>
      </w:r>
      <w:r>
        <w:t xml:space="preserve">Exploring Risk and Return Profiles of Funding Rate Arbitrage on CEX and DEX.</w:t>
      </w:r>
      <w:r>
        <w:t xml:space="preserve">”</w:t>
      </w:r>
      <w:r>
        <w:t xml:space="preserve"> </w:t>
      </w:r>
      <w:r>
        <w:rPr>
          <w:iCs/>
          <w:i/>
        </w:rPr>
        <w:t xml:space="preserve">Journal of Zhejiang University</w:t>
      </w:r>
      <w:r>
        <w:t xml:space="preserve">.</w:t>
      </w:r>
    </w:p>
  </w:footnote>
  <w:footnote w:id="83">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84">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85">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87">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88">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89">
    <w:p>
      <w:pPr>
        <w:pStyle w:val="FootnoteText"/>
      </w:pPr>
      <w:r>
        <w:rPr>
          <w:rStyle w:val="FootnoteReference"/>
        </w:rPr>
        <w:footnoteRef/>
      </w:r>
      <w:r>
        <w:t xml:space="preserve"> </w:t>
      </w:r>
      <w:r>
        <w:t xml:space="preserve">Burnside, C., Eichenbaum, M. &amp; Rebelo, S. (2011).</w:t>
      </w:r>
      <w:r>
        <w:t xml:space="preserve"> </w:t>
      </w:r>
      <w:r>
        <w:t xml:space="preserve">“</w:t>
      </w:r>
      <w:r>
        <w:t xml:space="preserve">Carry Trade and Momentum in Currency Markets.</w:t>
      </w:r>
      <w:r>
        <w:t xml:space="preserve">”</w:t>
      </w:r>
      <w:r>
        <w:t xml:space="preserve"> </w:t>
      </w:r>
      <w:r>
        <w:rPr>
          <w:iCs/>
          <w:i/>
        </w:rPr>
        <w:t xml:space="preserve">NBER Reporter</w:t>
      </w:r>
      <w:r>
        <w:t xml:space="preserve">.</w:t>
      </w:r>
    </w:p>
  </w:footnote>
  <w:footnote w:id="93">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94">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96">
    <w:p>
      <w:pPr>
        <w:pStyle w:val="FootnoteText"/>
      </w:pPr>
      <w:r>
        <w:rPr>
          <w:rStyle w:val="FootnoteReference"/>
        </w:rPr>
        <w:footnoteRef/>
      </w:r>
      <w:r>
        <w:t xml:space="preserve"> </w:t>
      </w:r>
      <w:r>
        <w:t xml:space="preserve">Burnside, C., Eichenbaum, M. &amp; Rebelo, S. (2011).</w:t>
      </w:r>
      <w:r>
        <w:t xml:space="preserve"> </w:t>
      </w:r>
      <w:r>
        <w:t xml:space="preserve">“</w:t>
      </w:r>
      <w:r>
        <w:t xml:space="preserve">Carry Trade and Momentum in Currency Markets.</w:t>
      </w:r>
      <w:r>
        <w:t xml:space="preserve">”</w:t>
      </w:r>
      <w:r>
        <w:t xml:space="preserve"> </w:t>
      </w:r>
      <w:r>
        <w:rPr>
          <w:iCs/>
          <w:i/>
        </w:rPr>
        <w:t xml:space="preserve">NBER Reporter</w:t>
      </w:r>
      <w:r>
        <w:t xml:space="preserve">.</w:t>
      </w:r>
    </w:p>
  </w:footnote>
  <w:footnote w:id="97">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98">
    <w:p>
      <w:pPr>
        <w:pStyle w:val="FootnoteText"/>
      </w:pPr>
      <w:r>
        <w:rPr>
          <w:rStyle w:val="FootnoteReference"/>
        </w:rPr>
        <w:footnoteRef/>
      </w:r>
      <w:r>
        <w:t xml:space="preserve"> </w:t>
      </w:r>
      <w:r>
        <w:t xml:space="preserve">CUNY Academic Paper (2021).</w:t>
      </w:r>
      <w:r>
        <w:t xml:space="preserve"> </w:t>
      </w:r>
      <w:r>
        <w:t xml:space="preserve">“</w:t>
      </w:r>
      <w:r>
        <w:t xml:space="preserve">Exploiting Closed-End Fund Discounts: Bias-Adjusted Mean Reversion Strategies.</w:t>
      </w:r>
      <w:r>
        <w:t xml:space="preserve">”</w:t>
      </w:r>
    </w:p>
  </w:footnote>
  <w:footnote w:id="99">
    <w:p>
      <w:pPr>
        <w:pStyle w:val="FootnoteText"/>
      </w:pPr>
      <w:r>
        <w:rPr>
          <w:rStyle w:val="FootnoteReference"/>
        </w:rPr>
        <w:footnoteRef/>
      </w:r>
      <w:r>
        <w:t xml:space="preserve"> </w:t>
      </w:r>
      <w:r>
        <w:t xml:space="preserve">CoinGecko (2025).</w:t>
      </w:r>
      <w:r>
        <w:t xml:space="preserve"> </w:t>
      </w:r>
      <w:r>
        <w:t xml:space="preserve">“</w:t>
      </w:r>
      <w:r>
        <w:t xml:space="preserve">2025 State of Memecoins Report.</w:t>
      </w:r>
      <w:r>
        <w:t xml:space="preserve">”</w:t>
      </w:r>
    </w:p>
  </w:footnote>
  <w:footnote w:id="100">
    <w:p>
      <w:pPr>
        <w:pStyle w:val="FootnoteText"/>
      </w:pPr>
      <w:r>
        <w:rPr>
          <w:rStyle w:val="FootnoteReference"/>
        </w:rPr>
        <w:footnoteRef/>
      </w:r>
      <w:r>
        <w:t xml:space="preserve"> </w:t>
      </w:r>
      <w:r>
        <w:t xml:space="preserve">“</w:t>
      </w:r>
      <w:r>
        <w:t xml:space="preserve">Understanding Meme Coin Trends Through Sentiment Analysis.</w:t>
      </w:r>
      <w:r>
        <w:t xml:space="preserve">”</w:t>
      </w:r>
      <w:r>
        <w:t xml:space="preserve"> </w:t>
      </w:r>
      <w:r>
        <w:t xml:space="preserve">(2025).</w:t>
      </w:r>
      <w:r>
        <w:t xml:space="preserve"> </w:t>
      </w:r>
      <w:r>
        <w:rPr>
          <w:iCs/>
          <w:i/>
        </w:rPr>
        <w:t xml:space="preserve">IJRASET</w:t>
      </w:r>
      <w:r>
        <w:t xml:space="preserve">.</w:t>
      </w:r>
    </w:p>
  </w:footnote>
  <w:footnote w:id="101">
    <w:p>
      <w:pPr>
        <w:pStyle w:val="FootnoteText"/>
      </w:pPr>
      <w:r>
        <w:rPr>
          <w:rStyle w:val="FootnoteReference"/>
        </w:rPr>
        <w:footnoteRef/>
      </w:r>
      <w:r>
        <w:t xml:space="preserve"> </w:t>
      </w:r>
      <w:r>
        <w:t xml:space="preserve">Da, Z., Liu, Q. &amp; Schaumburg, E. (2014).</w:t>
      </w:r>
      <w:r>
        <w:t xml:space="preserve"> </w:t>
      </w:r>
      <w:r>
        <w:t xml:space="preserve">“</w:t>
      </w:r>
      <w:r>
        <w:t xml:space="preserve">A Closer Look at the Short-term Return Reversal.</w:t>
      </w:r>
      <w:r>
        <w:t xml:space="preserve">”</w:t>
      </w:r>
      <w:r>
        <w:t xml:space="preserve"> </w:t>
      </w:r>
      <w:r>
        <w:rPr>
          <w:iCs/>
          <w:i/>
        </w:rPr>
        <w:t xml:space="preserve">Management Science</w:t>
      </w:r>
      <w:r>
        <w:t xml:space="preserve">.</w:t>
      </w:r>
    </w:p>
  </w:footnote>
  <w:footnote w:id="102">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103">
    <w:p>
      <w:pPr>
        <w:pStyle w:val="FootnoteText"/>
      </w:pPr>
      <w:r>
        <w:rPr>
          <w:rStyle w:val="FootnoteReference"/>
        </w:rPr>
        <w:footnoteRef/>
      </w:r>
      <w:r>
        <w:t xml:space="preserve"> </w:t>
      </w:r>
      <w:r>
        <w:t xml:space="preserve">Li, Y., Shim, J. &amp; Song, J. (2025).</w:t>
      </w:r>
      <w:r>
        <w:t xml:space="preserve"> </w:t>
      </w:r>
      <w:r>
        <w:t xml:space="preserve">“</w:t>
      </w:r>
      <w:r>
        <w:t xml:space="preserve">Exploring Risk and Return Profiles of Funding Rate Arbitrage on CEX and DEX.</w:t>
      </w:r>
      <w:r>
        <w:t xml:space="preserve">”</w:t>
      </w:r>
      <w:r>
        <w:t xml:space="preserve"> </w:t>
      </w:r>
      <w:r>
        <w:rPr>
          <w:iCs/>
          <w:i/>
        </w:rPr>
        <w:t xml:space="preserve">Journal of Zhejiang University</w:t>
      </w:r>
      <w:r>
        <w:t xml:space="preserve">.</w:t>
      </w:r>
    </w:p>
  </w:footnote>
  <w:footnote w:id="106">
    <w:p>
      <w:pPr>
        <w:pStyle w:val="FootnoteText"/>
      </w:pPr>
      <w:r>
        <w:rPr>
          <w:rStyle w:val="FootnoteReference"/>
        </w:rPr>
        <w:footnoteRef/>
      </w:r>
      <w:r>
        <w:t xml:space="preserve"> </w:t>
      </w:r>
      <w:r>
        <w:t xml:space="preserve">Liu, W., Zhang, L. &amp; Zhao, S. (2012).</w:t>
      </w:r>
      <w:r>
        <w:t xml:space="preserve"> </w:t>
      </w:r>
      <w:r>
        <w:t xml:space="preserve">“</w:t>
      </w:r>
      <w:r>
        <w:t xml:space="preserve">Explaining Penny Stock Returns.</w:t>
      </w:r>
      <w:r>
        <w:t xml:space="preserve">”</w:t>
      </w:r>
      <w:r>
        <w:t xml:space="preserve"> </w:t>
      </w:r>
      <w:r>
        <w:t xml:space="preserve">Working Paper.</w:t>
      </w:r>
    </w:p>
  </w:footnote>
  <w:footnote w:id="107">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108">
    <w:p>
      <w:pPr>
        <w:pStyle w:val="FootnoteText"/>
      </w:pPr>
      <w:r>
        <w:rPr>
          <w:rStyle w:val="FootnoteReference"/>
        </w:rPr>
        <w:footnoteRef/>
      </w:r>
      <w:r>
        <w:t xml:space="preserve"> </w:t>
      </w:r>
      <w:r>
        <w:t xml:space="preserve">Fuertes, A-M., Miffre, J. &amp; Fernandez-Perez, A. (2015).</w:t>
      </w:r>
      <w:r>
        <w:t xml:space="preserve"> </w:t>
      </w:r>
      <w:r>
        <w:t xml:space="preserve">“</w:t>
      </w:r>
      <w:r>
        <w:t xml:space="preserve">Commodity Strategies Based on Momentum, Term Structure and Idiosyncratic Volatility.</w:t>
      </w:r>
      <w:r>
        <w:t xml:space="preserve">”</w:t>
      </w:r>
      <w:r>
        <w:t xml:space="preserve"> </w:t>
      </w:r>
      <w:r>
        <w:rPr>
          <w:iCs/>
          <w:i/>
        </w:rPr>
        <w:t xml:space="preserve">Journal of Banking &amp; Finance</w:t>
      </w:r>
      <w:r>
        <w:t xml:space="preserve">.</w:t>
      </w:r>
    </w:p>
  </w:footnote>
  <w:footnote w:id="109">
    <w:p>
      <w:pPr>
        <w:pStyle w:val="FootnoteText"/>
      </w:pPr>
      <w:r>
        <w:rPr>
          <w:rStyle w:val="FootnoteReference"/>
        </w:rPr>
        <w:footnoteRef/>
      </w:r>
      <w:r>
        <w:t xml:space="preserve"> </w:t>
      </w:r>
      <w:r>
        <w:t xml:space="preserve">Fuertes, A-M., Miffre, J. &amp; Fernandez-Perez, A. (2015).</w:t>
      </w:r>
      <w:r>
        <w:t xml:space="preserve"> </w:t>
      </w:r>
      <w:r>
        <w:t xml:space="preserve">“</w:t>
      </w:r>
      <w:r>
        <w:t xml:space="preserve">Commodity Strategies Based on Momentum, Term Structure and Idiosyncratic Volatility.</w:t>
      </w:r>
      <w:r>
        <w:t xml:space="preserve">”</w:t>
      </w:r>
      <w:r>
        <w:t xml:space="preserve"> </w:t>
      </w:r>
      <w:r>
        <w:rPr>
          <w:iCs/>
          <w:i/>
        </w:rPr>
        <w:t xml:space="preserve">Journal of Banking &amp; Finance</w:t>
      </w:r>
      <w:r>
        <w:t xml:space="preserve">.</w:t>
      </w:r>
    </w:p>
  </w:footnote>
  <w:footnote w:id="111">
    <w:p>
      <w:pPr>
        <w:pStyle w:val="FootnoteText"/>
      </w:pPr>
      <w:r>
        <w:rPr>
          <w:rStyle w:val="FootnoteReference"/>
        </w:rPr>
        <w:footnoteRef/>
      </w:r>
      <w:r>
        <w:t xml:space="preserve"> </w:t>
      </w:r>
      <w:r>
        <w:t xml:space="preserve">Ghoddusi, H. (2016).</w:t>
      </w:r>
      <w:r>
        <w:t xml:space="preserve"> </w:t>
      </w:r>
      <w:r>
        <w:t xml:space="preserve">“</w:t>
      </w:r>
      <w:r>
        <w:t xml:space="preserve">Maturity Structure of Commodity Roll Strategies.</w:t>
      </w:r>
      <w:r>
        <w:t xml:space="preserve">”</w:t>
      </w:r>
      <w:r>
        <w:t xml:space="preserve"> </w:t>
      </w:r>
      <w:r>
        <w:rPr>
          <w:iCs/>
          <w:i/>
        </w:rPr>
        <w:t xml:space="preserve">SSRN Working Paper</w:t>
      </w:r>
      <w:r>
        <w:t xml:space="preserve">; Gorton, Hayashi &amp; Rouwenhorst (2013),</w:t>
      </w:r>
      <w:r>
        <w:t xml:space="preserve"> </w:t>
      </w:r>
      <w:r>
        <w:rPr>
          <w:iCs/>
          <w:i/>
        </w:rPr>
        <w:t xml:space="preserve">Journal of Financial Economics</w:t>
      </w:r>
      <w:r>
        <w:t xml:space="preserve">; Szymanowska et al. (2014).</w:t>
      </w:r>
    </w:p>
  </w:footnote>
  <w:footnote w:id="112">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113">
    <w:p>
      <w:pPr>
        <w:pStyle w:val="FootnoteText"/>
      </w:pPr>
      <w:r>
        <w:rPr>
          <w:rStyle w:val="FootnoteReference"/>
        </w:rPr>
        <w:footnoteRef/>
      </w:r>
      <w:r>
        <w:t xml:space="preserve"> </w:t>
      </w:r>
      <w:r>
        <w:t xml:space="preserve">Ghoddusi, H. (2016).</w:t>
      </w:r>
      <w:r>
        <w:t xml:space="preserve"> </w:t>
      </w:r>
      <w:r>
        <w:t xml:space="preserve">“</w:t>
      </w:r>
      <w:r>
        <w:t xml:space="preserve">Maturity Structure of Commodity Roll Strategies.</w:t>
      </w:r>
      <w:r>
        <w:t xml:space="preserve">”</w:t>
      </w:r>
      <w:r>
        <w:t xml:space="preserve"> </w:t>
      </w:r>
      <w:r>
        <w:rPr>
          <w:iCs/>
          <w:i/>
        </w:rPr>
        <w:t xml:space="preserve">SSRN Working Paper</w:t>
      </w:r>
      <w:r>
        <w:t xml:space="preserve">; Gorton, Hayashi &amp; Rouwenhorst (2013),</w:t>
      </w:r>
      <w:r>
        <w:t xml:space="preserve"> </w:t>
      </w:r>
      <w:r>
        <w:rPr>
          <w:iCs/>
          <w:i/>
        </w:rPr>
        <w:t xml:space="preserve">Journal of Financial Economics</w:t>
      </w:r>
      <w:r>
        <w:t xml:space="preserve">; Szymanowska et al. (2014).</w:t>
      </w:r>
    </w:p>
  </w:footnote>
  <w:footnote w:id="114">
    <w:p>
      <w:pPr>
        <w:pStyle w:val="FootnoteText"/>
      </w:pPr>
      <w:r>
        <w:rPr>
          <w:rStyle w:val="FootnoteReference"/>
        </w:rPr>
        <w:footnoteRef/>
      </w:r>
      <w:r>
        <w:t xml:space="preserve"> </w:t>
      </w:r>
      <w:r>
        <w:t xml:space="preserve">Author calculation from expected strategy correlation matrix, source: Appendix B, New Strategies Research (2025).</w:t>
      </w:r>
    </w:p>
  </w:footnote>
  <w:footnote w:id="115">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116">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119">
    <w:p>
      <w:pPr>
        <w:pStyle w:val="FootnoteText"/>
      </w:pPr>
      <w:r>
        <w:rPr>
          <w:rStyle w:val="FootnoteReference"/>
        </w:rPr>
        <w:footnoteRef/>
      </w:r>
      <w:r>
        <w:t xml:space="preserve"> </w:t>
      </w:r>
      <w:r>
        <w:t xml:space="preserve">Liu, W., Zhang, L. &amp; Zhao, S. (2012).</w:t>
      </w:r>
      <w:r>
        <w:t xml:space="preserve"> </w:t>
      </w:r>
      <w:r>
        <w:t xml:space="preserve">“</w:t>
      </w:r>
      <w:r>
        <w:t xml:space="preserve">Explaining Penny Stock Returns.</w:t>
      </w:r>
      <w:r>
        <w:t xml:space="preserve">”</w:t>
      </w:r>
      <w:r>
        <w:t xml:space="preserve"> </w:t>
      </w:r>
      <w:r>
        <w:t xml:space="preserve">Working Paper.</w:t>
      </w:r>
    </w:p>
  </w:footnote>
  <w:footnote w:id="120">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122">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123">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124">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125">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127">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128">
    <w:p>
      <w:pPr>
        <w:pStyle w:val="FootnoteText"/>
      </w:pPr>
      <w:r>
        <w:rPr>
          <w:rStyle w:val="FootnoteReference"/>
        </w:rPr>
        <w:footnoteRef/>
      </w:r>
      <w:r>
        <w:t xml:space="preserve"> </w:t>
      </w:r>
      <w:r>
        <w:t xml:space="preserve">Liu, W., Zhang, L. &amp; Zhao, S. (2012).</w:t>
      </w:r>
      <w:r>
        <w:t xml:space="preserve"> </w:t>
      </w:r>
      <w:r>
        <w:t xml:space="preserve">“</w:t>
      </w:r>
      <w:r>
        <w:t xml:space="preserve">Explaining Penny Stock Returns.</w:t>
      </w:r>
      <w:r>
        <w:t xml:space="preserve">”</w:t>
      </w:r>
      <w:r>
        <w:t xml:space="preserve"> </w:t>
      </w:r>
      <w:r>
        <w:t xml:space="preserve">Working Paper.</w:t>
      </w:r>
    </w:p>
  </w:footnote>
  <w:footnote w:id="129">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130">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133">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134">
    <w:p>
      <w:pPr>
        <w:pStyle w:val="FootnoteText"/>
      </w:pPr>
      <w:r>
        <w:rPr>
          <w:rStyle w:val="FootnoteReference"/>
        </w:rPr>
        <w:footnoteRef/>
      </w:r>
      <w:r>
        <w:t xml:space="preserve"> </w:t>
      </w:r>
      <w:r>
        <w:t xml:space="preserve">Fuertes, A-M., Miffre, J. &amp; Fernandez-Perez, A. (2015).</w:t>
      </w:r>
      <w:r>
        <w:t xml:space="preserve"> </w:t>
      </w:r>
      <w:r>
        <w:t xml:space="preserve">“</w:t>
      </w:r>
      <w:r>
        <w:t xml:space="preserve">Commodity Strategies Based on Momentum, Term Structure and Idiosyncratic Volatility.</w:t>
      </w:r>
      <w:r>
        <w:t xml:space="preserve">”</w:t>
      </w:r>
      <w:r>
        <w:t xml:space="preserve"> </w:t>
      </w:r>
      <w:r>
        <w:rPr>
          <w:iCs/>
          <w:i/>
        </w:rPr>
        <w:t xml:space="preserve">Journal of Banking &amp; Finance</w:t>
      </w:r>
      <w:r>
        <w:t xml:space="preserve">.</w:t>
      </w:r>
    </w:p>
  </w:footnote>
  <w:footnote w:id="135">
    <w:p>
      <w:pPr>
        <w:pStyle w:val="FootnoteText"/>
      </w:pPr>
      <w:r>
        <w:rPr>
          <w:rStyle w:val="FootnoteReference"/>
        </w:rPr>
        <w:footnoteRef/>
      </w:r>
      <w:r>
        <w:t xml:space="preserve"> </w:t>
      </w:r>
      <w:r>
        <w:t xml:space="preserve">Fuertes, A-M., Miffre, J. &amp; Fernandez-Perez, A. (2015).</w:t>
      </w:r>
      <w:r>
        <w:t xml:space="preserve"> </w:t>
      </w:r>
      <w:r>
        <w:t xml:space="preserve">“</w:t>
      </w:r>
      <w:r>
        <w:t xml:space="preserve">Commodity Strategies Based on Momentum, Term Structure and Idiosyncratic Volatility.</w:t>
      </w:r>
      <w:r>
        <w:t xml:space="preserve">”</w:t>
      </w:r>
      <w:r>
        <w:t xml:space="preserve"> </w:t>
      </w:r>
      <w:r>
        <w:rPr>
          <w:iCs/>
          <w:i/>
        </w:rPr>
        <w:t xml:space="preserve">Journal of Banking &amp; Finance</w:t>
      </w:r>
      <w:r>
        <w:t xml:space="preserve">.</w:t>
      </w:r>
    </w:p>
  </w:footnote>
  <w:footnote w:id="137">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138">
    <w:p>
      <w:pPr>
        <w:pStyle w:val="FootnoteText"/>
      </w:pPr>
      <w:r>
        <w:rPr>
          <w:rStyle w:val="FootnoteReference"/>
        </w:rPr>
        <w:footnoteRef/>
      </w:r>
      <w:r>
        <w:t xml:space="preserve"> </w:t>
      </w:r>
      <w:r>
        <w:t xml:space="preserve">Li, Y., Shim, J. &amp; Song, J. (2025).</w:t>
      </w:r>
      <w:r>
        <w:t xml:space="preserve"> </w:t>
      </w:r>
      <w:r>
        <w:t xml:space="preserve">“</w:t>
      </w:r>
      <w:r>
        <w:t xml:space="preserve">Exploring Risk and Return Profiles of Funding Rate Arbitrage on CEX and DEX.</w:t>
      </w:r>
      <w:r>
        <w:t xml:space="preserve">”</w:t>
      </w:r>
      <w:r>
        <w:t xml:space="preserve"> </w:t>
      </w:r>
      <w:r>
        <w:rPr>
          <w:iCs/>
          <w:i/>
        </w:rPr>
        <w:t xml:space="preserve">Journal of Zhejiang University</w:t>
      </w:r>
      <w:r>
        <w:t xml:space="preserve">.</w:t>
      </w:r>
    </w:p>
  </w:footnote>
  <w:footnote w:id="139">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140">
    <w:p>
      <w:pPr>
        <w:pStyle w:val="FootnoteText"/>
      </w:pPr>
      <w:r>
        <w:rPr>
          <w:rStyle w:val="FootnoteReference"/>
        </w:rPr>
        <w:footnoteRef/>
      </w:r>
      <w:r>
        <w:t xml:space="preserve"> </w:t>
      </w:r>
      <w:r>
        <w:t xml:space="preserve">Fuertes, A-M., Miffre, J. &amp; Fernandez-Perez, A. (2015).</w:t>
      </w:r>
      <w:r>
        <w:t xml:space="preserve"> </w:t>
      </w:r>
      <w:r>
        <w:t xml:space="preserve">“</w:t>
      </w:r>
      <w:r>
        <w:t xml:space="preserve">Commodity Strategies Based on Momentum, Term Structure and Idiosyncratic Volatility.</w:t>
      </w:r>
      <w:r>
        <w:t xml:space="preserve">”</w:t>
      </w:r>
      <w:r>
        <w:t xml:space="preserve"> </w:t>
      </w:r>
      <w:r>
        <w:rPr>
          <w:iCs/>
          <w:i/>
        </w:rPr>
        <w:t xml:space="preserve">Journal of Banking &amp; Finance</w:t>
      </w:r>
      <w:r>
        <w:t xml:space="preserve">.</w:t>
      </w:r>
    </w:p>
  </w:footnote>
  <w:footnote w:id="141">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142">
    <w:p>
      <w:pPr>
        <w:pStyle w:val="FootnoteText"/>
      </w:pPr>
      <w:r>
        <w:rPr>
          <w:rStyle w:val="FootnoteReference"/>
        </w:rPr>
        <w:footnoteRef/>
      </w:r>
      <w:r>
        <w:t xml:space="preserve"> </w:t>
      </w:r>
      <w:r>
        <w:t xml:space="preserve">Fuertes, A-M., Miffre, J. &amp; Fernandez-Perez, A. (2015).</w:t>
      </w:r>
      <w:r>
        <w:t xml:space="preserve"> </w:t>
      </w:r>
      <w:r>
        <w:t xml:space="preserve">“</w:t>
      </w:r>
      <w:r>
        <w:t xml:space="preserve">Commodity Strategies Based on Momentum, Term Structure and Idiosyncratic Volatility.</w:t>
      </w:r>
      <w:r>
        <w:t xml:space="preserve">”</w:t>
      </w:r>
      <w:r>
        <w:t xml:space="preserve"> </w:t>
      </w:r>
      <w:r>
        <w:rPr>
          <w:iCs/>
          <w:i/>
        </w:rPr>
        <w:t xml:space="preserve">Journal of Banking &amp; Finance</w:t>
      </w:r>
      <w:r>
        <w:t xml:space="preserve">.</w:t>
      </w:r>
    </w:p>
  </w:footnote>
  <w:footnote w:id="145">
    <w:p>
      <w:pPr>
        <w:pStyle w:val="FootnoteText"/>
      </w:pPr>
      <w:r>
        <w:rPr>
          <w:rStyle w:val="FootnoteReference"/>
        </w:rPr>
        <w:footnoteRef/>
      </w:r>
      <w:r>
        <w:t xml:space="preserve"> </w:t>
      </w:r>
      <w:r>
        <w:t xml:space="preserve">Burnside, C., Eichenbaum, M. &amp; Rebelo, S. (2011).</w:t>
      </w:r>
      <w:r>
        <w:t xml:space="preserve"> </w:t>
      </w:r>
      <w:r>
        <w:t xml:space="preserve">“</w:t>
      </w:r>
      <w:r>
        <w:t xml:space="preserve">Carry Trade and Momentum in Currency Markets.</w:t>
      </w:r>
      <w:r>
        <w:t xml:space="preserve">”</w:t>
      </w:r>
      <w:r>
        <w:t xml:space="preserve"> </w:t>
      </w:r>
      <w:r>
        <w:rPr>
          <w:iCs/>
          <w:i/>
        </w:rPr>
        <w:t xml:space="preserve">NBER Reporter</w:t>
      </w:r>
      <w:r>
        <w:t xml:space="preserve">.</w:t>
      </w:r>
    </w:p>
  </w:footnote>
  <w:footnote w:id="146">
    <w:p>
      <w:pPr>
        <w:pStyle w:val="FootnoteText"/>
      </w:pPr>
      <w:r>
        <w:rPr>
          <w:rStyle w:val="FootnoteReference"/>
        </w:rPr>
        <w:footnoteRef/>
      </w:r>
      <w:r>
        <w:t xml:space="preserve"> </w:t>
      </w:r>
      <w:r>
        <w:t xml:space="preserve">Burnside, C., Eichenbaum, M. &amp; Rebelo, S. (2011).</w:t>
      </w:r>
      <w:r>
        <w:t xml:space="preserve"> </w:t>
      </w:r>
      <w:r>
        <w:t xml:space="preserve">“</w:t>
      </w:r>
      <w:r>
        <w:t xml:space="preserve">Carry Trade and Momentum in Currency Markets.</w:t>
      </w:r>
      <w:r>
        <w:t xml:space="preserve">”</w:t>
      </w:r>
      <w:r>
        <w:t xml:space="preserve"> </w:t>
      </w:r>
      <w:r>
        <w:rPr>
          <w:iCs/>
          <w:i/>
        </w:rPr>
        <w:t xml:space="preserve">NBER Reporter</w:t>
      </w:r>
      <w:r>
        <w:t xml:space="preserve">.</w:t>
      </w:r>
    </w:p>
  </w:footnote>
  <w:footnote w:id="147">
    <w:p>
      <w:pPr>
        <w:pStyle w:val="FootnoteText"/>
      </w:pPr>
      <w:r>
        <w:rPr>
          <w:rStyle w:val="FootnoteReference"/>
        </w:rPr>
        <w:footnoteRef/>
      </w:r>
      <w:r>
        <w:t xml:space="preserve"> </w:t>
      </w:r>
      <w:r>
        <w:t xml:space="preserve">Burnside, C., Eichenbaum, M. &amp; Rebelo, S. (2011).</w:t>
      </w:r>
      <w:r>
        <w:t xml:space="preserve"> </w:t>
      </w:r>
      <w:r>
        <w:t xml:space="preserve">“</w:t>
      </w:r>
      <w:r>
        <w:t xml:space="preserve">Carry Trade and Momentum in Currency Markets.</w:t>
      </w:r>
      <w:r>
        <w:t xml:space="preserve">”</w:t>
      </w:r>
      <w:r>
        <w:t xml:space="preserve"> </w:t>
      </w:r>
      <w:r>
        <w:rPr>
          <w:iCs/>
          <w:i/>
        </w:rPr>
        <w:t xml:space="preserve">NBER Reporter</w:t>
      </w:r>
      <w:r>
        <w:t xml:space="preserve">.</w:t>
      </w:r>
    </w:p>
  </w:footnote>
  <w:footnote w:id="148">
    <w:p>
      <w:pPr>
        <w:pStyle w:val="FootnoteText"/>
      </w:pPr>
      <w:r>
        <w:rPr>
          <w:rStyle w:val="FootnoteReference"/>
        </w:rPr>
        <w:footnoteRef/>
      </w:r>
      <w:r>
        <w:t xml:space="preserve"> </w:t>
      </w:r>
      <w:r>
        <w:t xml:space="preserve">Burnside, C., Eichenbaum, M. &amp; Rebelo, S. (2011).</w:t>
      </w:r>
      <w:r>
        <w:t xml:space="preserve"> </w:t>
      </w:r>
      <w:r>
        <w:t xml:space="preserve">“</w:t>
      </w:r>
      <w:r>
        <w:t xml:space="preserve">Carry Trade and Momentum in Currency Markets.</w:t>
      </w:r>
      <w:r>
        <w:t xml:space="preserve">”</w:t>
      </w:r>
      <w:r>
        <w:t xml:space="preserve"> </w:t>
      </w:r>
      <w:r>
        <w:rPr>
          <w:iCs/>
          <w:i/>
        </w:rPr>
        <w:t xml:space="preserve">NBER Reporter</w:t>
      </w:r>
      <w:r>
        <w:t xml:space="preserve">.</w:t>
      </w:r>
    </w:p>
  </w:footnote>
  <w:footnote w:id="149">
    <w:p>
      <w:pPr>
        <w:pStyle w:val="FootnoteText"/>
      </w:pPr>
      <w:r>
        <w:rPr>
          <w:rStyle w:val="FootnoteReference"/>
        </w:rPr>
        <w:footnoteRef/>
      </w:r>
      <w:r>
        <w:t xml:space="preserve"> </w:t>
      </w:r>
      <w:r>
        <w:t xml:space="preserve">CUNY Academic Paper (2021).</w:t>
      </w:r>
      <w:r>
        <w:t xml:space="preserve"> </w:t>
      </w:r>
      <w:r>
        <w:t xml:space="preserve">“</w:t>
      </w:r>
      <w:r>
        <w:t xml:space="preserve">Exploiting Closed-End Fund Discounts: Bias-Adjusted Mean Reversion Strategies.</w:t>
      </w:r>
      <w:r>
        <w:t xml:space="preserve">”</w:t>
      </w:r>
    </w:p>
  </w:footnote>
  <w:footnote w:id="150">
    <w:p>
      <w:pPr>
        <w:pStyle w:val="FootnoteText"/>
      </w:pPr>
      <w:r>
        <w:rPr>
          <w:rStyle w:val="FootnoteReference"/>
        </w:rPr>
        <w:footnoteRef/>
      </w:r>
      <w:r>
        <w:t xml:space="preserve"> </w:t>
      </w:r>
      <w:r>
        <w:t xml:space="preserve">Burnside, C., Eichenbaum, M. &amp; Rebelo, S. (2011).</w:t>
      </w:r>
      <w:r>
        <w:t xml:space="preserve"> </w:t>
      </w:r>
      <w:r>
        <w:t xml:space="preserve">“</w:t>
      </w:r>
      <w:r>
        <w:t xml:space="preserve">Carry Trade and Momentum in Currency Markets.</w:t>
      </w:r>
      <w:r>
        <w:t xml:space="preserve">”</w:t>
      </w:r>
      <w:r>
        <w:t xml:space="preserve"> </w:t>
      </w:r>
      <w:r>
        <w:rPr>
          <w:iCs/>
          <w:i/>
        </w:rPr>
        <w:t xml:space="preserve">NBER Reporter</w:t>
      </w:r>
      <w:r>
        <w:t xml:space="preserve">.</w:t>
      </w:r>
    </w:p>
  </w:footnote>
  <w:footnote w:id="151">
    <w:p>
      <w:pPr>
        <w:pStyle w:val="FootnoteText"/>
      </w:pPr>
      <w:r>
        <w:rPr>
          <w:rStyle w:val="FootnoteReference"/>
        </w:rPr>
        <w:footnoteRef/>
      </w:r>
      <w:r>
        <w:t xml:space="preserve"> </w:t>
      </w:r>
      <w:r>
        <w:t xml:space="preserve">Da, Z., Liu, Q. &amp; Schaumburg, E. (2014).</w:t>
      </w:r>
      <w:r>
        <w:t xml:space="preserve"> </w:t>
      </w:r>
      <w:r>
        <w:t xml:space="preserve">“</w:t>
      </w:r>
      <w:r>
        <w:t xml:space="preserve">A Closer Look at the Short-term Return Reversal.</w:t>
      </w:r>
      <w:r>
        <w:t xml:space="preserve">”</w:t>
      </w:r>
      <w:r>
        <w:t xml:space="preserve"> </w:t>
      </w:r>
      <w:r>
        <w:rPr>
          <w:iCs/>
          <w:i/>
        </w:rPr>
        <w:t xml:space="preserve">Management Science</w:t>
      </w:r>
      <w:r>
        <w:t xml:space="preserve">.</w:t>
      </w:r>
    </w:p>
  </w:footnote>
  <w:footnote w:id="155">
    <w:p>
      <w:pPr>
        <w:pStyle w:val="FootnoteText"/>
      </w:pPr>
      <w:r>
        <w:rPr>
          <w:rStyle w:val="FootnoteReference"/>
        </w:rPr>
        <w:footnoteRef/>
      </w:r>
      <w:r>
        <w:t xml:space="preserve"> </w:t>
      </w:r>
      <w:r>
        <w:t xml:space="preserve">Burnside, C., Eichenbaum, M. &amp; Rebelo, S. (2011).</w:t>
      </w:r>
      <w:r>
        <w:t xml:space="preserve"> </w:t>
      </w:r>
      <w:r>
        <w:t xml:space="preserve">“</w:t>
      </w:r>
      <w:r>
        <w:t xml:space="preserve">Carry Trade and Momentum in Currency Markets.</w:t>
      </w:r>
      <w:r>
        <w:t xml:space="preserve">”</w:t>
      </w:r>
      <w:r>
        <w:t xml:space="preserve"> </w:t>
      </w:r>
      <w:r>
        <w:rPr>
          <w:iCs/>
          <w:i/>
        </w:rPr>
        <w:t xml:space="preserve">NBER Reporter</w:t>
      </w:r>
      <w:r>
        <w:t xml:space="preserve">.</w:t>
      </w:r>
    </w:p>
  </w:footnote>
  <w:footnote w:id="156">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158">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159">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160">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161">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162">
    <w:p>
      <w:pPr>
        <w:pStyle w:val="FootnoteText"/>
      </w:pPr>
      <w:r>
        <w:rPr>
          <w:rStyle w:val="FootnoteReference"/>
        </w:rPr>
        <w:footnoteRef/>
      </w:r>
      <w:r>
        <w:t xml:space="preserve"> </w:t>
      </w:r>
      <w:r>
        <w:t xml:space="preserve">Li, Y., Shim, J. &amp; Song, J. (2025).</w:t>
      </w:r>
      <w:r>
        <w:t xml:space="preserve"> </w:t>
      </w:r>
      <w:r>
        <w:t xml:space="preserve">“</w:t>
      </w:r>
      <w:r>
        <w:t xml:space="preserve">Exploring Risk and Return Profiles of Funding Rate Arbitrage on CEX and DEX.</w:t>
      </w:r>
      <w:r>
        <w:t xml:space="preserve">”</w:t>
      </w:r>
      <w:r>
        <w:t xml:space="preserve"> </w:t>
      </w:r>
      <w:r>
        <w:rPr>
          <w:iCs/>
          <w:i/>
        </w:rPr>
        <w:t xml:space="preserve">Journal of Zhejiang University</w:t>
      </w:r>
      <w:r>
        <w:t xml:space="preserve">.</w:t>
      </w:r>
    </w:p>
  </w:footnote>
  <w:footnote w:id="163">
    <w:p>
      <w:pPr>
        <w:pStyle w:val="FootnoteText"/>
      </w:pPr>
      <w:r>
        <w:rPr>
          <w:rStyle w:val="FootnoteReference"/>
        </w:rPr>
        <w:footnoteRef/>
      </w:r>
      <w:r>
        <w:t xml:space="preserve"> </w:t>
      </w:r>
      <w:r>
        <w:t xml:space="preserve">Burnside, C., Eichenbaum, M. &amp; Rebelo, S. (2011).</w:t>
      </w:r>
      <w:r>
        <w:t xml:space="preserve"> </w:t>
      </w:r>
      <w:r>
        <w:t xml:space="preserve">“</w:t>
      </w:r>
      <w:r>
        <w:t xml:space="preserve">Carry Trade and Momentum in Currency Markets.</w:t>
      </w:r>
      <w:r>
        <w:t xml:space="preserve">”</w:t>
      </w:r>
      <w:r>
        <w:t xml:space="preserve"> </w:t>
      </w:r>
      <w:r>
        <w:rPr>
          <w:iCs/>
          <w:i/>
        </w:rPr>
        <w:t xml:space="preserve">NBER Reporter</w:t>
      </w:r>
      <w:r>
        <w:t xml:space="preserve">.</w:t>
      </w:r>
    </w:p>
  </w:footnote>
  <w:footnote w:id="167">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168">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179">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180">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184">
    <w:p>
      <w:pPr>
        <w:pStyle w:val="FootnoteText"/>
      </w:pPr>
      <w:r>
        <w:rPr>
          <w:rStyle w:val="FootnoteReference"/>
        </w:rPr>
        <w:footnoteRef/>
      </w:r>
      <w:r>
        <w:t xml:space="preserve"> </w:t>
      </w:r>
      <w:r>
        <w:t xml:space="preserve">Li, Y., Shim, J. &amp; Song, J. (2025).</w:t>
      </w:r>
      <w:r>
        <w:t xml:space="preserve"> </w:t>
      </w:r>
      <w:r>
        <w:t xml:space="preserve">“</w:t>
      </w:r>
      <w:r>
        <w:t xml:space="preserve">Exploring Risk and Return Profiles of Funding Rate Arbitrage on CEX and DEX.</w:t>
      </w:r>
      <w:r>
        <w:t xml:space="preserve">”</w:t>
      </w:r>
      <w:r>
        <w:t xml:space="preserve"> </w:t>
      </w:r>
      <w:r>
        <w:rPr>
          <w:iCs/>
          <w:i/>
        </w:rPr>
        <w:t xml:space="preserve">Journal of Zhejiang University</w:t>
      </w:r>
      <w:r>
        <w:t xml:space="preserve">.</w:t>
      </w:r>
    </w:p>
  </w:footnote>
  <w:footnote w:id="188">
    <w:p>
      <w:pPr>
        <w:pStyle w:val="FootnoteText"/>
      </w:pPr>
      <w:r>
        <w:rPr>
          <w:rStyle w:val="FootnoteReference"/>
        </w:rPr>
        <w:footnoteRef/>
      </w:r>
      <w:r>
        <w:t xml:space="preserve"> </w:t>
      </w:r>
      <w:r>
        <w:t xml:space="preserve">Li, Y., Shim, J. &amp; Song, J. (2025).</w:t>
      </w:r>
      <w:r>
        <w:t xml:space="preserve"> </w:t>
      </w:r>
      <w:r>
        <w:t xml:space="preserve">“</w:t>
      </w:r>
      <w:r>
        <w:t xml:space="preserve">Exploring Risk and Return Profiles of Funding Rate Arbitrage on CEX and DEX.</w:t>
      </w:r>
      <w:r>
        <w:t xml:space="preserve">”</w:t>
      </w:r>
      <w:r>
        <w:t xml:space="preserve"> </w:t>
      </w:r>
      <w:r>
        <w:rPr>
          <w:iCs/>
          <w:i/>
        </w:rPr>
        <w:t xml:space="preserve">Journal of Zhejiang University</w:t>
      </w:r>
      <w:r>
        <w:t xml:space="preserve">.</w:t>
      </w:r>
    </w:p>
  </w:footnote>
  <w:footnote w:id="190">
    <w:p>
      <w:pPr>
        <w:pStyle w:val="FootnoteText"/>
      </w:pPr>
      <w:r>
        <w:rPr>
          <w:rStyle w:val="FootnoteReference"/>
        </w:rPr>
        <w:footnoteRef/>
      </w:r>
      <w:r>
        <w:t xml:space="preserve"> </w:t>
      </w:r>
      <w:r>
        <w:t xml:space="preserve">Burnside, C., Eichenbaum, M. &amp; Rebelo, S. (2011).</w:t>
      </w:r>
      <w:r>
        <w:t xml:space="preserve"> </w:t>
      </w:r>
      <w:r>
        <w:t xml:space="preserve">“</w:t>
      </w:r>
      <w:r>
        <w:t xml:space="preserve">Carry Trade and Momentum in Currency Markets.</w:t>
      </w:r>
      <w:r>
        <w:t xml:space="preserve">”</w:t>
      </w:r>
      <w:r>
        <w:t xml:space="preserve"> </w:t>
      </w:r>
      <w:r>
        <w:rPr>
          <w:iCs/>
          <w:i/>
        </w:rPr>
        <w:t xml:space="preserve">NBER Reporter</w:t>
      </w:r>
      <w:r>
        <w:t xml:space="preserve">.</w:t>
      </w:r>
    </w:p>
  </w:footnote>
  <w:footnote w:id="192">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195">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196">
    <w:p>
      <w:pPr>
        <w:pStyle w:val="FootnoteText"/>
      </w:pPr>
      <w:r>
        <w:rPr>
          <w:rStyle w:val="FootnoteReference"/>
        </w:rPr>
        <w:footnoteRef/>
      </w:r>
      <w:r>
        <w:t xml:space="preserve"> </w:t>
      </w:r>
      <w:r>
        <w:t xml:space="preserve">CUNY Academic Paper (2021).</w:t>
      </w:r>
      <w:r>
        <w:t xml:space="preserve"> </w:t>
      </w:r>
      <w:r>
        <w:t xml:space="preserve">“</w:t>
      </w:r>
      <w:r>
        <w:t xml:space="preserve">Exploiting Closed-End Fund Discounts: Bias-Adjusted Mean Reversion Strategies.</w:t>
      </w:r>
      <w:r>
        <w:t xml:space="preserve">”</w:t>
      </w:r>
    </w:p>
  </w:footnote>
  <w:footnote w:id="197">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200">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201">
    <w:p>
      <w:pPr>
        <w:pStyle w:val="FootnoteText"/>
      </w:pPr>
      <w:r>
        <w:rPr>
          <w:rStyle w:val="FootnoteReference"/>
        </w:rPr>
        <w:footnoteRef/>
      </w:r>
      <w:r>
        <w:t xml:space="preserve"> </w:t>
      </w:r>
      <w:r>
        <w:t xml:space="preserve">Li, Y., Shim, J. &amp; Song, J. (2025).</w:t>
      </w:r>
      <w:r>
        <w:t xml:space="preserve"> </w:t>
      </w:r>
      <w:r>
        <w:t xml:space="preserve">“</w:t>
      </w:r>
      <w:r>
        <w:t xml:space="preserve">Exploring Risk and Return Profiles of Funding Rate Arbitrage on CEX and DEX.</w:t>
      </w:r>
      <w:r>
        <w:t xml:space="preserve">”</w:t>
      </w:r>
      <w:r>
        <w:t xml:space="preserve"> </w:t>
      </w:r>
      <w:r>
        <w:rPr>
          <w:iCs/>
          <w:i/>
        </w:rPr>
        <w:t xml:space="preserve">Journal of Zhejiang University</w:t>
      </w:r>
      <w:r>
        <w:t xml:space="preserve">.</w:t>
      </w:r>
    </w:p>
  </w:footnote>
  <w:footnote w:id="202">
    <w:p>
      <w:pPr>
        <w:pStyle w:val="FootnoteText"/>
      </w:pPr>
      <w:r>
        <w:rPr>
          <w:rStyle w:val="FootnoteReference"/>
        </w:rPr>
        <w:footnoteRef/>
      </w:r>
      <w:r>
        <w:t xml:space="preserve"> </w:t>
      </w:r>
      <w:r>
        <w:t xml:space="preserve">Burnside, C., Eichenbaum, M. &amp; Rebelo, S. (2011).</w:t>
      </w:r>
      <w:r>
        <w:t xml:space="preserve"> </w:t>
      </w:r>
      <w:r>
        <w:t xml:space="preserve">“</w:t>
      </w:r>
      <w:r>
        <w:t xml:space="preserve">Carry Trade and Momentum in Currency Markets.</w:t>
      </w:r>
      <w:r>
        <w:t xml:space="preserve">”</w:t>
      </w:r>
      <w:r>
        <w:t xml:space="preserve"> </w:t>
      </w:r>
      <w:r>
        <w:rPr>
          <w:iCs/>
          <w:i/>
        </w:rPr>
        <w:t xml:space="preserve">NBER Reporter</w:t>
      </w:r>
      <w:r>
        <w:t xml:space="preserve">.</w:t>
      </w:r>
    </w:p>
  </w:footnote>
  <w:footnote w:id="203">
    <w:p>
      <w:pPr>
        <w:pStyle w:val="FootnoteText"/>
      </w:pPr>
      <w:r>
        <w:rPr>
          <w:rStyle w:val="FootnoteReference"/>
        </w:rPr>
        <w:footnoteRef/>
      </w:r>
      <w:r>
        <w:t xml:space="preserve"> </w:t>
      </w:r>
      <w:r>
        <w:t xml:space="preserve">CUNY Academic Paper (2021).</w:t>
      </w:r>
      <w:r>
        <w:t xml:space="preserve"> </w:t>
      </w:r>
      <w:r>
        <w:t xml:space="preserve">“</w:t>
      </w:r>
      <w:r>
        <w:t xml:space="preserve">Exploiting Closed-End Fund Discounts: Bias-Adjusted Mean Reversion Strategies.</w:t>
      </w:r>
      <w:r>
        <w:t xml:space="preserve">”</w:t>
      </w:r>
    </w:p>
  </w:footnote>
  <w:footnote w:id="204">
    <w:p>
      <w:pPr>
        <w:pStyle w:val="FootnoteText"/>
      </w:pPr>
      <w:r>
        <w:rPr>
          <w:rStyle w:val="FootnoteReference"/>
        </w:rPr>
        <w:footnoteRef/>
      </w:r>
      <w:r>
        <w:t xml:space="preserve"> </w:t>
      </w:r>
      <w:r>
        <w:t xml:space="preserve">CoinGecko (2025).</w:t>
      </w:r>
      <w:r>
        <w:t xml:space="preserve"> </w:t>
      </w:r>
      <w:r>
        <w:t xml:space="preserve">“</w:t>
      </w:r>
      <w:r>
        <w:t xml:space="preserve">2025 State of Memecoins Report.</w:t>
      </w:r>
      <w:r>
        <w:t xml:space="preserve">”</w:t>
      </w:r>
    </w:p>
  </w:footnote>
  <w:footnote w:id="205">
    <w:p>
      <w:pPr>
        <w:pStyle w:val="FootnoteText"/>
      </w:pPr>
      <w:r>
        <w:rPr>
          <w:rStyle w:val="FootnoteReference"/>
        </w:rPr>
        <w:footnoteRef/>
      </w:r>
      <w:r>
        <w:t xml:space="preserve"> </w:t>
      </w:r>
      <w:r>
        <w:t xml:space="preserve">“</w:t>
      </w:r>
      <w:r>
        <w:t xml:space="preserve">Understanding Meme Coin Trends Through Sentiment Analysis.</w:t>
      </w:r>
      <w:r>
        <w:t xml:space="preserve">”</w:t>
      </w:r>
      <w:r>
        <w:t xml:space="preserve"> </w:t>
      </w:r>
      <w:r>
        <w:t xml:space="preserve">(2025).</w:t>
      </w:r>
      <w:r>
        <w:t xml:space="preserve"> </w:t>
      </w:r>
      <w:r>
        <w:rPr>
          <w:iCs/>
          <w:i/>
        </w:rPr>
        <w:t xml:space="preserve">IJRASET</w:t>
      </w:r>
      <w:r>
        <w:t xml:space="preserve">.</w:t>
      </w:r>
    </w:p>
  </w:footnote>
  <w:footnote w:id="206">
    <w:p>
      <w:pPr>
        <w:pStyle w:val="FootnoteText"/>
      </w:pPr>
      <w:r>
        <w:rPr>
          <w:rStyle w:val="FootnoteReference"/>
        </w:rPr>
        <w:footnoteRef/>
      </w:r>
      <w:r>
        <w:t xml:space="preserve"> </w:t>
      </w:r>
      <w:r>
        <w:t xml:space="preserve">Da, Z., Liu, Q. &amp; Schaumburg, E. (2014).</w:t>
      </w:r>
      <w:r>
        <w:t xml:space="preserve"> </w:t>
      </w:r>
      <w:r>
        <w:t xml:space="preserve">“</w:t>
      </w:r>
      <w:r>
        <w:t xml:space="preserve">A Closer Look at the Short-term Return Reversal.</w:t>
      </w:r>
      <w:r>
        <w:t xml:space="preserve">”</w:t>
      </w:r>
      <w:r>
        <w:t xml:space="preserve"> </w:t>
      </w:r>
      <w:r>
        <w:rPr>
          <w:iCs/>
          <w:i/>
        </w:rPr>
        <w:t xml:space="preserve">Management Science</w:t>
      </w:r>
      <w:r>
        <w:t xml:space="preserve">.</w:t>
      </w:r>
    </w:p>
  </w:footnote>
  <w:footnote w:id="208">
    <w:p>
      <w:pPr>
        <w:pStyle w:val="FootnoteText"/>
      </w:pPr>
      <w:r>
        <w:rPr>
          <w:rStyle w:val="FootnoteReference"/>
        </w:rPr>
        <w:footnoteRef/>
      </w:r>
      <w:r>
        <w:t xml:space="preserve"> </w:t>
      </w:r>
      <w:r>
        <w:t xml:space="preserve">Liu, W., Zhang, L. &amp; Zhao, S. (2012).</w:t>
      </w:r>
      <w:r>
        <w:t xml:space="preserve"> </w:t>
      </w:r>
      <w:r>
        <w:t xml:space="preserve">“</w:t>
      </w:r>
      <w:r>
        <w:t xml:space="preserve">Explaining Penny Stock Returns.</w:t>
      </w:r>
      <w:r>
        <w:t xml:space="preserve">”</w:t>
      </w:r>
      <w:r>
        <w:t xml:space="preserve"> </w:t>
      </w:r>
      <w:r>
        <w:t xml:space="preserve">Working Paper.</w:t>
      </w:r>
    </w:p>
  </w:footnote>
  <w:footnote w:id="209">
    <w:p>
      <w:pPr>
        <w:pStyle w:val="FootnoteText"/>
      </w:pPr>
      <w:r>
        <w:rPr>
          <w:rStyle w:val="FootnoteReference"/>
        </w:rPr>
        <w:footnoteRef/>
      </w:r>
      <w:r>
        <w:t xml:space="preserve"> </w:t>
      </w:r>
      <w:r>
        <w:t xml:space="preserve">Fuertes, A-M., Miffre, J. &amp; Fernandez-Perez, A. (2015).</w:t>
      </w:r>
      <w:r>
        <w:t xml:space="preserve"> </w:t>
      </w:r>
      <w:r>
        <w:t xml:space="preserve">“</w:t>
      </w:r>
      <w:r>
        <w:t xml:space="preserve">Commodity Strategies Based on Momentum, Term Structure and Idiosyncratic Volatility.</w:t>
      </w:r>
      <w:r>
        <w:t xml:space="preserve">”</w:t>
      </w:r>
      <w:r>
        <w:t xml:space="preserve"> </w:t>
      </w:r>
      <w:r>
        <w:rPr>
          <w:iCs/>
          <w:i/>
        </w:rPr>
        <w:t xml:space="preserve">Journal of Banking &amp; Finance</w:t>
      </w:r>
      <w:r>
        <w:t xml:space="preserve">.</w:t>
      </w:r>
    </w:p>
  </w:footnote>
  <w:footnote w:id="210">
    <w:p>
      <w:pPr>
        <w:pStyle w:val="FootnoteText"/>
      </w:pPr>
      <w:r>
        <w:rPr>
          <w:rStyle w:val="FootnoteReference"/>
        </w:rPr>
        <w:footnoteRef/>
      </w:r>
      <w:r>
        <w:t xml:space="preserve"> </w:t>
      </w:r>
      <w:r>
        <w:t xml:space="preserve">Ghoddusi, H. (2016).</w:t>
      </w:r>
      <w:r>
        <w:t xml:space="preserve"> </w:t>
      </w:r>
      <w:r>
        <w:t xml:space="preserve">“</w:t>
      </w:r>
      <w:r>
        <w:t xml:space="preserve">Maturity Structure of Commodity Roll Strategies.</w:t>
      </w:r>
      <w:r>
        <w:t xml:space="preserve">”</w:t>
      </w:r>
      <w:r>
        <w:t xml:space="preserve"> </w:t>
      </w:r>
      <w:r>
        <w:rPr>
          <w:iCs/>
          <w:i/>
        </w:rPr>
        <w:t xml:space="preserve">SSRN Working Paper</w:t>
      </w:r>
      <w:r>
        <w:t xml:space="preserve">; Gorton, Hayashi &amp; Rouwenhorst (2013),</w:t>
      </w:r>
      <w:r>
        <w:t xml:space="preserve"> </w:t>
      </w:r>
      <w:r>
        <w:rPr>
          <w:iCs/>
          <w:i/>
        </w:rPr>
        <w:t xml:space="preserve">Journal of Financial Economics</w:t>
      </w:r>
      <w:r>
        <w:t xml:space="preserve">; Szymanowska et al. (2014).</w:t>
      </w:r>
    </w:p>
  </w:footnote>
  <w:footnote w:id="211">
    <w:p>
      <w:pPr>
        <w:pStyle w:val="FootnoteText"/>
      </w:pPr>
      <w:r>
        <w:rPr>
          <w:rStyle w:val="FootnoteReference"/>
        </w:rPr>
        <w:footnoteRef/>
      </w:r>
      <w:r>
        <w:t xml:space="preserve"> </w:t>
      </w:r>
      <w:r>
        <w:t xml:space="preserve">Author calculation from expected strategy correlation matrix, source: Appendix B, New Strategies Research (2025).</w:t>
      </w:r>
    </w:p>
  </w:footnote>
  <w:footnote w:id="218">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219">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220">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221">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222">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223">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224">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225">
    <w:p>
      <w:pPr>
        <w:pStyle w:val="FootnoteText"/>
      </w:pPr>
      <w:r>
        <w:rPr>
          <w:rStyle w:val="FootnoteReference"/>
        </w:rPr>
        <w:footnoteRef/>
      </w:r>
      <w:r>
        <w:t xml:space="preserve"> </w:t>
      </w:r>
      <w:r>
        <w:t xml:space="preserve">Li, Y., Shim, J. &amp; Song, J. (2025).</w:t>
      </w:r>
      <w:r>
        <w:t xml:space="preserve"> </w:t>
      </w:r>
      <w:r>
        <w:t xml:space="preserve">“</w:t>
      </w:r>
      <w:r>
        <w:t xml:space="preserve">Exploring Risk and Return Profiles of Funding Rate Arbitrage on CEX and DEX.</w:t>
      </w:r>
      <w:r>
        <w:t xml:space="preserve">”</w:t>
      </w:r>
      <w:r>
        <w:t xml:space="preserve"> </w:t>
      </w:r>
      <w:r>
        <w:rPr>
          <w:iCs/>
          <w:i/>
        </w:rPr>
        <w:t xml:space="preserve">Journal of Zhejiang University</w:t>
      </w:r>
      <w:r>
        <w:t xml:space="preserve">.</w:t>
      </w:r>
    </w:p>
  </w:footnote>
  <w:footnote w:id="229">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231">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232">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233">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234">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235">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236">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237">
    <w:p>
      <w:pPr>
        <w:pStyle w:val="FootnoteText"/>
      </w:pPr>
      <w:r>
        <w:rPr>
          <w:rStyle w:val="FootnoteReference"/>
        </w:rPr>
        <w:footnoteRef/>
      </w:r>
      <w:r>
        <w:t xml:space="preserve"> </w:t>
      </w:r>
      <w:r>
        <w:t xml:space="preserve">Li, Y., Shim, J. &amp; Song, J. (2025).</w:t>
      </w:r>
      <w:r>
        <w:t xml:space="preserve"> </w:t>
      </w:r>
      <w:r>
        <w:t xml:space="preserve">“</w:t>
      </w:r>
      <w:r>
        <w:t xml:space="preserve">Exploring Risk and Return Profiles of Funding Rate Arbitrage on CEX and DEX.</w:t>
      </w:r>
      <w:r>
        <w:t xml:space="preserve">”</w:t>
      </w:r>
      <w:r>
        <w:t xml:space="preserve"> </w:t>
      </w:r>
      <w:r>
        <w:rPr>
          <w:iCs/>
          <w:i/>
        </w:rPr>
        <w:t xml:space="preserve">Journal of Zhejiang University</w:t>
      </w:r>
      <w:r>
        <w:t xml:space="preserve">.</w:t>
      </w:r>
    </w:p>
  </w:footnote>
  <w:footnote w:id="239">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240">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241">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242">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243">
    <w:p>
      <w:pPr>
        <w:pStyle w:val="FootnoteText"/>
      </w:pPr>
      <w:r>
        <w:rPr>
          <w:rStyle w:val="FootnoteReference"/>
        </w:rPr>
        <w:footnoteRef/>
      </w:r>
      <w:r>
        <w:t xml:space="preserve"> </w:t>
      </w:r>
      <w:r>
        <w:t xml:space="preserve">Li, Y., Shim, J. &amp; Song, J. (2025).</w:t>
      </w:r>
      <w:r>
        <w:t xml:space="preserve"> </w:t>
      </w:r>
      <w:r>
        <w:t xml:space="preserve">“</w:t>
      </w:r>
      <w:r>
        <w:t xml:space="preserve">Exploring Risk and Return Profiles of Funding Rate Arbitrage on CEX and DEX.</w:t>
      </w:r>
      <w:r>
        <w:t xml:space="preserve">”</w:t>
      </w:r>
      <w:r>
        <w:t xml:space="preserve"> </w:t>
      </w:r>
      <w:r>
        <w:rPr>
          <w:iCs/>
          <w:i/>
        </w:rPr>
        <w:t xml:space="preserve">Journal of Zhejiang University</w:t>
      </w:r>
      <w:r>
        <w:t xml:space="preserve">.</w:t>
      </w:r>
    </w:p>
  </w:footnote>
  <w:footnote w:id="244">
    <w:p>
      <w:pPr>
        <w:pStyle w:val="FootnoteText"/>
      </w:pPr>
      <w:r>
        <w:rPr>
          <w:rStyle w:val="FootnoteReference"/>
        </w:rPr>
        <w:footnoteRef/>
      </w:r>
      <w:r>
        <w:t xml:space="preserve"> </w:t>
      </w:r>
      <w:r>
        <w:t xml:space="preserve">Li, Y., Shim, J. &amp; Song, J. (2025).</w:t>
      </w:r>
      <w:r>
        <w:t xml:space="preserve"> </w:t>
      </w:r>
      <w:r>
        <w:t xml:space="preserve">“</w:t>
      </w:r>
      <w:r>
        <w:t xml:space="preserve">Exploring Risk and Return Profiles of Funding Rate Arbitrage on CEX and DEX.</w:t>
      </w:r>
      <w:r>
        <w:t xml:space="preserve">”</w:t>
      </w:r>
      <w:r>
        <w:t xml:space="preserve"> </w:t>
      </w:r>
      <w:r>
        <w:rPr>
          <w:iCs/>
          <w:i/>
        </w:rPr>
        <w:t xml:space="preserve">Journal of Zhejiang University</w:t>
      </w:r>
      <w:r>
        <w:t xml:space="preserve">.</w:t>
      </w:r>
    </w:p>
  </w:footnote>
  <w:footnote w:id="245">
    <w:p>
      <w:pPr>
        <w:pStyle w:val="FootnoteText"/>
      </w:pPr>
      <w:r>
        <w:rPr>
          <w:rStyle w:val="FootnoteReference"/>
        </w:rPr>
        <w:footnoteRef/>
      </w:r>
      <w:r>
        <w:t xml:space="preserve"> </w:t>
      </w:r>
      <w:r>
        <w:t xml:space="preserve">Li, Y., Shim, J. &amp; Song, J. (2025).</w:t>
      </w:r>
      <w:r>
        <w:t xml:space="preserve"> </w:t>
      </w:r>
      <w:r>
        <w:t xml:space="preserve">“</w:t>
      </w:r>
      <w:r>
        <w:t xml:space="preserve">Exploring Risk and Return Profiles of Funding Rate Arbitrage on CEX and DEX.</w:t>
      </w:r>
      <w:r>
        <w:t xml:space="preserve">”</w:t>
      </w:r>
      <w:r>
        <w:t xml:space="preserve"> </w:t>
      </w:r>
      <w:r>
        <w:rPr>
          <w:iCs/>
          <w:i/>
        </w:rPr>
        <w:t xml:space="preserve">Journal of Zhejiang University</w:t>
      </w:r>
      <w:r>
        <w:t xml:space="preserve">.</w:t>
      </w:r>
    </w:p>
  </w:footnote>
  <w:footnote w:id="247">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248">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249">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250">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251">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252">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253">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258">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259">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260">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261">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262">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263">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264">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265">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266">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267">
    <w:p>
      <w:pPr>
        <w:pStyle w:val="FootnoteText"/>
      </w:pPr>
      <w:r>
        <w:rPr>
          <w:rStyle w:val="FootnoteReference"/>
        </w:rPr>
        <w:footnoteRef/>
      </w:r>
      <w:r>
        <w:t xml:space="preserve"> </w:t>
      </w:r>
      <w:r>
        <w:t xml:space="preserve">Li, Y., Shim, J. &amp; Song, J. (2025).</w:t>
      </w:r>
      <w:r>
        <w:t xml:space="preserve"> </w:t>
      </w:r>
      <w:r>
        <w:t xml:space="preserve">“</w:t>
      </w:r>
      <w:r>
        <w:t xml:space="preserve">Exploring Risk and Return Profiles of Funding Rate Arbitrage on CEX and DEX.</w:t>
      </w:r>
      <w:r>
        <w:t xml:space="preserve">”</w:t>
      </w:r>
      <w:r>
        <w:t xml:space="preserve"> </w:t>
      </w:r>
      <w:r>
        <w:rPr>
          <w:iCs/>
          <w:i/>
        </w:rPr>
        <w:t xml:space="preserve">Journal of Zhejiang University</w:t>
      </w:r>
      <w:r>
        <w:t xml:space="preserve">.</w:t>
      </w:r>
    </w:p>
  </w:footnote>
  <w:footnote w:id="268">
    <w:p>
      <w:pPr>
        <w:pStyle w:val="FootnoteText"/>
      </w:pPr>
      <w:r>
        <w:rPr>
          <w:rStyle w:val="FootnoteReference"/>
        </w:rPr>
        <w:footnoteRef/>
      </w:r>
      <w:r>
        <w:t xml:space="preserve"> </w:t>
      </w:r>
      <w:r>
        <w:t xml:space="preserve">Li, Y., Shim, J. &amp; Song, J. (2025).</w:t>
      </w:r>
      <w:r>
        <w:t xml:space="preserve"> </w:t>
      </w:r>
      <w:r>
        <w:t xml:space="preserve">“</w:t>
      </w:r>
      <w:r>
        <w:t xml:space="preserve">Exploring Risk and Return Profiles of Funding Rate Arbitrage on CEX and DEX.</w:t>
      </w:r>
      <w:r>
        <w:t xml:space="preserve">”</w:t>
      </w:r>
      <w:r>
        <w:t xml:space="preserve"> </w:t>
      </w:r>
      <w:r>
        <w:rPr>
          <w:iCs/>
          <w:i/>
        </w:rPr>
        <w:t xml:space="preserve">Journal of Zhejiang University</w:t>
      </w:r>
      <w:r>
        <w:t xml:space="preserve">.</w:t>
      </w:r>
    </w:p>
  </w:footnote>
  <w:footnote w:id="269">
    <w:p>
      <w:pPr>
        <w:pStyle w:val="FootnoteText"/>
      </w:pPr>
      <w:r>
        <w:rPr>
          <w:rStyle w:val="FootnoteReference"/>
        </w:rPr>
        <w:footnoteRef/>
      </w:r>
      <w:r>
        <w:t xml:space="preserve"> </w:t>
      </w:r>
      <w:r>
        <w:t xml:space="preserve">Li, Y., Shim, J. &amp; Song, J. (2025).</w:t>
      </w:r>
      <w:r>
        <w:t xml:space="preserve"> </w:t>
      </w:r>
      <w:r>
        <w:t xml:space="preserve">“</w:t>
      </w:r>
      <w:r>
        <w:t xml:space="preserve">Exploring Risk and Return Profiles of Funding Rate Arbitrage on CEX and DEX.</w:t>
      </w:r>
      <w:r>
        <w:t xml:space="preserve">”</w:t>
      </w:r>
      <w:r>
        <w:t xml:space="preserve"> </w:t>
      </w:r>
      <w:r>
        <w:rPr>
          <w:iCs/>
          <w:i/>
        </w:rPr>
        <w:t xml:space="preserve">Journal of Zhejiang University</w:t>
      </w:r>
      <w:r>
        <w:t xml:space="preserve">.</w:t>
      </w:r>
    </w:p>
  </w:footnote>
  <w:footnote w:id="270">
    <w:p>
      <w:pPr>
        <w:pStyle w:val="FootnoteText"/>
      </w:pPr>
      <w:r>
        <w:rPr>
          <w:rStyle w:val="FootnoteReference"/>
        </w:rPr>
        <w:footnoteRef/>
      </w:r>
      <w:r>
        <w:t xml:space="preserve"> </w:t>
      </w:r>
      <w:r>
        <w:t xml:space="preserve">Li, Y., Shim, J. &amp; Song, J. (2025).</w:t>
      </w:r>
      <w:r>
        <w:t xml:space="preserve"> </w:t>
      </w:r>
      <w:r>
        <w:t xml:space="preserve">“</w:t>
      </w:r>
      <w:r>
        <w:t xml:space="preserve">Exploring Risk and Return Profiles of Funding Rate Arbitrage on CEX and DEX.</w:t>
      </w:r>
      <w:r>
        <w:t xml:space="preserve">”</w:t>
      </w:r>
      <w:r>
        <w:t xml:space="preserve"> </w:t>
      </w:r>
      <w:r>
        <w:rPr>
          <w:iCs/>
          <w:i/>
        </w:rPr>
        <w:t xml:space="preserve">Journal of Zhejiang University</w:t>
      </w:r>
      <w:r>
        <w:t xml:space="preserve">.</w:t>
      </w:r>
    </w:p>
  </w:footnote>
  <w:footnote w:id="271">
    <w:p>
      <w:pPr>
        <w:pStyle w:val="FootnoteText"/>
      </w:pPr>
      <w:r>
        <w:rPr>
          <w:rStyle w:val="FootnoteReference"/>
        </w:rPr>
        <w:footnoteRef/>
      </w:r>
      <w:r>
        <w:t xml:space="preserve"> </w:t>
      </w:r>
      <w:r>
        <w:t xml:space="preserve">Li, Y., Shim, J. &amp; Song, J. (2025).</w:t>
      </w:r>
      <w:r>
        <w:t xml:space="preserve"> </w:t>
      </w:r>
      <w:r>
        <w:t xml:space="preserve">“</w:t>
      </w:r>
      <w:r>
        <w:t xml:space="preserve">Exploring Risk and Return Profiles of Funding Rate Arbitrage on CEX and DEX.</w:t>
      </w:r>
      <w:r>
        <w:t xml:space="preserve">”</w:t>
      </w:r>
      <w:r>
        <w:t xml:space="preserve"> </w:t>
      </w:r>
      <w:r>
        <w:rPr>
          <w:iCs/>
          <w:i/>
        </w:rPr>
        <w:t xml:space="preserve">Journal of Zhejiang University</w:t>
      </w:r>
      <w:r>
        <w:t xml:space="preserve">.</w:t>
      </w:r>
    </w:p>
  </w:footnote>
  <w:footnote w:id="272">
    <w:p>
      <w:pPr>
        <w:pStyle w:val="FootnoteText"/>
      </w:pPr>
      <w:r>
        <w:rPr>
          <w:rStyle w:val="FootnoteReference"/>
        </w:rPr>
        <w:footnoteRef/>
      </w:r>
      <w:r>
        <w:t xml:space="preserve"> </w:t>
      </w:r>
      <w:r>
        <w:t xml:space="preserve">Li, Y., Shim, J. &amp; Song, J. (2025).</w:t>
      </w:r>
      <w:r>
        <w:t xml:space="preserve"> </w:t>
      </w:r>
      <w:r>
        <w:t xml:space="preserve">“</w:t>
      </w:r>
      <w:r>
        <w:t xml:space="preserve">Exploring Risk and Return Profiles of Funding Rate Arbitrage on CEX and DEX.</w:t>
      </w:r>
      <w:r>
        <w:t xml:space="preserve">”</w:t>
      </w:r>
      <w:r>
        <w:t xml:space="preserve"> </w:t>
      </w:r>
      <w:r>
        <w:rPr>
          <w:iCs/>
          <w:i/>
        </w:rPr>
        <w:t xml:space="preserve">Journal of Zhejiang University</w:t>
      </w:r>
      <w:r>
        <w:t xml:space="preserve">.</w:t>
      </w:r>
    </w:p>
  </w:footnote>
  <w:footnote w:id="275">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279">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280">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281">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282">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283">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284">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285">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286">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287">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288">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290">
    <w:p>
      <w:pPr>
        <w:pStyle w:val="FootnoteText"/>
      </w:pPr>
      <w:r>
        <w:rPr>
          <w:rStyle w:val="FootnoteReference"/>
        </w:rPr>
        <w:footnoteRef/>
      </w:r>
      <w:r>
        <w:t xml:space="preserve"> </w:t>
      </w:r>
      <w:r>
        <w:t xml:space="preserve">Li, Y., Shim, J. &amp; Song, J. (2025).</w:t>
      </w:r>
      <w:r>
        <w:t xml:space="preserve"> </w:t>
      </w:r>
      <w:r>
        <w:t xml:space="preserve">“</w:t>
      </w:r>
      <w:r>
        <w:t xml:space="preserve">Exploring Risk and Return Profiles of Funding Rate Arbitrage on CEX and DEX.</w:t>
      </w:r>
      <w:r>
        <w:t xml:space="preserve">”</w:t>
      </w:r>
      <w:r>
        <w:t xml:space="preserve"> </w:t>
      </w:r>
      <w:r>
        <w:rPr>
          <w:iCs/>
          <w:i/>
        </w:rPr>
        <w:t xml:space="preserve">Journal of Zhejiang University</w:t>
      </w:r>
      <w:r>
        <w:t xml:space="preserve">.</w:t>
      </w:r>
    </w:p>
  </w:footnote>
  <w:footnote w:id="291">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292">
    <w:p>
      <w:pPr>
        <w:pStyle w:val="FootnoteText"/>
      </w:pPr>
      <w:r>
        <w:rPr>
          <w:rStyle w:val="FootnoteReference"/>
        </w:rPr>
        <w:footnoteRef/>
      </w:r>
      <w:r>
        <w:t xml:space="preserve"> </w:t>
      </w:r>
      <w:r>
        <w:t xml:space="preserve">Burnside, C., Eichenbaum, M. &amp; Rebelo, S. (2011).</w:t>
      </w:r>
      <w:r>
        <w:t xml:space="preserve"> </w:t>
      </w:r>
      <w:r>
        <w:t xml:space="preserve">“</w:t>
      </w:r>
      <w:r>
        <w:t xml:space="preserve">Carry Trade and Momentum in Currency Markets.</w:t>
      </w:r>
      <w:r>
        <w:t xml:space="preserve">”</w:t>
      </w:r>
      <w:r>
        <w:t xml:space="preserve"> </w:t>
      </w:r>
      <w:r>
        <w:rPr>
          <w:iCs/>
          <w:i/>
        </w:rPr>
        <w:t xml:space="preserve">NBER Reporter</w:t>
      </w:r>
      <w:r>
        <w:t xml:space="preserve">.</w:t>
      </w:r>
    </w:p>
  </w:footnote>
  <w:footnote w:id="293">
    <w:p>
      <w:pPr>
        <w:pStyle w:val="FootnoteText"/>
      </w:pPr>
      <w:r>
        <w:rPr>
          <w:rStyle w:val="FootnoteReference"/>
        </w:rPr>
        <w:footnoteRef/>
      </w:r>
      <w:r>
        <w:t xml:space="preserve"> </w:t>
      </w:r>
      <w:r>
        <w:t xml:space="preserve">Li, Y., Shim, J. &amp; Song, J. (2025).</w:t>
      </w:r>
      <w:r>
        <w:t xml:space="preserve"> </w:t>
      </w:r>
      <w:r>
        <w:t xml:space="preserve">“</w:t>
      </w:r>
      <w:r>
        <w:t xml:space="preserve">Exploring Risk and Return Profiles of Funding Rate Arbitrage on CEX and DEX.</w:t>
      </w:r>
      <w:r>
        <w:t xml:space="preserve">”</w:t>
      </w:r>
      <w:r>
        <w:t xml:space="preserve"> </w:t>
      </w:r>
      <w:r>
        <w:rPr>
          <w:iCs/>
          <w:i/>
        </w:rPr>
        <w:t xml:space="preserve">Journal of Zhejiang University</w:t>
      </w:r>
      <w:r>
        <w:t xml:space="preserve">.</w:t>
      </w:r>
    </w:p>
  </w:footnote>
  <w:footnote w:id="294">
    <w:p>
      <w:pPr>
        <w:pStyle w:val="FootnoteText"/>
      </w:pPr>
      <w:r>
        <w:rPr>
          <w:rStyle w:val="FootnoteReference"/>
        </w:rPr>
        <w:footnoteRef/>
      </w:r>
      <w:r>
        <w:t xml:space="preserve"> </w:t>
      </w:r>
      <w:r>
        <w:t xml:space="preserve">Li, Y., Shim, J. &amp; Song, J. (2025).</w:t>
      </w:r>
      <w:r>
        <w:t xml:space="preserve"> </w:t>
      </w:r>
      <w:r>
        <w:t xml:space="preserve">“</w:t>
      </w:r>
      <w:r>
        <w:t xml:space="preserve">Exploring Risk and Return Profiles of Funding Rate Arbitrage on CEX and DEX.</w:t>
      </w:r>
      <w:r>
        <w:t xml:space="preserve">”</w:t>
      </w:r>
      <w:r>
        <w:t xml:space="preserve"> </w:t>
      </w:r>
      <w:r>
        <w:rPr>
          <w:iCs/>
          <w:i/>
        </w:rPr>
        <w:t xml:space="preserve">Journal of Zhejiang University</w:t>
      </w:r>
      <w:r>
        <w:t xml:space="preserve">.</w:t>
      </w:r>
    </w:p>
  </w:footnote>
  <w:footnote w:id="295">
    <w:p>
      <w:pPr>
        <w:pStyle w:val="FootnoteText"/>
      </w:pPr>
      <w:r>
        <w:rPr>
          <w:rStyle w:val="FootnoteReference"/>
        </w:rPr>
        <w:footnoteRef/>
      </w:r>
      <w:r>
        <w:t xml:space="preserve"> </w:t>
      </w:r>
      <w:r>
        <w:t xml:space="preserve">Li, Y., Shim, J. &amp; Song, J. (2025).</w:t>
      </w:r>
      <w:r>
        <w:t xml:space="preserve"> </w:t>
      </w:r>
      <w:r>
        <w:t xml:space="preserve">“</w:t>
      </w:r>
      <w:r>
        <w:t xml:space="preserve">Exploring Risk and Return Profiles of Funding Rate Arbitrage on CEX and DEX.</w:t>
      </w:r>
      <w:r>
        <w:t xml:space="preserve">”</w:t>
      </w:r>
      <w:r>
        <w:t xml:space="preserve"> </w:t>
      </w:r>
      <w:r>
        <w:rPr>
          <w:iCs/>
          <w:i/>
        </w:rPr>
        <w:t xml:space="preserve">Journal of Zhejiang University</w:t>
      </w:r>
      <w:r>
        <w:t xml:space="preserve">.</w:t>
      </w:r>
    </w:p>
  </w:footnote>
  <w:footnote w:id="296">
    <w:p>
      <w:pPr>
        <w:pStyle w:val="FootnoteText"/>
      </w:pPr>
      <w:r>
        <w:rPr>
          <w:rStyle w:val="FootnoteReference"/>
        </w:rPr>
        <w:footnoteRef/>
      </w:r>
      <w:r>
        <w:t xml:space="preserve"> </w:t>
      </w:r>
      <w:r>
        <w:t xml:space="preserve">Li, Y., Shim, J. &amp; Song, J. (2025).</w:t>
      </w:r>
      <w:r>
        <w:t xml:space="preserve"> </w:t>
      </w:r>
      <w:r>
        <w:t xml:space="preserve">“</w:t>
      </w:r>
      <w:r>
        <w:t xml:space="preserve">Exploring Risk and Return Profiles of Funding Rate Arbitrage on CEX and DEX.</w:t>
      </w:r>
      <w:r>
        <w:t xml:space="preserve">”</w:t>
      </w:r>
      <w:r>
        <w:t xml:space="preserve"> </w:t>
      </w:r>
      <w:r>
        <w:rPr>
          <w:iCs/>
          <w:i/>
        </w:rPr>
        <w:t xml:space="preserve">Journal of Zhejiang University</w:t>
      </w:r>
      <w:r>
        <w:t xml:space="preserve">.</w:t>
      </w:r>
    </w:p>
  </w:footnote>
  <w:footnote w:id="298">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300">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301">
    <w:p>
      <w:pPr>
        <w:pStyle w:val="FootnoteText"/>
      </w:pPr>
      <w:r>
        <w:rPr>
          <w:rStyle w:val="FootnoteReference"/>
        </w:rPr>
        <w:footnoteRef/>
      </w:r>
      <w:r>
        <w:t xml:space="preserve"> </w:t>
      </w:r>
      <w:r>
        <w:t xml:space="preserve">Li, Y., Shim, J. &amp; Song, J. (2025).</w:t>
      </w:r>
      <w:r>
        <w:t xml:space="preserve"> </w:t>
      </w:r>
      <w:r>
        <w:t xml:space="preserve">“</w:t>
      </w:r>
      <w:r>
        <w:t xml:space="preserve">Exploring Risk and Return Profiles of Funding Rate Arbitrage on CEX and DEX.</w:t>
      </w:r>
      <w:r>
        <w:t xml:space="preserve">”</w:t>
      </w:r>
      <w:r>
        <w:t xml:space="preserve"> </w:t>
      </w:r>
      <w:r>
        <w:rPr>
          <w:iCs/>
          <w:i/>
        </w:rPr>
        <w:t xml:space="preserve">Journal of Zhejiang University</w:t>
      </w:r>
      <w:r>
        <w:t xml:space="preserve">.</w:t>
      </w:r>
    </w:p>
  </w:footnote>
  <w:footnote w:id="302">
    <w:p>
      <w:pPr>
        <w:pStyle w:val="FootnoteText"/>
      </w:pPr>
      <w:r>
        <w:rPr>
          <w:rStyle w:val="FootnoteReference"/>
        </w:rPr>
        <w:footnoteRef/>
      </w:r>
      <w:r>
        <w:t xml:space="preserve"> </w:t>
      </w:r>
      <w:r>
        <w:t xml:space="preserve">Burnside, C., Eichenbaum, M. &amp; Rebelo, S. (2011).</w:t>
      </w:r>
      <w:r>
        <w:t xml:space="preserve"> </w:t>
      </w:r>
      <w:r>
        <w:t xml:space="preserve">“</w:t>
      </w:r>
      <w:r>
        <w:t xml:space="preserve">Carry Trade and Momentum in Currency Markets.</w:t>
      </w:r>
      <w:r>
        <w:t xml:space="preserve">”</w:t>
      </w:r>
      <w:r>
        <w:t xml:space="preserve"> </w:t>
      </w:r>
      <w:r>
        <w:rPr>
          <w:iCs/>
          <w:i/>
        </w:rPr>
        <w:t xml:space="preserve">NBER Reporter</w:t>
      </w:r>
      <w:r>
        <w:t xml:space="preserve">.</w:t>
      </w:r>
    </w:p>
  </w:footnote>
  <w:footnote w:id="303">
    <w:p>
      <w:pPr>
        <w:pStyle w:val="FootnoteText"/>
      </w:pPr>
      <w:r>
        <w:rPr>
          <w:rStyle w:val="FootnoteReference"/>
        </w:rPr>
        <w:footnoteRef/>
      </w:r>
      <w:r>
        <w:t xml:space="preserve"> </w:t>
      </w:r>
      <w:r>
        <w:t xml:space="preserve">Li, Y., Shim, J. &amp; Song, J. (2025).</w:t>
      </w:r>
      <w:r>
        <w:t xml:space="preserve"> </w:t>
      </w:r>
      <w:r>
        <w:t xml:space="preserve">“</w:t>
      </w:r>
      <w:r>
        <w:t xml:space="preserve">Exploring Risk and Return Profiles of Funding Rate Arbitrage on CEX and DEX.</w:t>
      </w:r>
      <w:r>
        <w:t xml:space="preserve">”</w:t>
      </w:r>
      <w:r>
        <w:t xml:space="preserve"> </w:t>
      </w:r>
      <w:r>
        <w:rPr>
          <w:iCs/>
          <w:i/>
        </w:rPr>
        <w:t xml:space="preserve">Journal of Zhejiang University</w:t>
      </w:r>
      <w:r>
        <w:t xml:space="preserve">.</w:t>
      </w:r>
    </w:p>
  </w:footnote>
  <w:footnote w:id="304">
    <w:p>
      <w:pPr>
        <w:pStyle w:val="FootnoteText"/>
      </w:pPr>
      <w:r>
        <w:rPr>
          <w:rStyle w:val="FootnoteReference"/>
        </w:rPr>
        <w:footnoteRef/>
      </w:r>
      <w:r>
        <w:t xml:space="preserve"> </w:t>
      </w:r>
      <w:r>
        <w:t xml:space="preserve">Li, Y., Shim, J. &amp; Song, J. (2025).</w:t>
      </w:r>
      <w:r>
        <w:t xml:space="preserve"> </w:t>
      </w:r>
      <w:r>
        <w:t xml:space="preserve">“</w:t>
      </w:r>
      <w:r>
        <w:t xml:space="preserve">Exploring Risk and Return Profiles of Funding Rate Arbitrage on CEX and DEX.</w:t>
      </w:r>
      <w:r>
        <w:t xml:space="preserve">”</w:t>
      </w:r>
      <w:r>
        <w:t xml:space="preserve"> </w:t>
      </w:r>
      <w:r>
        <w:rPr>
          <w:iCs/>
          <w:i/>
        </w:rPr>
        <w:t xml:space="preserve">Journal of Zhejiang University</w:t>
      </w:r>
      <w:r>
        <w:t xml:space="preserve">.</w:t>
      </w:r>
    </w:p>
  </w:footnote>
  <w:footnote w:id="310">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311">
    <w:p>
      <w:pPr>
        <w:pStyle w:val="FootnoteText"/>
      </w:pPr>
      <w:r>
        <w:rPr>
          <w:rStyle w:val="FootnoteReference"/>
        </w:rPr>
        <w:footnoteRef/>
      </w:r>
      <w:r>
        <w:t xml:space="preserve"> </w:t>
      </w:r>
      <w:r>
        <w:t xml:space="preserve">Li, Y., Shim, J. &amp; Song, J. (2025).</w:t>
      </w:r>
      <w:r>
        <w:t xml:space="preserve"> </w:t>
      </w:r>
      <w:r>
        <w:t xml:space="preserve">“</w:t>
      </w:r>
      <w:r>
        <w:t xml:space="preserve">Exploring Risk and Return Profiles of Funding Rate Arbitrage on CEX and DEX.</w:t>
      </w:r>
      <w:r>
        <w:t xml:space="preserve">”</w:t>
      </w:r>
      <w:r>
        <w:t xml:space="preserve"> </w:t>
      </w:r>
      <w:r>
        <w:rPr>
          <w:iCs/>
          <w:i/>
        </w:rPr>
        <w:t xml:space="preserve">Journal of Zhejiang University</w:t>
      </w:r>
      <w:r>
        <w:t xml:space="preserve">.</w:t>
      </w:r>
    </w:p>
  </w:footnote>
  <w:footnote w:id="312">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314">
    <w:p>
      <w:pPr>
        <w:pStyle w:val="FootnoteText"/>
      </w:pPr>
      <w:r>
        <w:rPr>
          <w:rStyle w:val="FootnoteReference"/>
        </w:rPr>
        <w:footnoteRef/>
      </w:r>
      <w:r>
        <w:t xml:space="preserve"> </w:t>
      </w:r>
      <w:r>
        <w:t xml:space="preserve">Burnside, C., Eichenbaum, M. &amp; Rebelo, S. (2011).</w:t>
      </w:r>
      <w:r>
        <w:t xml:space="preserve"> </w:t>
      </w:r>
      <w:r>
        <w:t xml:space="preserve">“</w:t>
      </w:r>
      <w:r>
        <w:t xml:space="preserve">Carry Trade and Momentum in Currency Markets.</w:t>
      </w:r>
      <w:r>
        <w:t xml:space="preserve">”</w:t>
      </w:r>
      <w:r>
        <w:t xml:space="preserve"> </w:t>
      </w:r>
      <w:r>
        <w:rPr>
          <w:iCs/>
          <w:i/>
        </w:rPr>
        <w:t xml:space="preserve">NBER Reporter</w:t>
      </w:r>
      <w:r>
        <w:t xml:space="preserve">.</w:t>
      </w:r>
    </w:p>
  </w:footnote>
  <w:footnote w:id="315">
    <w:p>
      <w:pPr>
        <w:pStyle w:val="FootnoteText"/>
      </w:pPr>
      <w:r>
        <w:rPr>
          <w:rStyle w:val="FootnoteReference"/>
        </w:rPr>
        <w:footnoteRef/>
      </w:r>
      <w:r>
        <w:t xml:space="preserve"> </w:t>
      </w:r>
      <w:r>
        <w:t xml:space="preserve">Burnside, C., Eichenbaum, M. &amp; Rebelo, S. (2011).</w:t>
      </w:r>
      <w:r>
        <w:t xml:space="preserve"> </w:t>
      </w:r>
      <w:r>
        <w:t xml:space="preserve">“</w:t>
      </w:r>
      <w:r>
        <w:t xml:space="preserve">Carry Trade and Momentum in Currency Markets.</w:t>
      </w:r>
      <w:r>
        <w:t xml:space="preserve">”</w:t>
      </w:r>
      <w:r>
        <w:t xml:space="preserve"> </w:t>
      </w:r>
      <w:r>
        <w:rPr>
          <w:iCs/>
          <w:i/>
        </w:rPr>
        <w:t xml:space="preserve">NBER Reporter</w:t>
      </w:r>
      <w:r>
        <w:t xml:space="preserve">.</w:t>
      </w:r>
    </w:p>
  </w:footnote>
  <w:footnote w:id="316">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318">
    <w:p>
      <w:pPr>
        <w:pStyle w:val="FootnoteText"/>
      </w:pPr>
      <w:r>
        <w:rPr>
          <w:rStyle w:val="FootnoteReference"/>
        </w:rPr>
        <w:footnoteRef/>
      </w:r>
      <w:r>
        <w:t xml:space="preserve"> </w:t>
      </w:r>
      <w:r>
        <w:t xml:space="preserve">CUNY Academic Paper (2021).</w:t>
      </w:r>
      <w:r>
        <w:t xml:space="preserve"> </w:t>
      </w:r>
      <w:r>
        <w:t xml:space="preserve">“</w:t>
      </w:r>
      <w:r>
        <w:t xml:space="preserve">Exploiting Closed-End Fund Discounts: Bias-Adjusted Mean Reversion Strategies.</w:t>
      </w:r>
      <w:r>
        <w:t xml:space="preserve">”</w:t>
      </w:r>
    </w:p>
  </w:footnote>
  <w:footnote w:id="319">
    <w:p>
      <w:pPr>
        <w:pStyle w:val="FootnoteText"/>
      </w:pPr>
      <w:r>
        <w:rPr>
          <w:rStyle w:val="FootnoteReference"/>
        </w:rPr>
        <w:footnoteRef/>
      </w:r>
      <w:r>
        <w:t xml:space="preserve"> </w:t>
      </w:r>
      <w:r>
        <w:t xml:space="preserve">CUNY Academic Paper (2021).</w:t>
      </w:r>
      <w:r>
        <w:t xml:space="preserve"> </w:t>
      </w:r>
      <w:r>
        <w:t xml:space="preserve">“</w:t>
      </w:r>
      <w:r>
        <w:t xml:space="preserve">Exploiting Closed-End Fund Discounts: Bias-Adjusted Mean Reversion Strategies.</w:t>
      </w:r>
      <w:r>
        <w:t xml:space="preserve">”</w:t>
      </w:r>
    </w:p>
  </w:footnote>
  <w:footnote w:id="321">
    <w:p>
      <w:pPr>
        <w:pStyle w:val="FootnoteText"/>
      </w:pPr>
      <w:r>
        <w:rPr>
          <w:rStyle w:val="FootnoteReference"/>
        </w:rPr>
        <w:footnoteRef/>
      </w:r>
      <w:r>
        <w:t xml:space="preserve"> </w:t>
      </w:r>
      <w:r>
        <w:t xml:space="preserve">CoinGecko (2025).</w:t>
      </w:r>
      <w:r>
        <w:t xml:space="preserve"> </w:t>
      </w:r>
      <w:r>
        <w:t xml:space="preserve">“</w:t>
      </w:r>
      <w:r>
        <w:t xml:space="preserve">2025 State of Memecoins Report.</w:t>
      </w:r>
      <w:r>
        <w:t xml:space="preserve">”</w:t>
      </w:r>
    </w:p>
  </w:footnote>
  <w:footnote w:id="322">
    <w:p>
      <w:pPr>
        <w:pStyle w:val="FootnoteText"/>
      </w:pPr>
      <w:r>
        <w:rPr>
          <w:rStyle w:val="FootnoteReference"/>
        </w:rPr>
        <w:footnoteRef/>
      </w:r>
      <w:r>
        <w:t xml:space="preserve"> </w:t>
      </w:r>
      <w:r>
        <w:t xml:space="preserve">“</w:t>
      </w:r>
      <w:r>
        <w:t xml:space="preserve">Understanding Meme Coin Trends Through Sentiment Analysis.</w:t>
      </w:r>
      <w:r>
        <w:t xml:space="preserve">”</w:t>
      </w:r>
      <w:r>
        <w:t xml:space="preserve"> </w:t>
      </w:r>
      <w:r>
        <w:t xml:space="preserve">(2025).</w:t>
      </w:r>
      <w:r>
        <w:t xml:space="preserve"> </w:t>
      </w:r>
      <w:r>
        <w:rPr>
          <w:iCs/>
          <w:i/>
        </w:rPr>
        <w:t xml:space="preserve">IJRASET</w:t>
      </w:r>
      <w:r>
        <w:t xml:space="preserve">.</w:t>
      </w:r>
    </w:p>
  </w:footnote>
  <w:footnote w:id="324">
    <w:p>
      <w:pPr>
        <w:pStyle w:val="FootnoteText"/>
      </w:pPr>
      <w:r>
        <w:rPr>
          <w:rStyle w:val="FootnoteReference"/>
        </w:rPr>
        <w:footnoteRef/>
      </w:r>
      <w:r>
        <w:t xml:space="preserve"> </w:t>
      </w:r>
      <w:r>
        <w:t xml:space="preserve">Da, Z., Liu, Q. &amp; Schaumburg, E. (2014).</w:t>
      </w:r>
      <w:r>
        <w:t xml:space="preserve"> </w:t>
      </w:r>
      <w:r>
        <w:t xml:space="preserve">“</w:t>
      </w:r>
      <w:r>
        <w:t xml:space="preserve">A Closer Look at the Short-term Return Reversal.</w:t>
      </w:r>
      <w:r>
        <w:t xml:space="preserve">”</w:t>
      </w:r>
      <w:r>
        <w:t xml:space="preserve"> </w:t>
      </w:r>
      <w:r>
        <w:rPr>
          <w:iCs/>
          <w:i/>
        </w:rPr>
        <w:t xml:space="preserve">Management Science</w:t>
      </w:r>
      <w:r>
        <w:t xml:space="preserve">.</w:t>
      </w:r>
    </w:p>
  </w:footnote>
  <w:footnote w:id="325">
    <w:p>
      <w:pPr>
        <w:pStyle w:val="FootnoteText"/>
      </w:pPr>
      <w:r>
        <w:rPr>
          <w:rStyle w:val="FootnoteReference"/>
        </w:rPr>
        <w:footnoteRef/>
      </w:r>
      <w:r>
        <w:t xml:space="preserve"> </w:t>
      </w:r>
      <w:r>
        <w:t xml:space="preserve">Liu, W., Zhang, L. &amp; Zhao, S. (2012).</w:t>
      </w:r>
      <w:r>
        <w:t xml:space="preserve"> </w:t>
      </w:r>
      <w:r>
        <w:t xml:space="preserve">“</w:t>
      </w:r>
      <w:r>
        <w:t xml:space="preserve">Explaining Penny Stock Returns.</w:t>
      </w:r>
      <w:r>
        <w:t xml:space="preserve">”</w:t>
      </w:r>
      <w:r>
        <w:t xml:space="preserve"> </w:t>
      </w:r>
      <w:r>
        <w:t xml:space="preserve">Working Paper.</w:t>
      </w:r>
    </w:p>
  </w:footnote>
  <w:footnote w:id="326">
    <w:p>
      <w:pPr>
        <w:pStyle w:val="FootnoteText"/>
      </w:pPr>
      <w:r>
        <w:rPr>
          <w:rStyle w:val="FootnoteReference"/>
        </w:rPr>
        <w:footnoteRef/>
      </w:r>
      <w:r>
        <w:t xml:space="preserve"> </w:t>
      </w:r>
      <w:r>
        <w:t xml:space="preserve">Liu, W., Zhang, L. &amp; Zhao, S. (2012).</w:t>
      </w:r>
      <w:r>
        <w:t xml:space="preserve"> </w:t>
      </w:r>
      <w:r>
        <w:t xml:space="preserve">“</w:t>
      </w:r>
      <w:r>
        <w:t xml:space="preserve">Explaining Penny Stock Returns.</w:t>
      </w:r>
      <w:r>
        <w:t xml:space="preserve">”</w:t>
      </w:r>
      <w:r>
        <w:t xml:space="preserve"> </w:t>
      </w:r>
      <w:r>
        <w:t xml:space="preserve">Working Paper.</w:t>
      </w:r>
    </w:p>
  </w:footnote>
  <w:footnote w:id="327">
    <w:p>
      <w:pPr>
        <w:pStyle w:val="FootnoteText"/>
      </w:pPr>
      <w:r>
        <w:rPr>
          <w:rStyle w:val="FootnoteReference"/>
        </w:rPr>
        <w:footnoteRef/>
      </w:r>
      <w:r>
        <w:t xml:space="preserve"> </w:t>
      </w:r>
      <w:r>
        <w:t xml:space="preserve">Da, Z., Liu, Q. &amp; Schaumburg, E. (2014).</w:t>
      </w:r>
      <w:r>
        <w:t xml:space="preserve"> </w:t>
      </w:r>
      <w:r>
        <w:t xml:space="preserve">“</w:t>
      </w:r>
      <w:r>
        <w:t xml:space="preserve">A Closer Look at the Short-term Return Reversal.</w:t>
      </w:r>
      <w:r>
        <w:t xml:space="preserve">”</w:t>
      </w:r>
      <w:r>
        <w:t xml:space="preserve"> </w:t>
      </w:r>
      <w:r>
        <w:rPr>
          <w:iCs/>
          <w:i/>
        </w:rPr>
        <w:t xml:space="preserve">Management Science</w:t>
      </w:r>
      <w:r>
        <w:t xml:space="preserve">.</w:t>
      </w:r>
    </w:p>
  </w:footnote>
  <w:footnote w:id="329">
    <w:p>
      <w:pPr>
        <w:pStyle w:val="FootnoteText"/>
      </w:pPr>
      <w:r>
        <w:rPr>
          <w:rStyle w:val="FootnoteReference"/>
        </w:rPr>
        <w:footnoteRef/>
      </w:r>
      <w:r>
        <w:t xml:space="preserve"> </w:t>
      </w:r>
      <w:r>
        <w:t xml:space="preserve">Fuertes, A-M., Miffre, J. &amp; Fernandez-Perez, A. (2015).</w:t>
      </w:r>
      <w:r>
        <w:t xml:space="preserve"> </w:t>
      </w:r>
      <w:r>
        <w:t xml:space="preserve">“</w:t>
      </w:r>
      <w:r>
        <w:t xml:space="preserve">Commodity Strategies Based on Momentum, Term Structure and Idiosyncratic Volatility.</w:t>
      </w:r>
      <w:r>
        <w:t xml:space="preserve">”</w:t>
      </w:r>
      <w:r>
        <w:t xml:space="preserve"> </w:t>
      </w:r>
      <w:r>
        <w:rPr>
          <w:iCs/>
          <w:i/>
        </w:rPr>
        <w:t xml:space="preserve">Journal of Banking &amp; Finance</w:t>
      </w:r>
      <w:r>
        <w:t xml:space="preserve">.</w:t>
      </w:r>
    </w:p>
  </w:footnote>
  <w:footnote w:id="330">
    <w:p>
      <w:pPr>
        <w:pStyle w:val="FootnoteText"/>
      </w:pPr>
      <w:r>
        <w:rPr>
          <w:rStyle w:val="FootnoteReference"/>
        </w:rPr>
        <w:footnoteRef/>
      </w:r>
      <w:r>
        <w:t xml:space="preserve"> </w:t>
      </w:r>
      <w:r>
        <w:t xml:space="preserve">Ghoddusi, H. (2016).</w:t>
      </w:r>
      <w:r>
        <w:t xml:space="preserve"> </w:t>
      </w:r>
      <w:r>
        <w:t xml:space="preserve">“</w:t>
      </w:r>
      <w:r>
        <w:t xml:space="preserve">Maturity Structure of Commodity Roll Strategies.</w:t>
      </w:r>
      <w:r>
        <w:t xml:space="preserve">”</w:t>
      </w:r>
      <w:r>
        <w:t xml:space="preserve"> </w:t>
      </w:r>
      <w:r>
        <w:rPr>
          <w:iCs/>
          <w:i/>
        </w:rPr>
        <w:t xml:space="preserve">SSRN Working Paper</w:t>
      </w:r>
      <w:r>
        <w:t xml:space="preserve">; Gorton, Hayashi &amp; Rouwenhorst (2013),</w:t>
      </w:r>
      <w:r>
        <w:t xml:space="preserve"> </w:t>
      </w:r>
      <w:r>
        <w:rPr>
          <w:iCs/>
          <w:i/>
        </w:rPr>
        <w:t xml:space="preserve">Journal of Financial Economics</w:t>
      </w:r>
      <w:r>
        <w:t xml:space="preserve">; Szymanowska et al. (2014).</w:t>
      </w:r>
    </w:p>
  </w:footnote>
  <w:footnote w:id="331">
    <w:p>
      <w:pPr>
        <w:pStyle w:val="FootnoteText"/>
      </w:pPr>
      <w:r>
        <w:rPr>
          <w:rStyle w:val="FootnoteReference"/>
        </w:rPr>
        <w:footnoteRef/>
      </w:r>
      <w:r>
        <w:t xml:space="preserve"> </w:t>
      </w:r>
      <w:r>
        <w:t xml:space="preserve">Ghoddusi, H. (2016).</w:t>
      </w:r>
      <w:r>
        <w:t xml:space="preserve"> </w:t>
      </w:r>
      <w:r>
        <w:t xml:space="preserve">“</w:t>
      </w:r>
      <w:r>
        <w:t xml:space="preserve">Maturity Structure of Commodity Roll Strategies.</w:t>
      </w:r>
      <w:r>
        <w:t xml:space="preserve">”</w:t>
      </w:r>
      <w:r>
        <w:t xml:space="preserve"> </w:t>
      </w:r>
      <w:r>
        <w:rPr>
          <w:iCs/>
          <w:i/>
        </w:rPr>
        <w:t xml:space="preserve">SSRN Working Paper</w:t>
      </w:r>
      <w:r>
        <w:t xml:space="preserve">; Gorton, Hayashi &amp; Rouwenhorst (2013),</w:t>
      </w:r>
      <w:r>
        <w:t xml:space="preserve"> </w:t>
      </w:r>
      <w:r>
        <w:rPr>
          <w:iCs/>
          <w:i/>
        </w:rPr>
        <w:t xml:space="preserve">Journal of Financial Economics</w:t>
      </w:r>
      <w:r>
        <w:t xml:space="preserve">; Szymanowska et al. (2014).</w:t>
      </w:r>
    </w:p>
  </w:footnote>
  <w:footnote w:id="332">
    <w:p>
      <w:pPr>
        <w:pStyle w:val="FootnoteText"/>
      </w:pPr>
      <w:r>
        <w:rPr>
          <w:rStyle w:val="FootnoteReference"/>
        </w:rPr>
        <w:footnoteRef/>
      </w:r>
      <w:r>
        <w:t xml:space="preserve"> </w:t>
      </w:r>
      <w:r>
        <w:t xml:space="preserve">Author calculation from expected strategy correlation matrix, source: Appendix B, New Strategies Research (2025).</w:t>
      </w:r>
    </w:p>
  </w:footnote>
  <w:footnote w:id="333">
    <w:p>
      <w:pPr>
        <w:pStyle w:val="FootnoteText"/>
      </w:pPr>
      <w:r>
        <w:rPr>
          <w:rStyle w:val="FootnoteReference"/>
        </w:rPr>
        <w:footnoteRef/>
      </w:r>
      <w:r>
        <w:t xml:space="preserve"> </w:t>
      </w:r>
      <w:r>
        <w:t xml:space="preserve">Author calculation from expected strategy correlation matrix, source: Appendix B, New Strategies Research (2025).</w:t>
      </w:r>
    </w:p>
  </w:footnote>
  <w:footnote w:id="344">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345">
    <w:p>
      <w:pPr>
        <w:pStyle w:val="FootnoteText"/>
      </w:pPr>
      <w:r>
        <w:rPr>
          <w:rStyle w:val="FootnoteReference"/>
        </w:rPr>
        <w:footnoteRef/>
      </w:r>
      <w:r>
        <w:t xml:space="preserve"> </w:t>
      </w:r>
      <w:r>
        <w:t xml:space="preserve">Li, Y., Shim, J. &amp; Song, J. (2025).</w:t>
      </w:r>
      <w:r>
        <w:t xml:space="preserve"> </w:t>
      </w:r>
      <w:r>
        <w:t xml:space="preserve">“</w:t>
      </w:r>
      <w:r>
        <w:t xml:space="preserve">Exploring Risk and Return Profiles of Funding Rate Arbitrage on CEX and DEX.</w:t>
      </w:r>
      <w:r>
        <w:t xml:space="preserve">”</w:t>
      </w:r>
      <w:r>
        <w:t xml:space="preserve"> </w:t>
      </w:r>
      <w:r>
        <w:rPr>
          <w:iCs/>
          <w:i/>
        </w:rPr>
        <w:t xml:space="preserve">Journal of Zhejiang University</w:t>
      </w:r>
      <w:r>
        <w:t xml:space="preserve">.</w:t>
      </w:r>
    </w:p>
  </w:footnote>
  <w:footnote w:id="346">
    <w:p>
      <w:pPr>
        <w:pStyle w:val="FootnoteText"/>
      </w:pPr>
      <w:r>
        <w:rPr>
          <w:rStyle w:val="FootnoteReference"/>
        </w:rPr>
        <w:footnoteRef/>
      </w:r>
      <w:r>
        <w:t xml:space="preserve"> </w:t>
      </w:r>
      <w:r>
        <w:t xml:space="preserve">Burnside, C., Eichenbaum, M. &amp; Rebelo, S. (2011).</w:t>
      </w:r>
      <w:r>
        <w:t xml:space="preserve"> </w:t>
      </w:r>
      <w:r>
        <w:t xml:space="preserve">“</w:t>
      </w:r>
      <w:r>
        <w:t xml:space="preserve">Carry Trade and Momentum in Currency Markets.</w:t>
      </w:r>
      <w:r>
        <w:t xml:space="preserve">”</w:t>
      </w:r>
      <w:r>
        <w:t xml:space="preserve"> </w:t>
      </w:r>
      <w:r>
        <w:rPr>
          <w:iCs/>
          <w:i/>
        </w:rPr>
        <w:t xml:space="preserve">NBER Reporter</w:t>
      </w:r>
      <w:r>
        <w:t xml:space="preserve">.</w:t>
      </w:r>
    </w:p>
  </w:footnote>
  <w:footnote w:id="347">
    <w:p>
      <w:pPr>
        <w:pStyle w:val="FootnoteText"/>
      </w:pPr>
      <w:r>
        <w:rPr>
          <w:rStyle w:val="FootnoteReference"/>
        </w:rPr>
        <w:footnoteRef/>
      </w:r>
      <w:r>
        <w:t xml:space="preserve"> </w:t>
      </w:r>
      <w:r>
        <w:t xml:space="preserve">CUNY Academic Paper (2021).</w:t>
      </w:r>
      <w:r>
        <w:t xml:space="preserve"> </w:t>
      </w:r>
      <w:r>
        <w:t xml:space="preserve">“</w:t>
      </w:r>
      <w:r>
        <w:t xml:space="preserve">Exploiting Closed-End Fund Discounts: Bias-Adjusted Mean Reversion Strategies.</w:t>
      </w:r>
      <w:r>
        <w:t xml:space="preserve">”</w:t>
      </w:r>
    </w:p>
  </w:footnote>
  <w:footnote w:id="348">
    <w:p>
      <w:pPr>
        <w:pStyle w:val="FootnoteText"/>
      </w:pPr>
      <w:r>
        <w:rPr>
          <w:rStyle w:val="FootnoteReference"/>
        </w:rPr>
        <w:footnoteRef/>
      </w:r>
      <w:r>
        <w:t xml:space="preserve"> </w:t>
      </w:r>
      <w:r>
        <w:t xml:space="preserve">CoinGecko (2025).</w:t>
      </w:r>
      <w:r>
        <w:t xml:space="preserve"> </w:t>
      </w:r>
      <w:r>
        <w:t xml:space="preserve">“</w:t>
      </w:r>
      <w:r>
        <w:t xml:space="preserve">2025 State of Memecoins Report.</w:t>
      </w:r>
      <w:r>
        <w:t xml:space="preserve">”</w:t>
      </w:r>
    </w:p>
  </w:footnote>
  <w:footnote w:id="349">
    <w:p>
      <w:pPr>
        <w:pStyle w:val="FootnoteText"/>
      </w:pPr>
      <w:r>
        <w:rPr>
          <w:rStyle w:val="FootnoteReference"/>
        </w:rPr>
        <w:footnoteRef/>
      </w:r>
      <w:r>
        <w:t xml:space="preserve"> </w:t>
      </w:r>
      <w:r>
        <w:t xml:space="preserve">“</w:t>
      </w:r>
      <w:r>
        <w:t xml:space="preserve">Understanding Meme Coin Trends Through Sentiment Analysis.</w:t>
      </w:r>
      <w:r>
        <w:t xml:space="preserve">”</w:t>
      </w:r>
      <w:r>
        <w:t xml:space="preserve"> </w:t>
      </w:r>
      <w:r>
        <w:t xml:space="preserve">(2025).</w:t>
      </w:r>
      <w:r>
        <w:t xml:space="preserve"> </w:t>
      </w:r>
      <w:r>
        <w:rPr>
          <w:iCs/>
          <w:i/>
        </w:rPr>
        <w:t xml:space="preserve">IJRASET</w:t>
      </w:r>
      <w:r>
        <w:t xml:space="preserve">.</w:t>
      </w:r>
    </w:p>
  </w:footnote>
  <w:footnote w:id="350">
    <w:p>
      <w:pPr>
        <w:pStyle w:val="FootnoteText"/>
      </w:pPr>
      <w:r>
        <w:rPr>
          <w:rStyle w:val="FootnoteReference"/>
        </w:rPr>
        <w:footnoteRef/>
      </w:r>
      <w:r>
        <w:t xml:space="preserve"> </w:t>
      </w:r>
      <w:r>
        <w:t xml:space="preserve">Da, Z., Liu, Q. &amp; Schaumburg, E. (2014).</w:t>
      </w:r>
      <w:r>
        <w:t xml:space="preserve"> </w:t>
      </w:r>
      <w:r>
        <w:t xml:space="preserve">“</w:t>
      </w:r>
      <w:r>
        <w:t xml:space="preserve">A Closer Look at the Short-term Return Reversal.</w:t>
      </w:r>
      <w:r>
        <w:t xml:space="preserve">”</w:t>
      </w:r>
      <w:r>
        <w:t xml:space="preserve"> </w:t>
      </w:r>
      <w:r>
        <w:rPr>
          <w:iCs/>
          <w:i/>
        </w:rPr>
        <w:t xml:space="preserve">Management Science</w:t>
      </w:r>
      <w:r>
        <w:t xml:space="preserve">.</w:t>
      </w:r>
    </w:p>
  </w:footnote>
  <w:footnote w:id="354">
    <w:p>
      <w:pPr>
        <w:pStyle w:val="FootnoteText"/>
      </w:pPr>
      <w:r>
        <w:rPr>
          <w:rStyle w:val="FootnoteReference"/>
        </w:rPr>
        <w:footnoteRef/>
      </w:r>
      <w:r>
        <w:t xml:space="preserve"> </w:t>
      </w:r>
      <w:r>
        <w:t xml:space="preserve">Da, Z., Liu, Q. &amp; Schaumburg, E. (2014).</w:t>
      </w:r>
      <w:r>
        <w:t xml:space="preserve"> </w:t>
      </w:r>
      <w:r>
        <w:t xml:space="preserve">“</w:t>
      </w:r>
      <w:r>
        <w:t xml:space="preserve">A Closer Look at the Short-term Return Reversal.</w:t>
      </w:r>
      <w:r>
        <w:t xml:space="preserve">”</w:t>
      </w:r>
      <w:r>
        <w:t xml:space="preserve"> </w:t>
      </w:r>
      <w:r>
        <w:rPr>
          <w:iCs/>
          <w:i/>
        </w:rPr>
        <w:t xml:space="preserve">Management Science</w:t>
      </w:r>
      <w:r>
        <w:t xml:space="preserve">.</w:t>
      </w:r>
    </w:p>
  </w:footnote>
  <w:footnote w:id="355">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356">
    <w:p>
      <w:pPr>
        <w:pStyle w:val="FootnoteText"/>
      </w:pPr>
      <w:r>
        <w:rPr>
          <w:rStyle w:val="FootnoteReference"/>
        </w:rPr>
        <w:footnoteRef/>
      </w:r>
      <w:r>
        <w:t xml:space="preserve"> </w:t>
      </w:r>
      <w:r>
        <w:t xml:space="preserve">CUNY Academic Paper (2021).</w:t>
      </w:r>
      <w:r>
        <w:t xml:space="preserve"> </w:t>
      </w:r>
      <w:r>
        <w:t xml:space="preserve">“</w:t>
      </w:r>
      <w:r>
        <w:t xml:space="preserve">Exploiting Closed-End Fund Discounts: Bias-Adjusted Mean Reversion Strategies.</w:t>
      </w:r>
      <w:r>
        <w:t xml:space="preserve">”</w:t>
      </w:r>
    </w:p>
  </w:footnote>
  <w:footnote w:id="357">
    <w:p>
      <w:pPr>
        <w:pStyle w:val="FootnoteText"/>
      </w:pPr>
      <w:r>
        <w:rPr>
          <w:rStyle w:val="FootnoteReference"/>
        </w:rPr>
        <w:footnoteRef/>
      </w:r>
      <w:r>
        <w:t xml:space="preserve"> </w:t>
      </w:r>
      <w:r>
        <w:t xml:space="preserve">CoinGecko (2025).</w:t>
      </w:r>
      <w:r>
        <w:t xml:space="preserve"> </w:t>
      </w:r>
      <w:r>
        <w:t xml:space="preserve">“</w:t>
      </w:r>
      <w:r>
        <w:t xml:space="preserve">2025 State of Memecoins Report.</w:t>
      </w:r>
      <w:r>
        <w:t xml:space="preserve">”</w:t>
      </w:r>
    </w:p>
  </w:footnote>
  <w:footnote w:id="358">
    <w:p>
      <w:pPr>
        <w:pStyle w:val="FootnoteText"/>
      </w:pPr>
      <w:r>
        <w:rPr>
          <w:rStyle w:val="FootnoteReference"/>
        </w:rPr>
        <w:footnoteRef/>
      </w:r>
      <w:r>
        <w:t xml:space="preserve"> </w:t>
      </w:r>
      <w:r>
        <w:t xml:space="preserve">CUNY Academic Paper (2021).</w:t>
      </w:r>
      <w:r>
        <w:t xml:space="preserve"> </w:t>
      </w:r>
      <w:r>
        <w:t xml:space="preserve">“</w:t>
      </w:r>
      <w:r>
        <w:t xml:space="preserve">Exploiting Closed-End Fund Discounts: Bias-Adjusted Mean Reversion Strategies.</w:t>
      </w:r>
      <w:r>
        <w:t xml:space="preserve">”</w:t>
      </w:r>
    </w:p>
  </w:footnote>
  <w:footnote w:id="359">
    <w:p>
      <w:pPr>
        <w:pStyle w:val="FootnoteText"/>
      </w:pPr>
      <w:r>
        <w:rPr>
          <w:rStyle w:val="FootnoteReference"/>
        </w:rPr>
        <w:footnoteRef/>
      </w:r>
      <w:r>
        <w:t xml:space="preserve"> </w:t>
      </w:r>
      <w:r>
        <w:t xml:space="preserve">CUNY Academic Paper (2021).</w:t>
      </w:r>
      <w:r>
        <w:t xml:space="preserve"> </w:t>
      </w:r>
      <w:r>
        <w:t xml:space="preserve">“</w:t>
      </w:r>
      <w:r>
        <w:t xml:space="preserve">Exploiting Closed-End Fund Discounts: Bias-Adjusted Mean Reversion Strategies.</w:t>
      </w:r>
      <w:r>
        <w:t xml:space="preserve">”</w:t>
      </w:r>
    </w:p>
  </w:footnote>
  <w:footnote w:id="360">
    <w:p>
      <w:pPr>
        <w:pStyle w:val="FootnoteText"/>
      </w:pPr>
      <w:r>
        <w:rPr>
          <w:rStyle w:val="FootnoteReference"/>
        </w:rPr>
        <w:footnoteRef/>
      </w:r>
      <w:r>
        <w:t xml:space="preserve"> </w:t>
      </w:r>
      <w:r>
        <w:t xml:space="preserve">CUNY Academic Paper (2021).</w:t>
      </w:r>
      <w:r>
        <w:t xml:space="preserve"> </w:t>
      </w:r>
      <w:r>
        <w:t xml:space="preserve">“</w:t>
      </w:r>
      <w:r>
        <w:t xml:space="preserve">Exploiting Closed-End Fund Discounts: Bias-Adjusted Mean Reversion Strategies.</w:t>
      </w:r>
      <w:r>
        <w:t xml:space="preserve">”</w:t>
      </w:r>
    </w:p>
  </w:footnote>
  <w:footnote w:id="361">
    <w:p>
      <w:pPr>
        <w:pStyle w:val="FootnoteText"/>
      </w:pPr>
      <w:r>
        <w:rPr>
          <w:rStyle w:val="FootnoteReference"/>
        </w:rPr>
        <w:footnoteRef/>
      </w:r>
      <w:r>
        <w:t xml:space="preserve"> </w:t>
      </w:r>
      <w:r>
        <w:t xml:space="preserve">CUNY Academic Paper (2021).</w:t>
      </w:r>
      <w:r>
        <w:t xml:space="preserve"> </w:t>
      </w:r>
      <w:r>
        <w:t xml:space="preserve">“</w:t>
      </w:r>
      <w:r>
        <w:t xml:space="preserve">Exploiting Closed-End Fund Discounts: Bias-Adjusted Mean Reversion Strategies.</w:t>
      </w:r>
      <w:r>
        <w:t xml:space="preserve">”</w:t>
      </w:r>
    </w:p>
  </w:footnote>
  <w:footnote w:id="362">
    <w:p>
      <w:pPr>
        <w:pStyle w:val="FootnoteText"/>
      </w:pPr>
      <w:r>
        <w:rPr>
          <w:rStyle w:val="FootnoteReference"/>
        </w:rPr>
        <w:footnoteRef/>
      </w:r>
      <w:r>
        <w:t xml:space="preserve"> </w:t>
      </w:r>
      <w:r>
        <w:t xml:space="preserve">Li, Y., Shim, J. &amp; Song, J. (2025).</w:t>
      </w:r>
      <w:r>
        <w:t xml:space="preserve"> </w:t>
      </w:r>
      <w:r>
        <w:t xml:space="preserve">“</w:t>
      </w:r>
      <w:r>
        <w:t xml:space="preserve">Exploring Risk and Return Profiles of Funding Rate Arbitrage on CEX and DEX.</w:t>
      </w:r>
      <w:r>
        <w:t xml:space="preserve">”</w:t>
      </w:r>
      <w:r>
        <w:t xml:space="preserve"> </w:t>
      </w:r>
      <w:r>
        <w:rPr>
          <w:iCs/>
          <w:i/>
        </w:rPr>
        <w:t xml:space="preserve">Journal of Zhejiang University</w:t>
      </w:r>
      <w:r>
        <w:t xml:space="preserve">.</w:t>
      </w:r>
    </w:p>
  </w:footnote>
  <w:footnote w:id="363">
    <w:p>
      <w:pPr>
        <w:pStyle w:val="FootnoteText"/>
      </w:pPr>
      <w:r>
        <w:rPr>
          <w:rStyle w:val="FootnoteReference"/>
        </w:rPr>
        <w:footnoteRef/>
      </w:r>
      <w:r>
        <w:t xml:space="preserve"> </w:t>
      </w:r>
      <w:r>
        <w:t xml:space="preserve">Burnside, C., Eichenbaum, M. &amp; Rebelo, S. (2011).</w:t>
      </w:r>
      <w:r>
        <w:t xml:space="preserve"> </w:t>
      </w:r>
      <w:r>
        <w:t xml:space="preserve">“</w:t>
      </w:r>
      <w:r>
        <w:t xml:space="preserve">Carry Trade and Momentum in Currency Markets.</w:t>
      </w:r>
      <w:r>
        <w:t xml:space="preserve">”</w:t>
      </w:r>
      <w:r>
        <w:t xml:space="preserve"> </w:t>
      </w:r>
      <w:r>
        <w:rPr>
          <w:iCs/>
          <w:i/>
        </w:rPr>
        <w:t xml:space="preserve">NBER Reporter</w:t>
      </w:r>
      <w:r>
        <w:t xml:space="preserve">.</w:t>
      </w:r>
    </w:p>
  </w:footnote>
  <w:footnote w:id="365">
    <w:p>
      <w:pPr>
        <w:pStyle w:val="FootnoteText"/>
      </w:pPr>
      <w:r>
        <w:rPr>
          <w:rStyle w:val="FootnoteReference"/>
        </w:rPr>
        <w:footnoteRef/>
      </w:r>
      <w:r>
        <w:t xml:space="preserve"> </w:t>
      </w:r>
      <w:r>
        <w:t xml:space="preserve">Da, Z., Liu, Q. &amp; Schaumburg, E. (2014).</w:t>
      </w:r>
      <w:r>
        <w:t xml:space="preserve"> </w:t>
      </w:r>
      <w:r>
        <w:t xml:space="preserve">“</w:t>
      </w:r>
      <w:r>
        <w:t xml:space="preserve">A Closer Look at the Short-term Return Reversal.</w:t>
      </w:r>
      <w:r>
        <w:t xml:space="preserve">”</w:t>
      </w:r>
      <w:r>
        <w:t xml:space="preserve"> </w:t>
      </w:r>
      <w:r>
        <w:rPr>
          <w:iCs/>
          <w:i/>
        </w:rPr>
        <w:t xml:space="preserve">Management Science</w:t>
      </w:r>
      <w:r>
        <w:t xml:space="preserve">.</w:t>
      </w:r>
    </w:p>
  </w:footnote>
  <w:footnote w:id="366">
    <w:p>
      <w:pPr>
        <w:pStyle w:val="FootnoteText"/>
      </w:pPr>
      <w:r>
        <w:rPr>
          <w:rStyle w:val="FootnoteReference"/>
        </w:rPr>
        <w:footnoteRef/>
      </w:r>
      <w:r>
        <w:t xml:space="preserve"> </w:t>
      </w:r>
      <w:r>
        <w:t xml:space="preserve">CoinGecko (2025).</w:t>
      </w:r>
      <w:r>
        <w:t xml:space="preserve"> </w:t>
      </w:r>
      <w:r>
        <w:t xml:space="preserve">“</w:t>
      </w:r>
      <w:r>
        <w:t xml:space="preserve">2025 State of Memecoins Report.</w:t>
      </w:r>
      <w:r>
        <w:t xml:space="preserve">”</w:t>
      </w:r>
    </w:p>
  </w:footnote>
  <w:footnote w:id="367">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368">
    <w:p>
      <w:pPr>
        <w:pStyle w:val="FootnoteText"/>
      </w:pPr>
      <w:r>
        <w:rPr>
          <w:rStyle w:val="FootnoteReference"/>
        </w:rPr>
        <w:footnoteRef/>
      </w:r>
      <w:r>
        <w:t xml:space="preserve"> </w:t>
      </w:r>
      <w:r>
        <w:t xml:space="preserve">Da, Z., Liu, Q. &amp; Schaumburg, E. (2014).</w:t>
      </w:r>
      <w:r>
        <w:t xml:space="preserve"> </w:t>
      </w:r>
      <w:r>
        <w:t xml:space="preserve">“</w:t>
      </w:r>
      <w:r>
        <w:t xml:space="preserve">A Closer Look at the Short-term Return Reversal.</w:t>
      </w:r>
      <w:r>
        <w:t xml:space="preserve">”</w:t>
      </w:r>
      <w:r>
        <w:t xml:space="preserve"> </w:t>
      </w:r>
      <w:r>
        <w:rPr>
          <w:iCs/>
          <w:i/>
        </w:rPr>
        <w:t xml:space="preserve">Management Science</w:t>
      </w:r>
      <w:r>
        <w:t xml:space="preserve">.</w:t>
      </w:r>
    </w:p>
  </w:footnote>
  <w:footnote w:id="370">
    <w:p>
      <w:pPr>
        <w:pStyle w:val="FootnoteText"/>
      </w:pPr>
      <w:r>
        <w:rPr>
          <w:rStyle w:val="FootnoteReference"/>
        </w:rPr>
        <w:footnoteRef/>
      </w:r>
      <w:r>
        <w:t xml:space="preserve"> </w:t>
      </w:r>
      <w:r>
        <w:t xml:space="preserve">Da, Z., Liu, Q. &amp; Schaumburg, E. (2014).</w:t>
      </w:r>
      <w:r>
        <w:t xml:space="preserve"> </w:t>
      </w:r>
      <w:r>
        <w:t xml:space="preserve">“</w:t>
      </w:r>
      <w:r>
        <w:t xml:space="preserve">A Closer Look at the Short-term Return Reversal.</w:t>
      </w:r>
      <w:r>
        <w:t xml:space="preserve">”</w:t>
      </w:r>
      <w:r>
        <w:t xml:space="preserve"> </w:t>
      </w:r>
      <w:r>
        <w:rPr>
          <w:iCs/>
          <w:i/>
        </w:rPr>
        <w:t xml:space="preserve">Management Science</w:t>
      </w:r>
      <w:r>
        <w:t xml:space="preserve">.</w:t>
      </w:r>
    </w:p>
  </w:footnote>
  <w:footnote w:id="371">
    <w:p>
      <w:pPr>
        <w:pStyle w:val="FootnoteText"/>
      </w:pPr>
      <w:r>
        <w:rPr>
          <w:rStyle w:val="FootnoteReference"/>
        </w:rPr>
        <w:footnoteRef/>
      </w:r>
      <w:r>
        <w:t xml:space="preserve"> </w:t>
      </w:r>
      <w:r>
        <w:t xml:space="preserve">Da, Z., Liu, Q. &amp; Schaumburg, E. (2014).</w:t>
      </w:r>
      <w:r>
        <w:t xml:space="preserve"> </w:t>
      </w:r>
      <w:r>
        <w:t xml:space="preserve">“</w:t>
      </w:r>
      <w:r>
        <w:t xml:space="preserve">A Closer Look at the Short-term Return Reversal.</w:t>
      </w:r>
      <w:r>
        <w:t xml:space="preserve">”</w:t>
      </w:r>
      <w:r>
        <w:t xml:space="preserve"> </w:t>
      </w:r>
      <w:r>
        <w:rPr>
          <w:iCs/>
          <w:i/>
        </w:rPr>
        <w:t xml:space="preserve">Management Science</w:t>
      </w:r>
      <w:r>
        <w:t xml:space="preserve">.</w:t>
      </w:r>
    </w:p>
  </w:footnote>
  <w:footnote w:id="372">
    <w:p>
      <w:pPr>
        <w:pStyle w:val="FootnoteText"/>
      </w:pPr>
      <w:r>
        <w:rPr>
          <w:rStyle w:val="FootnoteReference"/>
        </w:rPr>
        <w:footnoteRef/>
      </w:r>
      <w:r>
        <w:t xml:space="preserve"> </w:t>
      </w:r>
      <w:r>
        <w:t xml:space="preserve">“</w:t>
      </w:r>
      <w:r>
        <w:t xml:space="preserve">Understanding Meme Coin Trends Through Sentiment Analysis.</w:t>
      </w:r>
      <w:r>
        <w:t xml:space="preserve">”</w:t>
      </w:r>
      <w:r>
        <w:t xml:space="preserve"> </w:t>
      </w:r>
      <w:r>
        <w:t xml:space="preserve">(2025).</w:t>
      </w:r>
      <w:r>
        <w:t xml:space="preserve"> </w:t>
      </w:r>
      <w:r>
        <w:rPr>
          <w:iCs/>
          <w:i/>
        </w:rPr>
        <w:t xml:space="preserve">IJRASET</w:t>
      </w:r>
      <w:r>
        <w:t xml:space="preserve">.</w:t>
      </w:r>
    </w:p>
  </w:footnote>
  <w:footnote w:id="373">
    <w:p>
      <w:pPr>
        <w:pStyle w:val="FootnoteText"/>
      </w:pPr>
      <w:r>
        <w:rPr>
          <w:rStyle w:val="FootnoteReference"/>
        </w:rPr>
        <w:footnoteRef/>
      </w:r>
      <w:r>
        <w:t xml:space="preserve"> </w:t>
      </w:r>
      <w:r>
        <w:t xml:space="preserve">Li, Y., Shim, J. &amp; Song, J. (2025).</w:t>
      </w:r>
      <w:r>
        <w:t xml:space="preserve"> </w:t>
      </w:r>
      <w:r>
        <w:t xml:space="preserve">“</w:t>
      </w:r>
      <w:r>
        <w:t xml:space="preserve">Exploring Risk and Return Profiles of Funding Rate Arbitrage on CEX and DEX.</w:t>
      </w:r>
      <w:r>
        <w:t xml:space="preserve">”</w:t>
      </w:r>
      <w:r>
        <w:t xml:space="preserve"> </w:t>
      </w:r>
      <w:r>
        <w:rPr>
          <w:iCs/>
          <w:i/>
        </w:rPr>
        <w:t xml:space="preserve">Journal of Zhejiang University</w:t>
      </w:r>
      <w:r>
        <w:t xml:space="preserve">.</w:t>
      </w:r>
    </w:p>
  </w:footnote>
  <w:footnote w:id="374">
    <w:p>
      <w:pPr>
        <w:pStyle w:val="FootnoteText"/>
      </w:pPr>
      <w:r>
        <w:rPr>
          <w:rStyle w:val="FootnoteReference"/>
        </w:rPr>
        <w:footnoteRef/>
      </w:r>
      <w:r>
        <w:t xml:space="preserve"> </w:t>
      </w:r>
      <w:r>
        <w:t xml:space="preserve">“</w:t>
      </w:r>
      <w:r>
        <w:t xml:space="preserve">Understanding Meme Coin Trends Through Sentiment Analysis.</w:t>
      </w:r>
      <w:r>
        <w:t xml:space="preserve">”</w:t>
      </w:r>
      <w:r>
        <w:t xml:space="preserve"> </w:t>
      </w:r>
      <w:r>
        <w:t xml:space="preserve">(2025).</w:t>
      </w:r>
      <w:r>
        <w:t xml:space="preserve"> </w:t>
      </w:r>
      <w:r>
        <w:rPr>
          <w:iCs/>
          <w:i/>
        </w:rPr>
        <w:t xml:space="preserve">IJRASET</w:t>
      </w:r>
      <w:r>
        <w:t xml:space="preserve">.</w:t>
      </w:r>
    </w:p>
  </w:footnote>
  <w:footnote w:id="375">
    <w:p>
      <w:pPr>
        <w:pStyle w:val="FootnoteText"/>
      </w:pPr>
      <w:r>
        <w:rPr>
          <w:rStyle w:val="FootnoteReference"/>
        </w:rPr>
        <w:footnoteRef/>
      </w:r>
      <w:r>
        <w:t xml:space="preserve"> </w:t>
      </w:r>
      <w:r>
        <w:t xml:space="preserve">“</w:t>
      </w:r>
      <w:r>
        <w:t xml:space="preserve">Understanding Meme Coin Trends Through Sentiment Analysis.</w:t>
      </w:r>
      <w:r>
        <w:t xml:space="preserve">”</w:t>
      </w:r>
      <w:r>
        <w:t xml:space="preserve"> </w:t>
      </w:r>
      <w:r>
        <w:t xml:space="preserve">(2025).</w:t>
      </w:r>
      <w:r>
        <w:t xml:space="preserve"> </w:t>
      </w:r>
      <w:r>
        <w:rPr>
          <w:iCs/>
          <w:i/>
        </w:rPr>
        <w:t xml:space="preserve">IJRASET</w:t>
      </w:r>
      <w:r>
        <w:t xml:space="preserve">.</w:t>
      </w:r>
    </w:p>
  </w:footnote>
  <w:footnote w:id="377">
    <w:p>
      <w:pPr>
        <w:pStyle w:val="FootnoteText"/>
      </w:pPr>
      <w:r>
        <w:rPr>
          <w:rStyle w:val="FootnoteReference"/>
        </w:rPr>
        <w:footnoteRef/>
      </w:r>
      <w:r>
        <w:t xml:space="preserve"> </w:t>
      </w:r>
      <w:r>
        <w:t xml:space="preserve">Da, Z., Liu, Q. &amp; Schaumburg, E. (2014).</w:t>
      </w:r>
      <w:r>
        <w:t xml:space="preserve"> </w:t>
      </w:r>
      <w:r>
        <w:t xml:space="preserve">“</w:t>
      </w:r>
      <w:r>
        <w:t xml:space="preserve">A Closer Look at the Short-term Return Reversal.</w:t>
      </w:r>
      <w:r>
        <w:t xml:space="preserve">”</w:t>
      </w:r>
      <w:r>
        <w:t xml:space="preserve"> </w:t>
      </w:r>
      <w:r>
        <w:rPr>
          <w:iCs/>
          <w:i/>
        </w:rPr>
        <w:t xml:space="preserve">Management Science</w:t>
      </w:r>
      <w:r>
        <w:t xml:space="preserve">.</w:t>
      </w:r>
    </w:p>
  </w:footnote>
  <w:footnote w:id="378">
    <w:p>
      <w:pPr>
        <w:pStyle w:val="FootnoteText"/>
      </w:pPr>
      <w:r>
        <w:rPr>
          <w:rStyle w:val="FootnoteReference"/>
        </w:rPr>
        <w:footnoteRef/>
      </w:r>
      <w:r>
        <w:t xml:space="preserve"> </w:t>
      </w:r>
      <w:r>
        <w:t xml:space="preserve">Da, Z., Liu, Q. &amp; Schaumburg, E. (2014).</w:t>
      </w:r>
      <w:r>
        <w:t xml:space="preserve"> </w:t>
      </w:r>
      <w:r>
        <w:t xml:space="preserve">“</w:t>
      </w:r>
      <w:r>
        <w:t xml:space="preserve">A Closer Look at the Short-term Return Reversal.</w:t>
      </w:r>
      <w:r>
        <w:t xml:space="preserve">”</w:t>
      </w:r>
      <w:r>
        <w:t xml:space="preserve"> </w:t>
      </w:r>
      <w:r>
        <w:rPr>
          <w:iCs/>
          <w:i/>
        </w:rPr>
        <w:t xml:space="preserve">Management Science</w:t>
      </w:r>
      <w:r>
        <w:t xml:space="preserve">.</w:t>
      </w:r>
    </w:p>
  </w:footnote>
  <w:footnote w:id="379">
    <w:p>
      <w:pPr>
        <w:pStyle w:val="FootnoteText"/>
      </w:pPr>
      <w:r>
        <w:rPr>
          <w:rStyle w:val="FootnoteReference"/>
        </w:rPr>
        <w:footnoteRef/>
      </w:r>
      <w:r>
        <w:t xml:space="preserve"> </w:t>
      </w:r>
      <w:r>
        <w:t xml:space="preserve">Da, Z., Liu, Q. &amp; Schaumburg, E. (2014).</w:t>
      </w:r>
      <w:r>
        <w:t xml:space="preserve"> </w:t>
      </w:r>
      <w:r>
        <w:t xml:space="preserve">“</w:t>
      </w:r>
      <w:r>
        <w:t xml:space="preserve">A Closer Look at the Short-term Return Reversal.</w:t>
      </w:r>
      <w:r>
        <w:t xml:space="preserve">”</w:t>
      </w:r>
      <w:r>
        <w:t xml:space="preserve"> </w:t>
      </w:r>
      <w:r>
        <w:rPr>
          <w:iCs/>
          <w:i/>
        </w:rPr>
        <w:t xml:space="preserve">Management Science</w:t>
      </w:r>
      <w:r>
        <w:t xml:space="preserve">.</w:t>
      </w:r>
    </w:p>
  </w:footnote>
  <w:footnote w:id="381">
    <w:p>
      <w:pPr>
        <w:pStyle w:val="FootnoteText"/>
      </w:pPr>
      <w:r>
        <w:rPr>
          <w:rStyle w:val="FootnoteReference"/>
        </w:rPr>
        <w:footnoteRef/>
      </w:r>
      <w:r>
        <w:t xml:space="preserve"> </w:t>
      </w:r>
      <w:r>
        <w:t xml:space="preserve">Da, Z., Liu, Q. &amp; Schaumburg, E. (2014).</w:t>
      </w:r>
      <w:r>
        <w:t xml:space="preserve"> </w:t>
      </w:r>
      <w:r>
        <w:t xml:space="preserve">“</w:t>
      </w:r>
      <w:r>
        <w:t xml:space="preserve">A Closer Look at the Short-term Return Reversal.</w:t>
      </w:r>
      <w:r>
        <w:t xml:space="preserve">”</w:t>
      </w:r>
      <w:r>
        <w:t xml:space="preserve"> </w:t>
      </w:r>
      <w:r>
        <w:rPr>
          <w:iCs/>
          <w:i/>
        </w:rPr>
        <w:t xml:space="preserve">Management Science</w:t>
      </w:r>
      <w:r>
        <w:t xml:space="preserve">.</w:t>
      </w:r>
    </w:p>
  </w:footnote>
  <w:footnote w:id="382">
    <w:p>
      <w:pPr>
        <w:pStyle w:val="FootnoteText"/>
      </w:pPr>
      <w:r>
        <w:rPr>
          <w:rStyle w:val="FootnoteReference"/>
        </w:rPr>
        <w:footnoteRef/>
      </w:r>
      <w:r>
        <w:t xml:space="preserve"> </w:t>
      </w:r>
      <w:r>
        <w:t xml:space="preserve">CoinGecko (2025).</w:t>
      </w:r>
      <w:r>
        <w:t xml:space="preserve"> </w:t>
      </w:r>
      <w:r>
        <w:t xml:space="preserve">“</w:t>
      </w:r>
      <w:r>
        <w:t xml:space="preserve">2025 State of Memecoins Report.</w:t>
      </w:r>
      <w:r>
        <w:t xml:space="preserve">”</w:t>
      </w:r>
    </w:p>
  </w:footnote>
  <w:footnote w:id="388">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389">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390">
    <w:p>
      <w:pPr>
        <w:pStyle w:val="FootnoteText"/>
      </w:pPr>
      <w:r>
        <w:rPr>
          <w:rStyle w:val="FootnoteReference"/>
        </w:rPr>
        <w:footnoteRef/>
      </w:r>
      <w:r>
        <w:t xml:space="preserve"> </w:t>
      </w:r>
      <w:r>
        <w:t xml:space="preserve">Li, Y., Shim, J. &amp; Song, J. (2025).</w:t>
      </w:r>
      <w:r>
        <w:t xml:space="preserve"> </w:t>
      </w:r>
      <w:r>
        <w:t xml:space="preserve">“</w:t>
      </w:r>
      <w:r>
        <w:t xml:space="preserve">Exploring Risk and Return Profiles of Funding Rate Arbitrage on CEX and DEX.</w:t>
      </w:r>
      <w:r>
        <w:t xml:space="preserve">”</w:t>
      </w:r>
      <w:r>
        <w:t xml:space="preserve"> </w:t>
      </w:r>
      <w:r>
        <w:rPr>
          <w:iCs/>
          <w:i/>
        </w:rPr>
        <w:t xml:space="preserve">Journal of Zhejiang University</w:t>
      </w:r>
      <w:r>
        <w:t xml:space="preserve">.</w:t>
      </w:r>
    </w:p>
  </w:footnote>
  <w:footnote w:id="391">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392">
    <w:p>
      <w:pPr>
        <w:pStyle w:val="FootnoteText"/>
      </w:pPr>
      <w:r>
        <w:rPr>
          <w:rStyle w:val="FootnoteReference"/>
        </w:rPr>
        <w:footnoteRef/>
      </w:r>
      <w:r>
        <w:t xml:space="preserve"> </w:t>
      </w:r>
      <w:r>
        <w:t xml:space="preserve">Li, Y., Shim, J. &amp; Song, J. (2025).</w:t>
      </w:r>
      <w:r>
        <w:t xml:space="preserve"> </w:t>
      </w:r>
      <w:r>
        <w:t xml:space="preserve">“</w:t>
      </w:r>
      <w:r>
        <w:t xml:space="preserve">Exploring Risk and Return Profiles of Funding Rate Arbitrage on CEX and DEX.</w:t>
      </w:r>
      <w:r>
        <w:t xml:space="preserve">”</w:t>
      </w:r>
      <w:r>
        <w:t xml:space="preserve"> </w:t>
      </w:r>
      <w:r>
        <w:rPr>
          <w:iCs/>
          <w:i/>
        </w:rPr>
        <w:t xml:space="preserve">Journal of Zhejiang University</w:t>
      </w:r>
      <w:r>
        <w:t xml:space="preserve">.</w:t>
      </w:r>
    </w:p>
  </w:footnote>
  <w:footnote w:id="393">
    <w:p>
      <w:pPr>
        <w:pStyle w:val="FootnoteText"/>
      </w:pPr>
      <w:r>
        <w:rPr>
          <w:rStyle w:val="FootnoteReference"/>
        </w:rPr>
        <w:footnoteRef/>
      </w:r>
      <w:r>
        <w:t xml:space="preserve"> </w:t>
      </w:r>
      <w:r>
        <w:t xml:space="preserve">Li, Y., Shim, J. &amp; Song, J. (2025).</w:t>
      </w:r>
      <w:r>
        <w:t xml:space="preserve"> </w:t>
      </w:r>
      <w:r>
        <w:t xml:space="preserve">“</w:t>
      </w:r>
      <w:r>
        <w:t xml:space="preserve">Exploring Risk and Return Profiles of Funding Rate Arbitrage on CEX and DEX.</w:t>
      </w:r>
      <w:r>
        <w:t xml:space="preserve">”</w:t>
      </w:r>
      <w:r>
        <w:t xml:space="preserve"> </w:t>
      </w:r>
      <w:r>
        <w:rPr>
          <w:iCs/>
          <w:i/>
        </w:rPr>
        <w:t xml:space="preserve">Journal of Zhejiang University</w:t>
      </w:r>
      <w:r>
        <w:t xml:space="preserve">.</w:t>
      </w:r>
    </w:p>
  </w:footnote>
  <w:footnote w:id="394">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395">
    <w:p>
      <w:pPr>
        <w:pStyle w:val="FootnoteText"/>
      </w:pPr>
      <w:r>
        <w:rPr>
          <w:rStyle w:val="FootnoteReference"/>
        </w:rPr>
        <w:footnoteRef/>
      </w:r>
      <w:r>
        <w:t xml:space="preserve"> </w:t>
      </w:r>
      <w:r>
        <w:t xml:space="preserve">Li, Y., Shim, J. &amp; Song, J. (2025).</w:t>
      </w:r>
      <w:r>
        <w:t xml:space="preserve"> </w:t>
      </w:r>
      <w:r>
        <w:t xml:space="preserve">“</w:t>
      </w:r>
      <w:r>
        <w:t xml:space="preserve">Exploring Risk and Return Profiles of Funding Rate Arbitrage on CEX and DEX.</w:t>
      </w:r>
      <w:r>
        <w:t xml:space="preserve">”</w:t>
      </w:r>
      <w:r>
        <w:t xml:space="preserve"> </w:t>
      </w:r>
      <w:r>
        <w:rPr>
          <w:iCs/>
          <w:i/>
        </w:rPr>
        <w:t xml:space="preserve">Journal of Zhejiang University</w:t>
      </w:r>
      <w:r>
        <w:t xml:space="preserve">.</w:t>
      </w:r>
    </w:p>
  </w:footnote>
  <w:footnote w:id="396">
    <w:p>
      <w:pPr>
        <w:pStyle w:val="FootnoteText"/>
      </w:pPr>
      <w:r>
        <w:rPr>
          <w:rStyle w:val="FootnoteReference"/>
        </w:rPr>
        <w:footnoteRef/>
      </w:r>
      <w:r>
        <w:t xml:space="preserve"> </w:t>
      </w:r>
      <w:r>
        <w:t xml:space="preserve">Burnside, C., Eichenbaum, M. &amp; Rebelo, S. (2011).</w:t>
      </w:r>
      <w:r>
        <w:t xml:space="preserve"> </w:t>
      </w:r>
      <w:r>
        <w:t xml:space="preserve">“</w:t>
      </w:r>
      <w:r>
        <w:t xml:space="preserve">Carry Trade and Momentum in Currency Markets.</w:t>
      </w:r>
      <w:r>
        <w:t xml:space="preserve">”</w:t>
      </w:r>
      <w:r>
        <w:t xml:space="preserve"> </w:t>
      </w:r>
      <w:r>
        <w:rPr>
          <w:iCs/>
          <w:i/>
        </w:rPr>
        <w:t xml:space="preserve">NBER Reporter</w:t>
      </w:r>
      <w:r>
        <w:t xml:space="preserve">.</w:t>
      </w:r>
    </w:p>
  </w:footnote>
  <w:footnote w:id="397">
    <w:p>
      <w:pPr>
        <w:pStyle w:val="FootnoteText"/>
      </w:pPr>
      <w:r>
        <w:rPr>
          <w:rStyle w:val="FootnoteReference"/>
        </w:rPr>
        <w:footnoteRef/>
      </w:r>
      <w:r>
        <w:t xml:space="preserve"> </w:t>
      </w:r>
      <w:r>
        <w:t xml:space="preserve">Li, Y., Shim, J. &amp; Song, J. (2025).</w:t>
      </w:r>
      <w:r>
        <w:t xml:space="preserve"> </w:t>
      </w:r>
      <w:r>
        <w:t xml:space="preserve">“</w:t>
      </w:r>
      <w:r>
        <w:t xml:space="preserve">Exploring Risk and Return Profiles of Funding Rate Arbitrage on CEX and DEX.</w:t>
      </w:r>
      <w:r>
        <w:t xml:space="preserve">”</w:t>
      </w:r>
      <w:r>
        <w:t xml:space="preserve"> </w:t>
      </w:r>
      <w:r>
        <w:rPr>
          <w:iCs/>
          <w:i/>
        </w:rPr>
        <w:t xml:space="preserve">Journal of Zhejiang University</w:t>
      </w:r>
      <w:r>
        <w:t xml:space="preserve">.</w:t>
      </w:r>
    </w:p>
  </w:footnote>
  <w:footnote w:id="398">
    <w:p>
      <w:pPr>
        <w:pStyle w:val="FootnoteText"/>
      </w:pPr>
      <w:r>
        <w:rPr>
          <w:rStyle w:val="FootnoteReference"/>
        </w:rPr>
        <w:footnoteRef/>
      </w:r>
      <w:r>
        <w:t xml:space="preserve"> </w:t>
      </w:r>
      <w:r>
        <w:t xml:space="preserve">CUNY Academic Paper (2021).</w:t>
      </w:r>
      <w:r>
        <w:t xml:space="preserve"> </w:t>
      </w:r>
      <w:r>
        <w:t xml:space="preserve">“</w:t>
      </w:r>
      <w:r>
        <w:t xml:space="preserve">Exploiting Closed-End Fund Discounts: Bias-Adjusted Mean Reversion Strategies.</w:t>
      </w:r>
      <w:r>
        <w:t xml:space="preserve">”</w:t>
      </w:r>
    </w:p>
  </w:footnote>
  <w:footnote w:id="399">
    <w:p>
      <w:pPr>
        <w:pStyle w:val="FootnoteText"/>
      </w:pPr>
      <w:r>
        <w:rPr>
          <w:rStyle w:val="FootnoteReference"/>
        </w:rPr>
        <w:footnoteRef/>
      </w:r>
      <w:r>
        <w:t xml:space="preserve"> </w:t>
      </w:r>
      <w:r>
        <w:t xml:space="preserve">CoinGecko (2025).</w:t>
      </w:r>
      <w:r>
        <w:t xml:space="preserve"> </w:t>
      </w:r>
      <w:r>
        <w:t xml:space="preserve">“</w:t>
      </w:r>
      <w:r>
        <w:t xml:space="preserve">2025 State of Memecoins Report.</w:t>
      </w:r>
      <w:r>
        <w:t xml:space="preserve">”</w:t>
      </w:r>
    </w:p>
  </w:footnote>
  <w:footnote w:id="400">
    <w:p>
      <w:pPr>
        <w:pStyle w:val="FootnoteText"/>
      </w:pPr>
      <w:r>
        <w:rPr>
          <w:rStyle w:val="FootnoteReference"/>
        </w:rPr>
        <w:footnoteRef/>
      </w:r>
      <w:r>
        <w:t xml:space="preserve"> </w:t>
      </w:r>
      <w:r>
        <w:t xml:space="preserve">CUNY Academic Paper (2021).</w:t>
      </w:r>
      <w:r>
        <w:t xml:space="preserve"> </w:t>
      </w:r>
      <w:r>
        <w:t xml:space="preserve">“</w:t>
      </w:r>
      <w:r>
        <w:t xml:space="preserve">Exploiting Closed-End Fund Discounts: Bias-Adjusted Mean Reversion Strategies.</w:t>
      </w:r>
      <w:r>
        <w:t xml:space="preserve">”</w:t>
      </w:r>
    </w:p>
  </w:footnote>
  <w:footnote w:id="401">
    <w:p>
      <w:pPr>
        <w:pStyle w:val="FootnoteText"/>
      </w:pPr>
      <w:r>
        <w:rPr>
          <w:rStyle w:val="FootnoteReference"/>
        </w:rPr>
        <w:footnoteRef/>
      </w:r>
      <w:r>
        <w:t xml:space="preserve"> </w:t>
      </w:r>
      <w:r>
        <w:t xml:space="preserve">CoinGecko (2025).</w:t>
      </w:r>
      <w:r>
        <w:t xml:space="preserve"> </w:t>
      </w:r>
      <w:r>
        <w:t xml:space="preserve">“</w:t>
      </w:r>
      <w:r>
        <w:t xml:space="preserve">2025 State of Memecoins Report.</w:t>
      </w:r>
      <w:r>
        <w:t xml:space="preserve">”</w:t>
      </w:r>
    </w:p>
  </w:footnote>
  <w:footnote w:id="402">
    <w:p>
      <w:pPr>
        <w:pStyle w:val="FootnoteText"/>
      </w:pPr>
      <w:r>
        <w:rPr>
          <w:rStyle w:val="FootnoteReference"/>
        </w:rPr>
        <w:footnoteRef/>
      </w:r>
      <w:r>
        <w:t xml:space="preserve"> </w:t>
      </w:r>
      <w:r>
        <w:t xml:space="preserve">“</w:t>
      </w:r>
      <w:r>
        <w:t xml:space="preserve">Understanding Meme Coin Trends Through Sentiment Analysis.</w:t>
      </w:r>
      <w:r>
        <w:t xml:space="preserve">”</w:t>
      </w:r>
      <w:r>
        <w:t xml:space="preserve"> </w:t>
      </w:r>
      <w:r>
        <w:t xml:space="preserve">(2025).</w:t>
      </w:r>
      <w:r>
        <w:t xml:space="preserve"> </w:t>
      </w:r>
      <w:r>
        <w:rPr>
          <w:iCs/>
          <w:i/>
        </w:rPr>
        <w:t xml:space="preserve">IJRASET</w:t>
      </w:r>
      <w:r>
        <w:t xml:space="preserve">.</w:t>
      </w:r>
    </w:p>
  </w:footnote>
  <w:footnote w:id="403">
    <w:p>
      <w:pPr>
        <w:pStyle w:val="FootnoteText"/>
      </w:pPr>
      <w:r>
        <w:rPr>
          <w:rStyle w:val="FootnoteReference"/>
        </w:rPr>
        <w:footnoteRef/>
      </w:r>
      <w:r>
        <w:t xml:space="preserve"> </w:t>
      </w:r>
      <w:r>
        <w:t xml:space="preserve">CUNY Academic Paper (2021).</w:t>
      </w:r>
      <w:r>
        <w:t xml:space="preserve"> </w:t>
      </w:r>
      <w:r>
        <w:t xml:space="preserve">“</w:t>
      </w:r>
      <w:r>
        <w:t xml:space="preserve">Exploiting Closed-End Fund Discounts: Bias-Adjusted Mean Reversion Strategies.</w:t>
      </w:r>
      <w:r>
        <w:t xml:space="preserve">”</w:t>
      </w:r>
    </w:p>
  </w:footnote>
  <w:footnote w:id="404">
    <w:p>
      <w:pPr>
        <w:pStyle w:val="FootnoteText"/>
      </w:pPr>
      <w:r>
        <w:rPr>
          <w:rStyle w:val="FootnoteReference"/>
        </w:rPr>
        <w:footnoteRef/>
      </w:r>
      <w:r>
        <w:t xml:space="preserve"> </w:t>
      </w:r>
      <w:r>
        <w:t xml:space="preserve">Da, Z., Liu, Q. &amp; Schaumburg, E. (2014).</w:t>
      </w:r>
      <w:r>
        <w:t xml:space="preserve"> </w:t>
      </w:r>
      <w:r>
        <w:t xml:space="preserve">“</w:t>
      </w:r>
      <w:r>
        <w:t xml:space="preserve">A Closer Look at the Short-term Return Reversal.</w:t>
      </w:r>
      <w:r>
        <w:t xml:space="preserve">”</w:t>
      </w:r>
      <w:r>
        <w:t xml:space="preserve"> </w:t>
      </w:r>
      <w:r>
        <w:rPr>
          <w:iCs/>
          <w:i/>
        </w:rPr>
        <w:t xml:space="preserve">Management Science</w:t>
      </w:r>
      <w:r>
        <w:t xml:space="preserve">.</w:t>
      </w:r>
    </w:p>
  </w:footnote>
  <w:footnote w:id="405">
    <w:p>
      <w:pPr>
        <w:pStyle w:val="FootnoteText"/>
      </w:pPr>
      <w:r>
        <w:rPr>
          <w:rStyle w:val="FootnoteReference"/>
        </w:rPr>
        <w:footnoteRef/>
      </w:r>
      <w:r>
        <w:t xml:space="preserve"> </w:t>
      </w:r>
      <w:r>
        <w:t xml:space="preserve">Liu, W., Zhang, L. &amp; Zhao, S. (2012).</w:t>
      </w:r>
      <w:r>
        <w:t xml:space="preserve"> </w:t>
      </w:r>
      <w:r>
        <w:t xml:space="preserve">“</w:t>
      </w:r>
      <w:r>
        <w:t xml:space="preserve">Explaining Penny Stock Returns.</w:t>
      </w:r>
      <w:r>
        <w:t xml:space="preserve">”</w:t>
      </w:r>
      <w:r>
        <w:t xml:space="preserve"> </w:t>
      </w:r>
      <w:r>
        <w:t xml:space="preserve">Working Paper.</w:t>
      </w:r>
    </w:p>
  </w:footnote>
  <w:footnote w:id="406">
    <w:p>
      <w:pPr>
        <w:pStyle w:val="FootnoteText"/>
      </w:pPr>
      <w:r>
        <w:rPr>
          <w:rStyle w:val="FootnoteReference"/>
        </w:rPr>
        <w:footnoteRef/>
      </w:r>
      <w:r>
        <w:t xml:space="preserve"> </w:t>
      </w:r>
      <w:r>
        <w:t xml:space="preserve">Da, Z., Liu, Q. &amp; Schaumburg, E. (2014).</w:t>
      </w:r>
      <w:r>
        <w:t xml:space="preserve"> </w:t>
      </w:r>
      <w:r>
        <w:t xml:space="preserve">“</w:t>
      </w:r>
      <w:r>
        <w:t xml:space="preserve">A Closer Look at the Short-term Return Reversal.</w:t>
      </w:r>
      <w:r>
        <w:t xml:space="preserve">”</w:t>
      </w:r>
      <w:r>
        <w:t xml:space="preserve"> </w:t>
      </w:r>
      <w:r>
        <w:rPr>
          <w:iCs/>
          <w:i/>
        </w:rPr>
        <w:t xml:space="preserve">Management Science</w:t>
      </w:r>
      <w:r>
        <w:t xml:space="preserve">.</w:t>
      </w:r>
    </w:p>
  </w:footnote>
  <w:footnote w:id="407">
    <w:p>
      <w:pPr>
        <w:pStyle w:val="FootnoteText"/>
      </w:pPr>
      <w:r>
        <w:rPr>
          <w:rStyle w:val="FootnoteReference"/>
        </w:rPr>
        <w:footnoteRef/>
      </w:r>
      <w:r>
        <w:t xml:space="preserve"> </w:t>
      </w:r>
      <w:r>
        <w:t xml:space="preserve">Fuertes, A-M., Miffre, J. &amp; Fernandez-Perez, A. (2015).</w:t>
      </w:r>
      <w:r>
        <w:t xml:space="preserve"> </w:t>
      </w:r>
      <w:r>
        <w:t xml:space="preserve">“</w:t>
      </w:r>
      <w:r>
        <w:t xml:space="preserve">Commodity Strategies Based on Momentum, Term Structure and Idiosyncratic Volatility.</w:t>
      </w:r>
      <w:r>
        <w:t xml:space="preserve">”</w:t>
      </w:r>
      <w:r>
        <w:t xml:space="preserve"> </w:t>
      </w:r>
      <w:r>
        <w:rPr>
          <w:iCs/>
          <w:i/>
        </w:rPr>
        <w:t xml:space="preserve">Journal of Banking &amp; Finance</w:t>
      </w:r>
      <w:r>
        <w:t xml:space="preserve">.</w:t>
      </w:r>
    </w:p>
  </w:footnote>
  <w:footnote w:id="408">
    <w:p>
      <w:pPr>
        <w:pStyle w:val="FootnoteText"/>
      </w:pPr>
      <w:r>
        <w:rPr>
          <w:rStyle w:val="FootnoteReference"/>
        </w:rPr>
        <w:footnoteRef/>
      </w:r>
      <w:r>
        <w:t xml:space="preserve"> </w:t>
      </w:r>
      <w:r>
        <w:t xml:space="preserve">Fuertes, A-M., Miffre, J. &amp; Fernandez-Perez, A. (2015).</w:t>
      </w:r>
      <w:r>
        <w:t xml:space="preserve"> </w:t>
      </w:r>
      <w:r>
        <w:t xml:space="preserve">“</w:t>
      </w:r>
      <w:r>
        <w:t xml:space="preserve">Commodity Strategies Based on Momentum, Term Structure and Idiosyncratic Volatility.</w:t>
      </w:r>
      <w:r>
        <w:t xml:space="preserve">”</w:t>
      </w:r>
      <w:r>
        <w:t xml:space="preserve"> </w:t>
      </w:r>
      <w:r>
        <w:rPr>
          <w:iCs/>
          <w:i/>
        </w:rPr>
        <w:t xml:space="preserve">Journal of Banking &amp; Finance</w:t>
      </w:r>
      <w:r>
        <w:t xml:space="preserve">.</w:t>
      </w:r>
    </w:p>
  </w:footnote>
  <w:footnote w:id="409">
    <w:p>
      <w:pPr>
        <w:pStyle w:val="FootnoteText"/>
      </w:pPr>
      <w:r>
        <w:rPr>
          <w:rStyle w:val="FootnoteReference"/>
        </w:rPr>
        <w:footnoteRef/>
      </w:r>
      <w:r>
        <w:t xml:space="preserve"> </w:t>
      </w:r>
      <w:r>
        <w:t xml:space="preserve">Fuertes, A-M., Miffre, J. &amp; Fernandez-Perez, A. (2015).</w:t>
      </w:r>
      <w:r>
        <w:t xml:space="preserve"> </w:t>
      </w:r>
      <w:r>
        <w:t xml:space="preserve">“</w:t>
      </w:r>
      <w:r>
        <w:t xml:space="preserve">Commodity Strategies Based on Momentum, Term Structure and Idiosyncratic Volatility.</w:t>
      </w:r>
      <w:r>
        <w:t xml:space="preserve">”</w:t>
      </w:r>
      <w:r>
        <w:t xml:space="preserve"> </w:t>
      </w:r>
      <w:r>
        <w:rPr>
          <w:iCs/>
          <w:i/>
        </w:rPr>
        <w:t xml:space="preserve">Journal of Banking &amp; Finance</w:t>
      </w:r>
      <w:r>
        <w:t xml:space="preserve">.</w:t>
      </w:r>
    </w:p>
  </w:footnote>
  <w:footnote w:id="410">
    <w:p>
      <w:pPr>
        <w:pStyle w:val="FootnoteText"/>
      </w:pPr>
      <w:r>
        <w:rPr>
          <w:rStyle w:val="FootnoteReference"/>
        </w:rPr>
        <w:footnoteRef/>
      </w:r>
      <w:r>
        <w:t xml:space="preserve"> </w:t>
      </w:r>
      <w:r>
        <w:t xml:space="preserve">Fuertes, A-M., Miffre, J. &amp; Fernandez-Perez, A. (2015).</w:t>
      </w:r>
      <w:r>
        <w:t xml:space="preserve"> </w:t>
      </w:r>
      <w:r>
        <w:t xml:space="preserve">“</w:t>
      </w:r>
      <w:r>
        <w:t xml:space="preserve">Commodity Strategies Based on Momentum, Term Structure and Idiosyncratic Volatility.</w:t>
      </w:r>
      <w:r>
        <w:t xml:space="preserve">”</w:t>
      </w:r>
      <w:r>
        <w:t xml:space="preserve"> </w:t>
      </w:r>
      <w:r>
        <w:rPr>
          <w:iCs/>
          <w:i/>
        </w:rPr>
        <w:t xml:space="preserve">Journal of Banking &amp; Finance</w:t>
      </w:r>
      <w:r>
        <w:t xml:space="preserve">.</w:t>
      </w:r>
    </w:p>
  </w:footnote>
  <w:footnote w:id="411">
    <w:p>
      <w:pPr>
        <w:pStyle w:val="FootnoteText"/>
      </w:pPr>
      <w:r>
        <w:rPr>
          <w:rStyle w:val="FootnoteReference"/>
        </w:rPr>
        <w:footnoteRef/>
      </w:r>
      <w:r>
        <w:t xml:space="preserve"> </w:t>
      </w:r>
      <w:r>
        <w:t xml:space="preserve">Ghoddusi, H. (2016).</w:t>
      </w:r>
      <w:r>
        <w:t xml:space="preserve"> </w:t>
      </w:r>
      <w:r>
        <w:t xml:space="preserve">“</w:t>
      </w:r>
      <w:r>
        <w:t xml:space="preserve">Maturity Structure of Commodity Roll Strategies.</w:t>
      </w:r>
      <w:r>
        <w:t xml:space="preserve">”</w:t>
      </w:r>
      <w:r>
        <w:t xml:space="preserve"> </w:t>
      </w:r>
      <w:r>
        <w:rPr>
          <w:iCs/>
          <w:i/>
        </w:rPr>
        <w:t xml:space="preserve">SSRN Working Paper</w:t>
      </w:r>
      <w:r>
        <w:t xml:space="preserve">; Gorton, Hayashi &amp; Rouwenhorst (2013),</w:t>
      </w:r>
      <w:r>
        <w:t xml:space="preserve"> </w:t>
      </w:r>
      <w:r>
        <w:rPr>
          <w:iCs/>
          <w:i/>
        </w:rPr>
        <w:t xml:space="preserve">Journal of Financial Economics</w:t>
      </w:r>
      <w:r>
        <w:t xml:space="preserve">; Szymanowska et al. (2014).</w:t>
      </w:r>
    </w:p>
  </w:footnote>
  <w:footnote w:id="412">
    <w:p>
      <w:pPr>
        <w:pStyle w:val="FootnoteText"/>
      </w:pPr>
      <w:r>
        <w:rPr>
          <w:rStyle w:val="FootnoteReference"/>
        </w:rPr>
        <w:footnoteRef/>
      </w:r>
      <w:r>
        <w:t xml:space="preserve"> </w:t>
      </w:r>
      <w:r>
        <w:t xml:space="preserve">Burnside, C., Eichenbaum, M. &amp; Rebelo, S. (2011).</w:t>
      </w:r>
      <w:r>
        <w:t xml:space="preserve"> </w:t>
      </w:r>
      <w:r>
        <w:t xml:space="preserve">“</w:t>
      </w:r>
      <w:r>
        <w:t xml:space="preserve">Carry Trade and Momentum in Currency Markets.</w:t>
      </w:r>
      <w:r>
        <w:t xml:space="preserve">”</w:t>
      </w:r>
      <w:r>
        <w:t xml:space="preserve"> </w:t>
      </w:r>
      <w:r>
        <w:rPr>
          <w:iCs/>
          <w:i/>
        </w:rPr>
        <w:t xml:space="preserve">NBER Reporter</w:t>
      </w:r>
      <w:r>
        <w:t xml:space="preserve">.</w:t>
      </w:r>
    </w:p>
  </w:footnote>
  <w:footnote w:id="413">
    <w:p>
      <w:pPr>
        <w:pStyle w:val="FootnoteText"/>
      </w:pPr>
      <w:r>
        <w:rPr>
          <w:rStyle w:val="FootnoteReference"/>
        </w:rPr>
        <w:footnoteRef/>
      </w:r>
      <w:r>
        <w:t xml:space="preserve"> </w:t>
      </w:r>
      <w:r>
        <w:t xml:space="preserve">Author calculation from expected strategy correlation matrix, source: Appendix B, New Strategies Research (2025).</w:t>
      </w:r>
    </w:p>
  </w:footnote>
  <w:footnote w:id="414">
    <w:p>
      <w:pPr>
        <w:pStyle w:val="FootnoteText"/>
      </w:pPr>
      <w:r>
        <w:rPr>
          <w:rStyle w:val="FootnoteReference"/>
        </w:rPr>
        <w:footnoteRef/>
      </w:r>
      <w:r>
        <w:t xml:space="preserve"> </w:t>
      </w:r>
      <w:r>
        <w:t xml:space="preserve">Ghoddusi, H. (2016).</w:t>
      </w:r>
      <w:r>
        <w:t xml:space="preserve"> </w:t>
      </w:r>
      <w:r>
        <w:t xml:space="preserve">“</w:t>
      </w:r>
      <w:r>
        <w:t xml:space="preserve">Maturity Structure of Commodity Roll Strategies.</w:t>
      </w:r>
      <w:r>
        <w:t xml:space="preserve">”</w:t>
      </w:r>
      <w:r>
        <w:t xml:space="preserve"> </w:t>
      </w:r>
      <w:r>
        <w:rPr>
          <w:iCs/>
          <w:i/>
        </w:rPr>
        <w:t xml:space="preserve">SSRN Working Paper</w:t>
      </w:r>
      <w:r>
        <w:t xml:space="preserve">; Gorton, Hayashi &amp; Rouwenhorst (2013),</w:t>
      </w:r>
      <w:r>
        <w:t xml:space="preserve"> </w:t>
      </w:r>
      <w:r>
        <w:rPr>
          <w:iCs/>
          <w:i/>
        </w:rPr>
        <w:t xml:space="preserve">Journal of Financial Economics</w:t>
      </w:r>
      <w:r>
        <w:t xml:space="preserve">; Szymanowska et al. (2014).</w:t>
      </w:r>
    </w:p>
  </w:footnote>
  <w:footnote w:id="418">
    <w:p>
      <w:pPr>
        <w:pStyle w:val="FootnoteText"/>
      </w:pPr>
      <w:r>
        <w:rPr>
          <w:rStyle w:val="FootnoteReference"/>
        </w:rPr>
        <w:footnoteRef/>
      </w:r>
      <w:r>
        <w:t xml:space="preserve"> </w:t>
      </w:r>
      <w:r>
        <w:t xml:space="preserve">He, S. &amp; Manela, A. (2024).</w:t>
      </w:r>
      <w:r>
        <w:t xml:space="preserve"> </w:t>
      </w:r>
      <w:r>
        <w:t xml:space="preserve">“</w:t>
      </w:r>
      <w:r>
        <w:t xml:space="preserve">Fundamentals of Perpetual Futures.</w:t>
      </w:r>
      <w:r>
        <w:t xml:space="preserve">”</w:t>
      </w:r>
      <w:r>
        <w:t xml:space="preserve"> </w:t>
      </w:r>
      <w:r>
        <w:t xml:space="preserve">Washington University in St. Louis, forthcoming</w:t>
      </w:r>
      <w:r>
        <w:t xml:space="preserve"> </w:t>
      </w:r>
      <w:r>
        <w:rPr>
          <w:iCs/>
          <w:i/>
        </w:rPr>
        <w:t xml:space="preserve">Journal of Finance</w:t>
      </w:r>
      <w:r>
        <w:t xml:space="preserve">.</w:t>
      </w:r>
    </w:p>
  </w:footnote>
  <w:footnote w:id="420">
    <w:p>
      <w:pPr>
        <w:pStyle w:val="FootnoteText"/>
      </w:pPr>
      <w:r>
        <w:rPr>
          <w:rStyle w:val="FootnoteReference"/>
        </w:rPr>
        <w:footnoteRef/>
      </w:r>
      <w:r>
        <w:t xml:space="preserve"> </w:t>
      </w:r>
      <w:r>
        <w:t xml:space="preserve">Burnside, C., Eichenbaum, M. &amp; Rebelo, S. (2011).</w:t>
      </w:r>
      <w:r>
        <w:t xml:space="preserve"> </w:t>
      </w:r>
      <w:r>
        <w:t xml:space="preserve">“</w:t>
      </w:r>
      <w:r>
        <w:t xml:space="preserve">Carry Trade and Momentum in Currency Markets.</w:t>
      </w:r>
      <w:r>
        <w:t xml:space="preserve">”</w:t>
      </w:r>
      <w:r>
        <w:t xml:space="preserve"> </w:t>
      </w:r>
      <w:r>
        <w:rPr>
          <w:iCs/>
          <w:i/>
        </w:rPr>
        <w:t xml:space="preserve">NBER Reporter</w:t>
      </w:r>
      <w:r>
        <w:t xml:space="preserve">.</w:t>
      </w:r>
    </w:p>
  </w:footnote>
  <w:footnote w:id="421">
    <w:p>
      <w:pPr>
        <w:pStyle w:val="FootnoteText"/>
      </w:pPr>
      <w:r>
        <w:rPr>
          <w:rStyle w:val="FootnoteReference"/>
        </w:rPr>
        <w:footnoteRef/>
      </w:r>
      <w:r>
        <w:t xml:space="preserve"> </w:t>
      </w:r>
      <w:r>
        <w:t xml:space="preserve">Burnside, C., Eichenbaum, M. &amp; Rebelo, S. (2011).</w:t>
      </w:r>
      <w:r>
        <w:t xml:space="preserve"> </w:t>
      </w:r>
      <w:r>
        <w:t xml:space="preserve">“</w:t>
      </w:r>
      <w:r>
        <w:t xml:space="preserve">Carry Trade and Momentum in Currency Markets.</w:t>
      </w:r>
      <w:r>
        <w:t xml:space="preserve">”</w:t>
      </w:r>
      <w:r>
        <w:t xml:space="preserve"> </w:t>
      </w:r>
      <w:r>
        <w:rPr>
          <w:iCs/>
          <w:i/>
        </w:rPr>
        <w:t xml:space="preserve">NBER Reporter</w:t>
      </w:r>
      <w:r>
        <w:t xml:space="preserve">.</w:t>
      </w:r>
    </w:p>
  </w:footnote>
  <w:footnote w:id="422">
    <w:p>
      <w:pPr>
        <w:pStyle w:val="FootnoteText"/>
      </w:pPr>
      <w:r>
        <w:rPr>
          <w:rStyle w:val="FootnoteReference"/>
        </w:rPr>
        <w:footnoteRef/>
      </w:r>
      <w:r>
        <w:t xml:space="preserve"> </w:t>
      </w:r>
      <w:r>
        <w:t xml:space="preserve">Liu, W., Zhang, L. &amp; Zhao, S. (2012).</w:t>
      </w:r>
      <w:r>
        <w:t xml:space="preserve"> </w:t>
      </w:r>
      <w:r>
        <w:t xml:space="preserve">“</w:t>
      </w:r>
      <w:r>
        <w:t xml:space="preserve">Explaining Penny Stock Returns.</w:t>
      </w:r>
      <w:r>
        <w:t xml:space="preserve">”</w:t>
      </w:r>
      <w:r>
        <w:t xml:space="preserve"> </w:t>
      </w:r>
      <w:r>
        <w:t xml:space="preserve">Working Paper.</w:t>
      </w:r>
    </w:p>
  </w:footnote>
  <w:footnote w:id="423">
    <w:p>
      <w:pPr>
        <w:pStyle w:val="FootnoteText"/>
      </w:pPr>
      <w:r>
        <w:rPr>
          <w:rStyle w:val="FootnoteReference"/>
        </w:rPr>
        <w:footnoteRef/>
      </w:r>
      <w:r>
        <w:t xml:space="preserve"> </w:t>
      </w:r>
      <w:r>
        <w:t xml:space="preserve">Da, Z., Liu, Q. &amp; Schaumburg, E. (2014).</w:t>
      </w:r>
      <w:r>
        <w:t xml:space="preserve"> </w:t>
      </w:r>
      <w:r>
        <w:t xml:space="preserve">“</w:t>
      </w:r>
      <w:r>
        <w:t xml:space="preserve">A Closer Look at the Short-term Return Reversal.</w:t>
      </w:r>
      <w:r>
        <w:t xml:space="preserve">”</w:t>
      </w:r>
      <w:r>
        <w:t xml:space="preserve"> </w:t>
      </w:r>
      <w:r>
        <w:rPr>
          <w:iCs/>
          <w:i/>
        </w:rPr>
        <w:t xml:space="preserve">Management Science</w:t>
      </w:r>
      <w:r>
        <w:t xml:space="preserve">.</w:t>
      </w:r>
    </w:p>
  </w:footnote>
  <w:footnote w:id="424">
    <w:p>
      <w:pPr>
        <w:pStyle w:val="FootnoteText"/>
      </w:pPr>
      <w:r>
        <w:rPr>
          <w:rStyle w:val="FootnoteReference"/>
        </w:rPr>
        <w:footnoteRef/>
      </w:r>
      <w:r>
        <w:t xml:space="preserve"> </w:t>
      </w:r>
      <w:r>
        <w:t xml:space="preserve">“</w:t>
      </w:r>
      <w:r>
        <w:t xml:space="preserve">Understanding Meme Coin Trends Through Sentiment Analysis.</w:t>
      </w:r>
      <w:r>
        <w:t xml:space="preserve">”</w:t>
      </w:r>
      <w:r>
        <w:t xml:space="preserve"> </w:t>
      </w:r>
      <w:r>
        <w:t xml:space="preserve">(2025).</w:t>
      </w:r>
      <w:r>
        <w:t xml:space="preserve"> </w:t>
      </w:r>
      <w:r>
        <w:rPr>
          <w:iCs/>
          <w:i/>
        </w:rPr>
        <w:t xml:space="preserve">IJRASET</w:t>
      </w:r>
      <w:r>
        <w:t xml:space="preserve">.</w:t>
      </w:r>
    </w:p>
  </w:footnote>
  <w:footnote w:id="425">
    <w:p>
      <w:pPr>
        <w:pStyle w:val="FootnoteText"/>
      </w:pPr>
      <w:r>
        <w:rPr>
          <w:rStyle w:val="FootnoteReference"/>
        </w:rPr>
        <w:footnoteRef/>
      </w:r>
      <w:r>
        <w:t xml:space="preserve"> </w:t>
      </w:r>
      <w:r>
        <w:t xml:space="preserve">“</w:t>
      </w:r>
      <w:r>
        <w:t xml:space="preserve">Understanding Meme Coin Trends Through Sentiment Analysis.</w:t>
      </w:r>
      <w:r>
        <w:t xml:space="preserve">”</w:t>
      </w:r>
      <w:r>
        <w:t xml:space="preserve"> </w:t>
      </w:r>
      <w:r>
        <w:t xml:space="preserve">(2025).</w:t>
      </w:r>
      <w:r>
        <w:t xml:space="preserve"> </w:t>
      </w:r>
      <w:r>
        <w:rPr>
          <w:iCs/>
          <w:i/>
        </w:rPr>
        <w:t xml:space="preserve">IJRASET</w:t>
      </w:r>
      <w:r>
        <w:t xml:space="preserve">.</w:t>
      </w:r>
    </w:p>
  </w:footnote>
  <w:footnote w:id="426">
    <w:p>
      <w:pPr>
        <w:pStyle w:val="FootnoteText"/>
      </w:pPr>
      <w:r>
        <w:rPr>
          <w:rStyle w:val="FootnoteReference"/>
        </w:rPr>
        <w:footnoteRef/>
      </w:r>
      <w:r>
        <w:t xml:space="preserve"> </w:t>
      </w:r>
      <w:r>
        <w:t xml:space="preserve">“</w:t>
      </w:r>
      <w:r>
        <w:t xml:space="preserve">Understanding Meme Coin Trends Through Sentiment Analysis.</w:t>
      </w:r>
      <w:r>
        <w:t xml:space="preserve">”</w:t>
      </w:r>
      <w:r>
        <w:t xml:space="preserve"> </w:t>
      </w:r>
      <w:r>
        <w:t xml:space="preserve">(2025).</w:t>
      </w:r>
      <w:r>
        <w:t xml:space="preserve"> </w:t>
      </w:r>
      <w:r>
        <w:rPr>
          <w:iCs/>
          <w:i/>
        </w:rPr>
        <w:t xml:space="preserve">IJRASET</w:t>
      </w:r>
      <w:r>
        <w:t xml:space="preserve">.</w:t>
      </w:r>
    </w:p>
  </w:footnote>
  <w:footnote w:id="427">
    <w:p>
      <w:pPr>
        <w:pStyle w:val="FootnoteText"/>
      </w:pPr>
      <w:r>
        <w:rPr>
          <w:rStyle w:val="FootnoteReference"/>
        </w:rPr>
        <w:footnoteRef/>
      </w:r>
      <w:r>
        <w:t xml:space="preserve"> </w:t>
      </w:r>
      <w:r>
        <w:t xml:space="preserve">“</w:t>
      </w:r>
      <w:r>
        <w:t xml:space="preserve">Understanding Meme Coin Trends Through Sentiment Analysis.</w:t>
      </w:r>
      <w:r>
        <w:t xml:space="preserve">”</w:t>
      </w:r>
      <w:r>
        <w:t xml:space="preserve"> </w:t>
      </w:r>
      <w:r>
        <w:t xml:space="preserve">(2025).</w:t>
      </w:r>
      <w:r>
        <w:t xml:space="preserve"> </w:t>
      </w:r>
      <w:r>
        <w:rPr>
          <w:iCs/>
          <w:i/>
        </w:rPr>
        <w:t xml:space="preserve">IJRASET</w:t>
      </w:r>
      <w:r>
        <w:t xml:space="preserve">.</w:t>
      </w:r>
    </w:p>
  </w:footnote>
  <w:footnote w:id="428">
    <w:p>
      <w:pPr>
        <w:pStyle w:val="FootnoteText"/>
      </w:pPr>
      <w:r>
        <w:rPr>
          <w:rStyle w:val="FootnoteReference"/>
        </w:rPr>
        <w:footnoteRef/>
      </w:r>
      <w:r>
        <w:t xml:space="preserve"> </w:t>
      </w:r>
      <w:r>
        <w:t xml:space="preserve">“</w:t>
      </w:r>
      <w:r>
        <w:t xml:space="preserve">Understanding Meme Coin Trends Through Sentiment Analysis.</w:t>
      </w:r>
      <w:r>
        <w:t xml:space="preserve">”</w:t>
      </w:r>
      <w:r>
        <w:t xml:space="preserve"> </w:t>
      </w:r>
      <w:r>
        <w:t xml:space="preserve">(2025).</w:t>
      </w:r>
      <w:r>
        <w:t xml:space="preserve"> </w:t>
      </w:r>
      <w:r>
        <w:rPr>
          <w:iCs/>
          <w:i/>
        </w:rPr>
        <w:t xml:space="preserve">IJRASET</w:t>
      </w:r>
      <w:r>
        <w:t xml:space="preserve">.</w:t>
      </w:r>
    </w:p>
  </w:footnote>
  <w:footnote w:id="429">
    <w:p>
      <w:pPr>
        <w:pStyle w:val="FootnoteText"/>
      </w:pPr>
      <w:r>
        <w:rPr>
          <w:rStyle w:val="FootnoteReference"/>
        </w:rPr>
        <w:footnoteRef/>
      </w:r>
      <w:r>
        <w:t xml:space="preserve"> </w:t>
      </w:r>
      <w:r>
        <w:t xml:space="preserve">CUNY Academic Paper (2021).</w:t>
      </w:r>
      <w:r>
        <w:t xml:space="preserve"> </w:t>
      </w:r>
      <w:r>
        <w:t xml:space="preserve">“</w:t>
      </w:r>
      <w:r>
        <w:t xml:space="preserve">Exploiting Closed-End Fund Discounts: Bias-Adjusted Mean Reversion Strategies.</w:t>
      </w:r>
      <w:r>
        <w:t xml:space="preserve">”</w:t>
      </w:r>
    </w:p>
  </w:footnote>
  <w:footnote w:id="430">
    <w:p>
      <w:pPr>
        <w:pStyle w:val="FootnoteText"/>
      </w:pPr>
      <w:r>
        <w:rPr>
          <w:rStyle w:val="FootnoteReference"/>
        </w:rPr>
        <w:footnoteRef/>
      </w:r>
      <w:r>
        <w:t xml:space="preserve"> </w:t>
      </w:r>
      <w:r>
        <w:t xml:space="preserve">CUNY Academic Paper (2021).</w:t>
      </w:r>
      <w:r>
        <w:t xml:space="preserve"> </w:t>
      </w:r>
      <w:r>
        <w:t xml:space="preserve">“</w:t>
      </w:r>
      <w:r>
        <w:t xml:space="preserve">Exploiting Closed-End Fund Discounts: Bias-Adjusted Mean Reversion Strategies.</w:t>
      </w:r>
      <w:r>
        <w:t xml:space="preserve">”</w:t>
      </w:r>
    </w:p>
  </w:footnote>
  <w:footnote w:id="431">
    <w:p>
      <w:pPr>
        <w:pStyle w:val="FootnoteText"/>
      </w:pPr>
      <w:r>
        <w:rPr>
          <w:rStyle w:val="FootnoteReference"/>
        </w:rPr>
        <w:footnoteRef/>
      </w:r>
      <w:r>
        <w:t xml:space="preserve"> </w:t>
      </w:r>
      <w:r>
        <w:t xml:space="preserve">CoinGecko (2025).</w:t>
      </w:r>
      <w:r>
        <w:t xml:space="preserve"> </w:t>
      </w:r>
      <w:r>
        <w:t xml:space="preserve">“</w:t>
      </w:r>
      <w:r>
        <w:t xml:space="preserve">2025 State of Memecoins Report.</w:t>
      </w:r>
      <w:r>
        <w:t xml:space="preserve">”</w:t>
      </w:r>
    </w:p>
  </w:footnote>
  <w:footnote w:id="432">
    <w:p>
      <w:pPr>
        <w:pStyle w:val="FootnoteText"/>
      </w:pPr>
      <w:r>
        <w:rPr>
          <w:rStyle w:val="FootnoteReference"/>
        </w:rPr>
        <w:footnoteRef/>
      </w:r>
      <w:r>
        <w:t xml:space="preserve"> </w:t>
      </w:r>
      <w:r>
        <w:t xml:space="preserve">Author calculation from expected strategy correlation matrix, source: Appendix B, New Strategies Research (2025).</w:t>
      </w:r>
    </w:p>
  </w:footnote>
  <w:footnote w:id="433">
    <w:p>
      <w:pPr>
        <w:pStyle w:val="FootnoteText"/>
      </w:pPr>
      <w:r>
        <w:rPr>
          <w:rStyle w:val="FootnoteReference"/>
        </w:rPr>
        <w:footnoteRef/>
      </w:r>
      <w:r>
        <w:t xml:space="preserve"> </w:t>
      </w:r>
      <w:r>
        <w:t xml:space="preserve">Ghoddusi, H. (2016).</w:t>
      </w:r>
      <w:r>
        <w:t xml:space="preserve"> </w:t>
      </w:r>
      <w:r>
        <w:t xml:space="preserve">“</w:t>
      </w:r>
      <w:r>
        <w:t xml:space="preserve">Maturity Structure of Commodity Roll Strategies.</w:t>
      </w:r>
      <w:r>
        <w:t xml:space="preserve">”</w:t>
      </w:r>
      <w:r>
        <w:t xml:space="preserve"> </w:t>
      </w:r>
      <w:r>
        <w:rPr>
          <w:iCs/>
          <w:i/>
        </w:rPr>
        <w:t xml:space="preserve">SSRN Working Paper</w:t>
      </w:r>
      <w:r>
        <w:t xml:space="preserve">; Gorton, Hayashi &amp; Rouwenhorst (2013),</w:t>
      </w:r>
      <w:r>
        <w:t xml:space="preserve"> </w:t>
      </w:r>
      <w:r>
        <w:rPr>
          <w:iCs/>
          <w:i/>
        </w:rPr>
        <w:t xml:space="preserve">Journal of Financial Economics</w:t>
      </w:r>
      <w:r>
        <w:t xml:space="preserve">; Szymanowska et al. (2014).</w:t>
      </w:r>
    </w:p>
  </w:footnote>
  <w:footnote w:id="434">
    <w:p>
      <w:pPr>
        <w:pStyle w:val="FootnoteText"/>
      </w:pPr>
      <w:r>
        <w:rPr>
          <w:rStyle w:val="FootnoteReference"/>
        </w:rPr>
        <w:footnoteRef/>
      </w:r>
      <w:r>
        <w:t xml:space="preserve"> </w:t>
      </w:r>
      <w:r>
        <w:t xml:space="preserve">Ghoddusi, H. (2016).</w:t>
      </w:r>
      <w:r>
        <w:t xml:space="preserve"> </w:t>
      </w:r>
      <w:r>
        <w:t xml:space="preserve">“</w:t>
      </w:r>
      <w:r>
        <w:t xml:space="preserve">Maturity Structure of Commodity Roll Strategies.</w:t>
      </w:r>
      <w:r>
        <w:t xml:space="preserve">”</w:t>
      </w:r>
      <w:r>
        <w:t xml:space="preserve"> </w:t>
      </w:r>
      <w:r>
        <w:rPr>
          <w:iCs/>
          <w:i/>
        </w:rPr>
        <w:t xml:space="preserve">SSRN Working Paper</w:t>
      </w:r>
      <w:r>
        <w:t xml:space="preserve">; Gorton, Hayashi &amp; Rouwenhorst (2013),</w:t>
      </w:r>
      <w:r>
        <w:t xml:space="preserve"> </w:t>
      </w:r>
      <w:r>
        <w:rPr>
          <w:iCs/>
          <w:i/>
        </w:rPr>
        <w:t xml:space="preserve">Journal of Financial Economics</w:t>
      </w:r>
      <w:r>
        <w:t xml:space="preserve">; Szymanowska et al. (2014).</w:t>
      </w:r>
    </w:p>
  </w:footnote>
  <w:footnote w:id="435">
    <w:p>
      <w:pPr>
        <w:pStyle w:val="FootnoteText"/>
      </w:pPr>
      <w:r>
        <w:rPr>
          <w:rStyle w:val="FootnoteReference"/>
        </w:rPr>
        <w:footnoteRef/>
      </w:r>
      <w:r>
        <w:t xml:space="preserve"> </w:t>
      </w:r>
      <w:r>
        <w:t xml:space="preserve">Ghoddusi, H. (2016).</w:t>
      </w:r>
      <w:r>
        <w:t xml:space="preserve"> </w:t>
      </w:r>
      <w:r>
        <w:t xml:space="preserve">“</w:t>
      </w:r>
      <w:r>
        <w:t xml:space="preserve">Maturity Structure of Commodity Roll Strategies.</w:t>
      </w:r>
      <w:r>
        <w:t xml:space="preserve">”</w:t>
      </w:r>
      <w:r>
        <w:t xml:space="preserve"> </w:t>
      </w:r>
      <w:r>
        <w:rPr>
          <w:iCs/>
          <w:i/>
        </w:rPr>
        <w:t xml:space="preserve">SSRN Working Paper</w:t>
      </w:r>
      <w:r>
        <w:t xml:space="preserve">; Gorton, Hayashi &amp; Rouwenhorst (2013),</w:t>
      </w:r>
      <w:r>
        <w:t xml:space="preserve"> </w:t>
      </w:r>
      <w:r>
        <w:rPr>
          <w:iCs/>
          <w:i/>
        </w:rPr>
        <w:t xml:space="preserve">Journal of Financial Economics</w:t>
      </w:r>
      <w:r>
        <w:t xml:space="preserve">; Szymanowska et al. (2014).</w:t>
      </w:r>
    </w:p>
  </w:footnote>
  <w:footnote w:id="437">
    <w:p>
      <w:pPr>
        <w:pStyle w:val="FootnoteText"/>
      </w:pPr>
      <w:r>
        <w:rPr>
          <w:rStyle w:val="FootnoteReference"/>
        </w:rPr>
        <w:footnoteRef/>
      </w:r>
      <w:r>
        <w:t xml:space="preserve"> </w:t>
      </w:r>
      <w:r>
        <w:t xml:space="preserve">Burnside, C., Eichenbaum, M. &amp; Rebelo, S. (2011).</w:t>
      </w:r>
      <w:r>
        <w:t xml:space="preserve"> </w:t>
      </w:r>
      <w:r>
        <w:t xml:space="preserve">“</w:t>
      </w:r>
      <w:r>
        <w:t xml:space="preserve">Carry Trade and Momentum in Currency Markets.</w:t>
      </w:r>
      <w:r>
        <w:t xml:space="preserve">”</w:t>
      </w:r>
      <w:r>
        <w:t xml:space="preserve"> </w:t>
      </w:r>
      <w:r>
        <w:rPr>
          <w:iCs/>
          <w:i/>
        </w:rPr>
        <w:t xml:space="preserve">NBER Reporter</w:t>
      </w:r>
      <w:r>
        <w:t xml:space="preserve">.</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2" Target="media/rId212.png" /><Relationship Type="http://schemas.openxmlformats.org/officeDocument/2006/relationships/image" Id="rId72" Target="media/rId72.png" /><Relationship Type="http://schemas.openxmlformats.org/officeDocument/2006/relationships/image" Id="rId90" Target="media/rId90.png" /><Relationship Type="http://schemas.openxmlformats.org/officeDocument/2006/relationships/image" Id="rId385" Target="media/rId385.png" /><Relationship Type="http://schemas.openxmlformats.org/officeDocument/2006/relationships/image" Id="rId25" Target="media/rId25.png" /><Relationship Type="http://schemas.openxmlformats.org/officeDocument/2006/relationships/image" Id="rId152" Target="media/rId152.png" /><Relationship Type="http://schemas.openxmlformats.org/officeDocument/2006/relationships/image" Id="rId176" Target="media/rId176.png" /><Relationship Type="http://schemas.openxmlformats.org/officeDocument/2006/relationships/image" Id="rId185" Target="media/rId185.png" /><Relationship Type="http://schemas.openxmlformats.org/officeDocument/2006/relationships/image" Id="rId226" Target="media/rId226.png" /><Relationship Type="http://schemas.openxmlformats.org/officeDocument/2006/relationships/image" Id="rId337" Target="media/rId337.png" /><Relationship Type="http://schemas.openxmlformats.org/officeDocument/2006/relationships/image" Id="rId351" Target="media/rId351.png" /><Relationship Type="http://schemas.openxmlformats.org/officeDocument/2006/relationships/image" Id="rId254" Target="media/rId254.png" /><Relationship Type="http://schemas.openxmlformats.org/officeDocument/2006/relationships/image" Id="rId415" Target="media/rId415.png" /><Relationship Type="http://schemas.openxmlformats.org/officeDocument/2006/relationships/image" Id="rId276" Target="media/rId276.png" /><Relationship Type="http://schemas.openxmlformats.org/officeDocument/2006/relationships/image" Id="rId170" Target="media/rId170.png" /><Relationship Type="http://schemas.openxmlformats.org/officeDocument/2006/relationships/image" Id="rId307" Target="media/rId30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Hedge Fund Quality Enhancement PR</dc:title>
  <dc:creator>Quantitative Audit Team</dc:creator>
  <cp:keywords/>
  <dcterms:created xsi:type="dcterms:W3CDTF">2026-05-02T07:13:51Z</dcterms:created>
  <dcterms:modified xsi:type="dcterms:W3CDTF">2026-05-02T07:13:51Z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2026-05-02</vt:lpwstr>
  </property>
</Properties>
</file>