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E97B3E" w14:textId="52B43FA5" w:rsidR="00AB6925" w:rsidRDefault="00AB6925" w:rsidP="00AB6925">
      <w:pPr>
        <w:spacing w:after="0" w:line="240" w:lineRule="auto"/>
        <w:ind w:left="3402"/>
        <w:rPr>
          <w:rFonts w:ascii="Times New Roman" w:hAnsi="Times New Roman" w:cs="Times New Roman"/>
        </w:rPr>
      </w:pPr>
      <w:r w:rsidRPr="00AB6925">
        <w:rPr>
          <w:noProof/>
        </w:rPr>
        <w:drawing>
          <wp:anchor distT="0" distB="0" distL="114300" distR="114300" simplePos="0" relativeHeight="251658240" behindDoc="0" locked="0" layoutInCell="1" allowOverlap="1" wp14:anchorId="602EA696" wp14:editId="16F37874">
            <wp:simplePos x="0" y="0"/>
            <wp:positionH relativeFrom="margin">
              <wp:align>left</wp:align>
            </wp:positionH>
            <wp:positionV relativeFrom="paragraph">
              <wp:posOffset>83820</wp:posOffset>
            </wp:positionV>
            <wp:extent cx="2047875" cy="750855"/>
            <wp:effectExtent l="0" t="0" r="0" b="0"/>
            <wp:wrapNone/>
            <wp:docPr id="1" name="Imagem 1" descr="Seminários PPGE-UFPB – PPGE-UF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minários PPGE-UFPB – PPGE-UFPB"/>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47875" cy="75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A02A0A" w14:textId="40ECACF6" w:rsidR="002963B8"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Universidade Federal da Paraíba</w:t>
      </w:r>
    </w:p>
    <w:p w14:paraId="1DCCF301" w14:textId="78B35D99" w:rsidR="00AB6925"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Centro de Ciências Sociais Aplicadas</w:t>
      </w:r>
    </w:p>
    <w:p w14:paraId="245E15AD" w14:textId="11914981" w:rsidR="00AB6925" w:rsidRPr="00AB6925" w:rsidRDefault="00AB6925" w:rsidP="00AB6925">
      <w:pPr>
        <w:spacing w:after="0" w:line="240" w:lineRule="auto"/>
        <w:ind w:left="3402"/>
        <w:rPr>
          <w:rFonts w:ascii="Times New Roman" w:hAnsi="Times New Roman" w:cs="Times New Roman"/>
        </w:rPr>
      </w:pPr>
      <w:r w:rsidRPr="00AB6925">
        <w:rPr>
          <w:rFonts w:ascii="Times New Roman" w:hAnsi="Times New Roman" w:cs="Times New Roman"/>
        </w:rPr>
        <w:t>Programa de Pós-Graduação em Economia</w:t>
      </w:r>
    </w:p>
    <w:p w14:paraId="53598AEC" w14:textId="77777777" w:rsidR="00AB6925" w:rsidRDefault="00AB6925" w:rsidP="00AB6925">
      <w:pPr>
        <w:spacing w:after="0" w:line="360" w:lineRule="auto"/>
        <w:ind w:left="3402"/>
        <w:rPr>
          <w:rFonts w:ascii="Times New Roman" w:hAnsi="Times New Roman" w:cs="Times New Roman"/>
        </w:rPr>
      </w:pPr>
    </w:p>
    <w:p w14:paraId="255C5573" w14:textId="77777777" w:rsidR="00AB6925" w:rsidRDefault="00AB6925" w:rsidP="00AB6925">
      <w:pPr>
        <w:spacing w:after="0" w:line="360" w:lineRule="auto"/>
        <w:ind w:left="3402"/>
        <w:rPr>
          <w:rFonts w:ascii="Times New Roman" w:hAnsi="Times New Roman" w:cs="Times New Roman"/>
        </w:rPr>
      </w:pPr>
    </w:p>
    <w:p w14:paraId="5253F7EA" w14:textId="77777777" w:rsidR="00AB6925" w:rsidRDefault="00AB6925" w:rsidP="00AB6925">
      <w:pPr>
        <w:spacing w:after="0" w:line="360" w:lineRule="auto"/>
        <w:ind w:left="3402"/>
        <w:rPr>
          <w:rFonts w:ascii="Times New Roman" w:hAnsi="Times New Roman" w:cs="Times New Roman"/>
        </w:rPr>
      </w:pPr>
    </w:p>
    <w:p w14:paraId="01D2F06E" w14:textId="77777777" w:rsidR="00AB6925" w:rsidRDefault="00AB6925" w:rsidP="00AB6925">
      <w:pPr>
        <w:spacing w:after="0" w:line="360" w:lineRule="auto"/>
        <w:ind w:left="3402"/>
        <w:rPr>
          <w:rFonts w:ascii="Times New Roman" w:hAnsi="Times New Roman" w:cs="Times New Roman"/>
        </w:rPr>
      </w:pPr>
    </w:p>
    <w:p w14:paraId="05D042B9" w14:textId="77777777" w:rsidR="00AB6925" w:rsidRDefault="00AB6925" w:rsidP="00AB6925">
      <w:pPr>
        <w:spacing w:after="0" w:line="360" w:lineRule="auto"/>
        <w:ind w:left="3402"/>
        <w:rPr>
          <w:rFonts w:ascii="Times New Roman" w:hAnsi="Times New Roman" w:cs="Times New Roman"/>
        </w:rPr>
      </w:pPr>
    </w:p>
    <w:p w14:paraId="0ABF9ADC" w14:textId="77777777" w:rsidR="00AB6925" w:rsidRDefault="00AB6925" w:rsidP="00AB6925">
      <w:pPr>
        <w:spacing w:after="0" w:line="360" w:lineRule="auto"/>
        <w:ind w:left="3402"/>
        <w:rPr>
          <w:rFonts w:ascii="Times New Roman" w:hAnsi="Times New Roman" w:cs="Times New Roman"/>
        </w:rPr>
      </w:pPr>
    </w:p>
    <w:p w14:paraId="0BBE94AC" w14:textId="77777777" w:rsidR="00AB6925" w:rsidRDefault="00AB6925" w:rsidP="00AB6925">
      <w:pPr>
        <w:spacing w:after="0" w:line="360" w:lineRule="auto"/>
        <w:ind w:left="3402"/>
        <w:rPr>
          <w:rFonts w:ascii="Times New Roman" w:hAnsi="Times New Roman" w:cs="Times New Roman"/>
        </w:rPr>
      </w:pPr>
    </w:p>
    <w:p w14:paraId="6838F473" w14:textId="3CBAFE0D" w:rsidR="00AB6925" w:rsidRDefault="0029337B" w:rsidP="00AB6925">
      <w:pPr>
        <w:spacing w:after="0" w:line="240" w:lineRule="auto"/>
        <w:jc w:val="center"/>
        <w:rPr>
          <w:rFonts w:ascii="Times New Roman" w:hAnsi="Times New Roman" w:cs="Times New Roman"/>
          <w:b/>
          <w:bCs/>
        </w:rPr>
      </w:pPr>
      <w:r w:rsidRPr="0029337B">
        <w:rPr>
          <w:rFonts w:ascii="Times New Roman" w:hAnsi="Times New Roman" w:cs="Times New Roman"/>
          <w:b/>
          <w:bCs/>
        </w:rPr>
        <w:t>Análise Estatística da RAIS (2021–2024): Padrões e Tendências do Mercado de Trabalho Brasileiro</w:t>
      </w:r>
    </w:p>
    <w:p w14:paraId="0065AF0C" w14:textId="77777777" w:rsidR="00B45699" w:rsidRDefault="00B45699" w:rsidP="00AB6925">
      <w:pPr>
        <w:spacing w:after="0" w:line="240" w:lineRule="auto"/>
        <w:jc w:val="center"/>
        <w:rPr>
          <w:rFonts w:ascii="Times New Roman" w:hAnsi="Times New Roman" w:cs="Times New Roman"/>
          <w:b/>
          <w:bCs/>
        </w:rPr>
      </w:pPr>
    </w:p>
    <w:p w14:paraId="695EDE58" w14:textId="583DFC67" w:rsidR="00AB6925" w:rsidRDefault="00AB6925" w:rsidP="00AB6925">
      <w:pPr>
        <w:spacing w:after="0" w:line="240" w:lineRule="auto"/>
        <w:ind w:left="3402"/>
        <w:jc w:val="both"/>
        <w:rPr>
          <w:rFonts w:ascii="Times New Roman" w:hAnsi="Times New Roman" w:cs="Times New Roman"/>
        </w:rPr>
      </w:pPr>
      <w:r w:rsidRPr="00AB6925">
        <w:rPr>
          <w:rFonts w:ascii="Times New Roman" w:hAnsi="Times New Roman" w:cs="Times New Roman"/>
        </w:rPr>
        <w:t>Trabalho apresentado ao Programa de Pós-Graduação em Economia</w:t>
      </w:r>
      <w:r w:rsidR="0029337B">
        <w:rPr>
          <w:rFonts w:ascii="Times New Roman" w:hAnsi="Times New Roman" w:cs="Times New Roman"/>
        </w:rPr>
        <w:t xml:space="preserve"> na</w:t>
      </w:r>
      <w:r w:rsidRPr="00AB6925">
        <w:rPr>
          <w:rFonts w:ascii="Times New Roman" w:hAnsi="Times New Roman" w:cs="Times New Roman"/>
        </w:rPr>
        <w:t xml:space="preserve"> Universidade Federal da Paraíba, em cumprimento às exigências da disciplina de </w:t>
      </w:r>
      <w:r w:rsidR="0029337B">
        <w:rPr>
          <w:rFonts w:ascii="Times New Roman" w:hAnsi="Times New Roman" w:cs="Times New Roman"/>
        </w:rPr>
        <w:t>Econometria I</w:t>
      </w:r>
      <w:r w:rsidRPr="00AB6925">
        <w:rPr>
          <w:rFonts w:ascii="Times New Roman" w:hAnsi="Times New Roman" w:cs="Times New Roman"/>
        </w:rPr>
        <w:t xml:space="preserve">, ministrada pelo professor Dr. </w:t>
      </w:r>
      <w:r w:rsidR="0029337B" w:rsidRPr="0029337B">
        <w:rPr>
          <w:rFonts w:ascii="Times New Roman" w:hAnsi="Times New Roman" w:cs="Times New Roman"/>
        </w:rPr>
        <w:t xml:space="preserve">Cassio </w:t>
      </w:r>
      <w:r w:rsidR="0029337B">
        <w:rPr>
          <w:rFonts w:ascii="Times New Roman" w:hAnsi="Times New Roman" w:cs="Times New Roman"/>
        </w:rPr>
        <w:t>d</w:t>
      </w:r>
      <w:r w:rsidR="0029337B" w:rsidRPr="0029337B">
        <w:rPr>
          <w:rFonts w:ascii="Times New Roman" w:hAnsi="Times New Roman" w:cs="Times New Roman"/>
        </w:rPr>
        <w:t>a Nobrega Besarria</w:t>
      </w:r>
      <w:r w:rsidR="0029337B">
        <w:rPr>
          <w:rFonts w:ascii="Times New Roman" w:hAnsi="Times New Roman" w:cs="Times New Roman"/>
        </w:rPr>
        <w:t>.</w:t>
      </w:r>
    </w:p>
    <w:p w14:paraId="0E37B8CC" w14:textId="77777777" w:rsidR="00AB6925" w:rsidRDefault="00AB6925" w:rsidP="00AB6925">
      <w:pPr>
        <w:spacing w:after="0" w:line="240" w:lineRule="auto"/>
        <w:ind w:left="3402"/>
        <w:jc w:val="both"/>
        <w:rPr>
          <w:rFonts w:ascii="Times New Roman" w:hAnsi="Times New Roman" w:cs="Times New Roman"/>
        </w:rPr>
      </w:pPr>
    </w:p>
    <w:p w14:paraId="5123DB0F" w14:textId="77777777" w:rsidR="00AB6925" w:rsidRDefault="00AB6925" w:rsidP="00AB6925">
      <w:pPr>
        <w:spacing w:after="0" w:line="240" w:lineRule="auto"/>
        <w:ind w:left="3402"/>
        <w:jc w:val="both"/>
        <w:rPr>
          <w:rFonts w:ascii="Times New Roman" w:hAnsi="Times New Roman" w:cs="Times New Roman"/>
        </w:rPr>
      </w:pPr>
    </w:p>
    <w:p w14:paraId="3B552D75" w14:textId="77777777" w:rsidR="0029337B" w:rsidRDefault="0029337B" w:rsidP="00AB6925">
      <w:pPr>
        <w:spacing w:after="0" w:line="240" w:lineRule="auto"/>
        <w:ind w:left="3402"/>
        <w:jc w:val="both"/>
        <w:rPr>
          <w:rFonts w:ascii="Times New Roman" w:hAnsi="Times New Roman" w:cs="Times New Roman"/>
        </w:rPr>
      </w:pPr>
    </w:p>
    <w:p w14:paraId="1CC6BD9F" w14:textId="77777777" w:rsidR="00AB6925" w:rsidRDefault="00AB6925" w:rsidP="00AB6925">
      <w:pPr>
        <w:spacing w:after="0" w:line="240" w:lineRule="auto"/>
        <w:ind w:left="3402"/>
        <w:jc w:val="both"/>
        <w:rPr>
          <w:rFonts w:ascii="Times New Roman" w:hAnsi="Times New Roman" w:cs="Times New Roman"/>
        </w:rPr>
      </w:pPr>
    </w:p>
    <w:p w14:paraId="1E3AF0EA" w14:textId="77777777" w:rsidR="00AB6925" w:rsidRDefault="00AB6925" w:rsidP="00AB6925">
      <w:pPr>
        <w:spacing w:after="0" w:line="240" w:lineRule="auto"/>
        <w:ind w:left="3402"/>
        <w:jc w:val="both"/>
        <w:rPr>
          <w:rFonts w:ascii="Times New Roman" w:hAnsi="Times New Roman" w:cs="Times New Roman"/>
        </w:rPr>
      </w:pPr>
    </w:p>
    <w:p w14:paraId="62138A33" w14:textId="77777777" w:rsidR="00AB6925" w:rsidRDefault="00AB6925" w:rsidP="00AB6925">
      <w:pPr>
        <w:spacing w:after="0" w:line="240" w:lineRule="auto"/>
        <w:ind w:left="3402"/>
        <w:jc w:val="both"/>
        <w:rPr>
          <w:rFonts w:ascii="Times New Roman" w:hAnsi="Times New Roman" w:cs="Times New Roman"/>
        </w:rPr>
      </w:pPr>
    </w:p>
    <w:p w14:paraId="63B022D5" w14:textId="77777777" w:rsidR="00AB6925" w:rsidRDefault="00AB6925" w:rsidP="00AB6925">
      <w:pPr>
        <w:spacing w:after="0" w:line="240" w:lineRule="auto"/>
        <w:ind w:left="3402"/>
        <w:jc w:val="both"/>
        <w:rPr>
          <w:rFonts w:ascii="Times New Roman" w:hAnsi="Times New Roman" w:cs="Times New Roman"/>
        </w:rPr>
      </w:pPr>
    </w:p>
    <w:p w14:paraId="29732788" w14:textId="77777777" w:rsidR="00AB6925" w:rsidRDefault="00AB6925" w:rsidP="00AB6925">
      <w:pPr>
        <w:spacing w:after="0" w:line="240" w:lineRule="auto"/>
        <w:ind w:left="3402"/>
        <w:jc w:val="both"/>
        <w:rPr>
          <w:rFonts w:ascii="Times New Roman" w:hAnsi="Times New Roman" w:cs="Times New Roman"/>
        </w:rPr>
      </w:pPr>
    </w:p>
    <w:p w14:paraId="38180469" w14:textId="77777777" w:rsidR="00AB6925" w:rsidRDefault="00AB6925" w:rsidP="00AB6925">
      <w:pPr>
        <w:spacing w:after="0" w:line="240" w:lineRule="auto"/>
        <w:ind w:left="3402"/>
        <w:jc w:val="both"/>
        <w:rPr>
          <w:rFonts w:ascii="Times New Roman" w:hAnsi="Times New Roman" w:cs="Times New Roman"/>
        </w:rPr>
      </w:pPr>
    </w:p>
    <w:p w14:paraId="73654705" w14:textId="6A5C70B0"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Elton John Marinho de Lima</w:t>
      </w:r>
    </w:p>
    <w:p w14:paraId="0B0E685C" w14:textId="77777777" w:rsidR="00AB6925" w:rsidRDefault="00AB6925" w:rsidP="00AB6925">
      <w:pPr>
        <w:spacing w:after="0" w:line="240" w:lineRule="auto"/>
        <w:jc w:val="center"/>
        <w:rPr>
          <w:rFonts w:ascii="Times New Roman" w:hAnsi="Times New Roman" w:cs="Times New Roman"/>
        </w:rPr>
      </w:pPr>
    </w:p>
    <w:p w14:paraId="49E3CD85" w14:textId="77777777" w:rsidR="00AB6925" w:rsidRDefault="00AB6925" w:rsidP="00AB6925">
      <w:pPr>
        <w:spacing w:after="0" w:line="240" w:lineRule="auto"/>
        <w:jc w:val="center"/>
        <w:rPr>
          <w:rFonts w:ascii="Times New Roman" w:hAnsi="Times New Roman" w:cs="Times New Roman"/>
        </w:rPr>
      </w:pPr>
    </w:p>
    <w:p w14:paraId="7BE2CA8A" w14:textId="77777777" w:rsidR="00AB6925" w:rsidRDefault="00AB6925" w:rsidP="00AB6925">
      <w:pPr>
        <w:spacing w:after="0" w:line="240" w:lineRule="auto"/>
        <w:jc w:val="center"/>
        <w:rPr>
          <w:rFonts w:ascii="Times New Roman" w:hAnsi="Times New Roman" w:cs="Times New Roman"/>
        </w:rPr>
      </w:pPr>
    </w:p>
    <w:p w14:paraId="6181B7CC" w14:textId="77777777" w:rsidR="00AB6925" w:rsidRDefault="00AB6925" w:rsidP="00AB6925">
      <w:pPr>
        <w:spacing w:after="0" w:line="240" w:lineRule="auto"/>
        <w:jc w:val="center"/>
        <w:rPr>
          <w:rFonts w:ascii="Times New Roman" w:hAnsi="Times New Roman" w:cs="Times New Roman"/>
        </w:rPr>
      </w:pPr>
    </w:p>
    <w:p w14:paraId="49061BDA" w14:textId="77777777" w:rsidR="00AB6925" w:rsidRDefault="00AB6925" w:rsidP="00AB6925">
      <w:pPr>
        <w:spacing w:after="0" w:line="240" w:lineRule="auto"/>
        <w:jc w:val="center"/>
        <w:rPr>
          <w:rFonts w:ascii="Times New Roman" w:hAnsi="Times New Roman" w:cs="Times New Roman"/>
        </w:rPr>
      </w:pPr>
    </w:p>
    <w:p w14:paraId="3AAABC73" w14:textId="77777777" w:rsidR="00AB6925" w:rsidRDefault="00AB6925" w:rsidP="00AB6925">
      <w:pPr>
        <w:spacing w:after="0" w:line="240" w:lineRule="auto"/>
        <w:jc w:val="center"/>
        <w:rPr>
          <w:rFonts w:ascii="Times New Roman" w:hAnsi="Times New Roman" w:cs="Times New Roman"/>
        </w:rPr>
      </w:pPr>
    </w:p>
    <w:p w14:paraId="4AE4B4C5" w14:textId="77777777" w:rsidR="00AB6925" w:rsidRDefault="00AB6925" w:rsidP="00AB6925">
      <w:pPr>
        <w:spacing w:after="0" w:line="240" w:lineRule="auto"/>
        <w:jc w:val="center"/>
        <w:rPr>
          <w:rFonts w:ascii="Times New Roman" w:hAnsi="Times New Roman" w:cs="Times New Roman"/>
        </w:rPr>
      </w:pPr>
    </w:p>
    <w:p w14:paraId="38F8BCF5" w14:textId="77777777" w:rsidR="00AB6925" w:rsidRDefault="00AB6925" w:rsidP="00AB6925">
      <w:pPr>
        <w:spacing w:after="0" w:line="240" w:lineRule="auto"/>
        <w:jc w:val="center"/>
        <w:rPr>
          <w:rFonts w:ascii="Times New Roman" w:hAnsi="Times New Roman" w:cs="Times New Roman"/>
        </w:rPr>
      </w:pPr>
    </w:p>
    <w:p w14:paraId="7A9A7125" w14:textId="77777777" w:rsidR="00AB6925" w:rsidRDefault="00AB6925" w:rsidP="00AB6925">
      <w:pPr>
        <w:spacing w:after="0" w:line="240" w:lineRule="auto"/>
        <w:jc w:val="center"/>
        <w:rPr>
          <w:rFonts w:ascii="Times New Roman" w:hAnsi="Times New Roman" w:cs="Times New Roman"/>
        </w:rPr>
      </w:pPr>
    </w:p>
    <w:p w14:paraId="4861ED34" w14:textId="77777777" w:rsidR="00AB6925" w:rsidRDefault="00AB6925" w:rsidP="00AB6925">
      <w:pPr>
        <w:spacing w:after="0" w:line="240" w:lineRule="auto"/>
        <w:jc w:val="center"/>
        <w:rPr>
          <w:rFonts w:ascii="Times New Roman" w:hAnsi="Times New Roman" w:cs="Times New Roman"/>
        </w:rPr>
      </w:pPr>
    </w:p>
    <w:p w14:paraId="76F913CD" w14:textId="77777777" w:rsidR="00AB6925" w:rsidRDefault="00AB6925" w:rsidP="00AB6925">
      <w:pPr>
        <w:spacing w:after="0" w:line="240" w:lineRule="auto"/>
        <w:jc w:val="center"/>
        <w:rPr>
          <w:rFonts w:ascii="Times New Roman" w:hAnsi="Times New Roman" w:cs="Times New Roman"/>
        </w:rPr>
      </w:pPr>
    </w:p>
    <w:p w14:paraId="6D3AEC45" w14:textId="77777777" w:rsidR="00AB6925" w:rsidRDefault="00AB6925" w:rsidP="00AB6925">
      <w:pPr>
        <w:spacing w:after="0" w:line="240" w:lineRule="auto"/>
        <w:jc w:val="center"/>
        <w:rPr>
          <w:rFonts w:ascii="Times New Roman" w:hAnsi="Times New Roman" w:cs="Times New Roman"/>
        </w:rPr>
      </w:pPr>
    </w:p>
    <w:p w14:paraId="073805BC" w14:textId="77777777" w:rsidR="00B45699" w:rsidRDefault="00B45699" w:rsidP="00AB6925">
      <w:pPr>
        <w:spacing w:after="0" w:line="240" w:lineRule="auto"/>
        <w:jc w:val="center"/>
        <w:rPr>
          <w:rFonts w:ascii="Times New Roman" w:hAnsi="Times New Roman" w:cs="Times New Roman"/>
        </w:rPr>
      </w:pPr>
    </w:p>
    <w:p w14:paraId="229C6C69" w14:textId="77777777" w:rsidR="00AB6925" w:rsidRDefault="00AB6925" w:rsidP="00AB6925">
      <w:pPr>
        <w:spacing w:after="0" w:line="240" w:lineRule="auto"/>
        <w:jc w:val="center"/>
        <w:rPr>
          <w:rFonts w:ascii="Times New Roman" w:hAnsi="Times New Roman" w:cs="Times New Roman"/>
        </w:rPr>
      </w:pPr>
    </w:p>
    <w:p w14:paraId="6C9360FF" w14:textId="77777777" w:rsidR="00AB6925" w:rsidRDefault="00AB6925" w:rsidP="00AB6925">
      <w:pPr>
        <w:spacing w:after="0" w:line="240" w:lineRule="auto"/>
        <w:jc w:val="center"/>
        <w:rPr>
          <w:rFonts w:ascii="Times New Roman" w:hAnsi="Times New Roman" w:cs="Times New Roman"/>
        </w:rPr>
      </w:pPr>
    </w:p>
    <w:p w14:paraId="41D2A557" w14:textId="77777777" w:rsidR="00AB6925" w:rsidRDefault="00AB6925" w:rsidP="00AB6925">
      <w:pPr>
        <w:spacing w:after="0" w:line="240" w:lineRule="auto"/>
        <w:jc w:val="center"/>
        <w:rPr>
          <w:rFonts w:ascii="Times New Roman" w:hAnsi="Times New Roman" w:cs="Times New Roman"/>
        </w:rPr>
      </w:pPr>
    </w:p>
    <w:p w14:paraId="28C466A3" w14:textId="002369FB"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João Pessoa – PB</w:t>
      </w:r>
    </w:p>
    <w:p w14:paraId="16BDABFE" w14:textId="0E0F7E64" w:rsidR="00AB6925" w:rsidRDefault="00AB6925" w:rsidP="00AB6925">
      <w:pPr>
        <w:spacing w:after="0" w:line="240" w:lineRule="auto"/>
        <w:jc w:val="center"/>
        <w:rPr>
          <w:rFonts w:ascii="Times New Roman" w:hAnsi="Times New Roman" w:cs="Times New Roman"/>
        </w:rPr>
      </w:pPr>
      <w:r>
        <w:rPr>
          <w:rFonts w:ascii="Times New Roman" w:hAnsi="Times New Roman" w:cs="Times New Roman"/>
        </w:rPr>
        <w:t>2025</w:t>
      </w:r>
    </w:p>
    <w:p w14:paraId="0EFC33A3" w14:textId="4C3A2F1A" w:rsidR="00AB6925" w:rsidRDefault="00AB6925" w:rsidP="00AB6925">
      <w:pPr>
        <w:spacing w:after="0" w:line="240" w:lineRule="auto"/>
        <w:jc w:val="center"/>
        <w:rPr>
          <w:rFonts w:ascii="Times New Roman" w:hAnsi="Times New Roman" w:cs="Times New Roman"/>
        </w:rPr>
      </w:pPr>
    </w:p>
    <w:sdt>
      <w:sdtPr>
        <w:rPr>
          <w:rFonts w:ascii="Times New Roman" w:eastAsiaTheme="minorHAnsi" w:hAnsi="Times New Roman" w:cs="Times New Roman"/>
          <w:color w:val="auto"/>
          <w:kern w:val="2"/>
          <w:sz w:val="24"/>
          <w:szCs w:val="24"/>
          <w:lang w:eastAsia="en-US"/>
          <w14:ligatures w14:val="standardContextual"/>
        </w:rPr>
        <w:id w:val="-1103878014"/>
        <w:docPartObj>
          <w:docPartGallery w:val="Table of Contents"/>
          <w:docPartUnique/>
        </w:docPartObj>
      </w:sdtPr>
      <w:sdtEndPr>
        <w:rPr>
          <w:b/>
          <w:bCs/>
        </w:rPr>
      </w:sdtEndPr>
      <w:sdtContent>
        <w:p w14:paraId="5BB840F0" w14:textId="1C9ABDAC" w:rsidR="00043E1B" w:rsidRPr="0090515A" w:rsidRDefault="00043E1B" w:rsidP="00DF76F8">
          <w:pPr>
            <w:pStyle w:val="CabealhodoSumrio"/>
            <w:spacing w:line="360" w:lineRule="auto"/>
            <w:rPr>
              <w:rFonts w:ascii="Times New Roman" w:hAnsi="Times New Roman" w:cs="Times New Roman"/>
              <w:b/>
              <w:bCs/>
              <w:color w:val="auto"/>
              <w:sz w:val="24"/>
              <w:szCs w:val="24"/>
            </w:rPr>
          </w:pPr>
          <w:r w:rsidRPr="0090515A">
            <w:rPr>
              <w:rFonts w:ascii="Times New Roman" w:hAnsi="Times New Roman" w:cs="Times New Roman"/>
              <w:b/>
              <w:bCs/>
              <w:color w:val="auto"/>
              <w:sz w:val="24"/>
              <w:szCs w:val="24"/>
            </w:rPr>
            <w:t>Sumário</w:t>
          </w:r>
        </w:p>
        <w:p w14:paraId="402BAAFA" w14:textId="14280FE0" w:rsidR="0090515A" w:rsidRPr="0090515A" w:rsidRDefault="00043E1B">
          <w:pPr>
            <w:pStyle w:val="Sumrio1"/>
            <w:tabs>
              <w:tab w:val="left" w:pos="480"/>
              <w:tab w:val="right" w:leader="dot" w:pos="8494"/>
            </w:tabs>
            <w:rPr>
              <w:rFonts w:ascii="Times New Roman" w:eastAsiaTheme="minorEastAsia" w:hAnsi="Times New Roman" w:cs="Times New Roman"/>
              <w:noProof/>
              <w:lang w:eastAsia="pt-BR"/>
            </w:rPr>
          </w:pPr>
          <w:r w:rsidRPr="0090515A">
            <w:rPr>
              <w:rFonts w:ascii="Times New Roman" w:hAnsi="Times New Roman" w:cs="Times New Roman"/>
            </w:rPr>
            <w:fldChar w:fldCharType="begin"/>
          </w:r>
          <w:r w:rsidRPr="0090515A">
            <w:rPr>
              <w:rFonts w:ascii="Times New Roman" w:hAnsi="Times New Roman" w:cs="Times New Roman"/>
            </w:rPr>
            <w:instrText xml:space="preserve"> TOC \o "1-3" \h \z \u </w:instrText>
          </w:r>
          <w:r w:rsidRPr="0090515A">
            <w:rPr>
              <w:rFonts w:ascii="Times New Roman" w:hAnsi="Times New Roman" w:cs="Times New Roman"/>
            </w:rPr>
            <w:fldChar w:fldCharType="separate"/>
          </w:r>
          <w:hyperlink w:anchor="_Toc207439456" w:history="1">
            <w:r w:rsidR="0090515A" w:rsidRPr="0090515A">
              <w:rPr>
                <w:rStyle w:val="Hyperlink"/>
                <w:rFonts w:ascii="Times New Roman" w:hAnsi="Times New Roman" w:cs="Times New Roman"/>
                <w:noProof/>
              </w:rPr>
              <w:t>1.</w:t>
            </w:r>
            <w:r w:rsidR="0090515A" w:rsidRPr="0090515A">
              <w:rPr>
                <w:rFonts w:ascii="Times New Roman" w:eastAsiaTheme="minorEastAsia" w:hAnsi="Times New Roman" w:cs="Times New Roman"/>
                <w:noProof/>
                <w:lang w:eastAsia="pt-BR"/>
              </w:rPr>
              <w:tab/>
            </w:r>
            <w:r w:rsidR="0090515A" w:rsidRPr="0090515A">
              <w:rPr>
                <w:rStyle w:val="Hyperlink"/>
                <w:rFonts w:ascii="Times New Roman" w:hAnsi="Times New Roman" w:cs="Times New Roman"/>
                <w:noProof/>
              </w:rPr>
              <w:t>Introdução</w:t>
            </w:r>
            <w:r w:rsidR="0090515A" w:rsidRPr="0090515A">
              <w:rPr>
                <w:rFonts w:ascii="Times New Roman" w:hAnsi="Times New Roman" w:cs="Times New Roman"/>
                <w:noProof/>
                <w:webHidden/>
              </w:rPr>
              <w:tab/>
            </w:r>
            <w:r w:rsidR="0090515A" w:rsidRPr="0090515A">
              <w:rPr>
                <w:rFonts w:ascii="Times New Roman" w:hAnsi="Times New Roman" w:cs="Times New Roman"/>
                <w:noProof/>
                <w:webHidden/>
              </w:rPr>
              <w:fldChar w:fldCharType="begin"/>
            </w:r>
            <w:r w:rsidR="0090515A" w:rsidRPr="0090515A">
              <w:rPr>
                <w:rFonts w:ascii="Times New Roman" w:hAnsi="Times New Roman" w:cs="Times New Roman"/>
                <w:noProof/>
                <w:webHidden/>
              </w:rPr>
              <w:instrText xml:space="preserve"> PAGEREF _Toc207439456 \h </w:instrText>
            </w:r>
            <w:r w:rsidR="0090515A" w:rsidRPr="0090515A">
              <w:rPr>
                <w:rFonts w:ascii="Times New Roman" w:hAnsi="Times New Roman" w:cs="Times New Roman"/>
                <w:noProof/>
                <w:webHidden/>
              </w:rPr>
            </w:r>
            <w:r w:rsidR="0090515A" w:rsidRPr="0090515A">
              <w:rPr>
                <w:rFonts w:ascii="Times New Roman" w:hAnsi="Times New Roman" w:cs="Times New Roman"/>
                <w:noProof/>
                <w:webHidden/>
              </w:rPr>
              <w:fldChar w:fldCharType="separate"/>
            </w:r>
            <w:r w:rsidR="0090515A" w:rsidRPr="0090515A">
              <w:rPr>
                <w:rFonts w:ascii="Times New Roman" w:hAnsi="Times New Roman" w:cs="Times New Roman"/>
                <w:noProof/>
                <w:webHidden/>
              </w:rPr>
              <w:t>3</w:t>
            </w:r>
            <w:r w:rsidR="0090515A" w:rsidRPr="0090515A">
              <w:rPr>
                <w:rFonts w:ascii="Times New Roman" w:hAnsi="Times New Roman" w:cs="Times New Roman"/>
                <w:noProof/>
                <w:webHidden/>
              </w:rPr>
              <w:fldChar w:fldCharType="end"/>
            </w:r>
          </w:hyperlink>
        </w:p>
        <w:p w14:paraId="664B0A1E" w14:textId="2F70CFBA" w:rsidR="0090515A" w:rsidRPr="0090515A" w:rsidRDefault="0090515A">
          <w:pPr>
            <w:pStyle w:val="Sumrio1"/>
            <w:tabs>
              <w:tab w:val="left" w:pos="480"/>
              <w:tab w:val="right" w:leader="dot" w:pos="8494"/>
            </w:tabs>
            <w:rPr>
              <w:rFonts w:ascii="Times New Roman" w:eastAsiaTheme="minorEastAsia" w:hAnsi="Times New Roman" w:cs="Times New Roman"/>
              <w:noProof/>
              <w:lang w:eastAsia="pt-BR"/>
            </w:rPr>
          </w:pPr>
          <w:hyperlink w:anchor="_Toc207439457" w:history="1">
            <w:r w:rsidRPr="0090515A">
              <w:rPr>
                <w:rStyle w:val="Hyperlink"/>
                <w:rFonts w:ascii="Times New Roman" w:hAnsi="Times New Roman" w:cs="Times New Roman"/>
                <w:noProof/>
              </w:rPr>
              <w:t>2.</w:t>
            </w:r>
            <w:r w:rsidRPr="0090515A">
              <w:rPr>
                <w:rFonts w:ascii="Times New Roman" w:eastAsiaTheme="minorEastAsia" w:hAnsi="Times New Roman" w:cs="Times New Roman"/>
                <w:noProof/>
                <w:lang w:eastAsia="pt-BR"/>
              </w:rPr>
              <w:tab/>
            </w:r>
            <w:r w:rsidRPr="0090515A">
              <w:rPr>
                <w:rStyle w:val="Hyperlink"/>
                <w:rFonts w:ascii="Times New Roman" w:hAnsi="Times New Roman" w:cs="Times New Roman"/>
                <w:noProof/>
              </w:rPr>
              <w:t>Dados e Processamento</w:t>
            </w:r>
            <w:r w:rsidRPr="0090515A">
              <w:rPr>
                <w:rFonts w:ascii="Times New Roman" w:hAnsi="Times New Roman" w:cs="Times New Roman"/>
                <w:noProof/>
                <w:webHidden/>
              </w:rPr>
              <w:tab/>
            </w:r>
            <w:r w:rsidRPr="0090515A">
              <w:rPr>
                <w:rFonts w:ascii="Times New Roman" w:hAnsi="Times New Roman" w:cs="Times New Roman"/>
                <w:noProof/>
                <w:webHidden/>
              </w:rPr>
              <w:fldChar w:fldCharType="begin"/>
            </w:r>
            <w:r w:rsidRPr="0090515A">
              <w:rPr>
                <w:rFonts w:ascii="Times New Roman" w:hAnsi="Times New Roman" w:cs="Times New Roman"/>
                <w:noProof/>
                <w:webHidden/>
              </w:rPr>
              <w:instrText xml:space="preserve"> PAGEREF _Toc207439457 \h </w:instrText>
            </w:r>
            <w:r w:rsidRPr="0090515A">
              <w:rPr>
                <w:rFonts w:ascii="Times New Roman" w:hAnsi="Times New Roman" w:cs="Times New Roman"/>
                <w:noProof/>
                <w:webHidden/>
              </w:rPr>
            </w:r>
            <w:r w:rsidRPr="0090515A">
              <w:rPr>
                <w:rFonts w:ascii="Times New Roman" w:hAnsi="Times New Roman" w:cs="Times New Roman"/>
                <w:noProof/>
                <w:webHidden/>
              </w:rPr>
              <w:fldChar w:fldCharType="separate"/>
            </w:r>
            <w:r w:rsidRPr="0090515A">
              <w:rPr>
                <w:rFonts w:ascii="Times New Roman" w:hAnsi="Times New Roman" w:cs="Times New Roman"/>
                <w:noProof/>
                <w:webHidden/>
              </w:rPr>
              <w:t>4</w:t>
            </w:r>
            <w:r w:rsidRPr="0090515A">
              <w:rPr>
                <w:rFonts w:ascii="Times New Roman" w:hAnsi="Times New Roman" w:cs="Times New Roman"/>
                <w:noProof/>
                <w:webHidden/>
              </w:rPr>
              <w:fldChar w:fldCharType="end"/>
            </w:r>
          </w:hyperlink>
        </w:p>
        <w:p w14:paraId="67CFFDCF" w14:textId="4A18CE98" w:rsidR="0090515A" w:rsidRPr="0090515A" w:rsidRDefault="0090515A">
          <w:pPr>
            <w:pStyle w:val="Sumrio1"/>
            <w:tabs>
              <w:tab w:val="left" w:pos="480"/>
              <w:tab w:val="right" w:leader="dot" w:pos="8494"/>
            </w:tabs>
            <w:rPr>
              <w:rFonts w:ascii="Times New Roman" w:eastAsiaTheme="minorEastAsia" w:hAnsi="Times New Roman" w:cs="Times New Roman"/>
              <w:noProof/>
              <w:lang w:eastAsia="pt-BR"/>
            </w:rPr>
          </w:pPr>
          <w:hyperlink w:anchor="_Toc207439458" w:history="1">
            <w:r w:rsidRPr="0090515A">
              <w:rPr>
                <w:rStyle w:val="Hyperlink"/>
                <w:rFonts w:ascii="Times New Roman" w:hAnsi="Times New Roman" w:cs="Times New Roman"/>
                <w:noProof/>
              </w:rPr>
              <w:t>3.</w:t>
            </w:r>
            <w:r w:rsidRPr="0090515A">
              <w:rPr>
                <w:rFonts w:ascii="Times New Roman" w:eastAsiaTheme="minorEastAsia" w:hAnsi="Times New Roman" w:cs="Times New Roman"/>
                <w:noProof/>
                <w:lang w:eastAsia="pt-BR"/>
              </w:rPr>
              <w:tab/>
            </w:r>
            <w:r w:rsidRPr="0090515A">
              <w:rPr>
                <w:rStyle w:val="Hyperlink"/>
                <w:rFonts w:ascii="Times New Roman" w:hAnsi="Times New Roman" w:cs="Times New Roman"/>
                <w:noProof/>
              </w:rPr>
              <w:t>Análise Descritiva dos Dados</w:t>
            </w:r>
            <w:r w:rsidRPr="0090515A">
              <w:rPr>
                <w:rFonts w:ascii="Times New Roman" w:hAnsi="Times New Roman" w:cs="Times New Roman"/>
                <w:noProof/>
                <w:webHidden/>
              </w:rPr>
              <w:tab/>
            </w:r>
            <w:r w:rsidRPr="0090515A">
              <w:rPr>
                <w:rFonts w:ascii="Times New Roman" w:hAnsi="Times New Roman" w:cs="Times New Roman"/>
                <w:noProof/>
                <w:webHidden/>
              </w:rPr>
              <w:fldChar w:fldCharType="begin"/>
            </w:r>
            <w:r w:rsidRPr="0090515A">
              <w:rPr>
                <w:rFonts w:ascii="Times New Roman" w:hAnsi="Times New Roman" w:cs="Times New Roman"/>
                <w:noProof/>
                <w:webHidden/>
              </w:rPr>
              <w:instrText xml:space="preserve"> PAGEREF _Toc207439458 \h </w:instrText>
            </w:r>
            <w:r w:rsidRPr="0090515A">
              <w:rPr>
                <w:rFonts w:ascii="Times New Roman" w:hAnsi="Times New Roman" w:cs="Times New Roman"/>
                <w:noProof/>
                <w:webHidden/>
              </w:rPr>
            </w:r>
            <w:r w:rsidRPr="0090515A">
              <w:rPr>
                <w:rFonts w:ascii="Times New Roman" w:hAnsi="Times New Roman" w:cs="Times New Roman"/>
                <w:noProof/>
                <w:webHidden/>
              </w:rPr>
              <w:fldChar w:fldCharType="separate"/>
            </w:r>
            <w:r w:rsidRPr="0090515A">
              <w:rPr>
                <w:rFonts w:ascii="Times New Roman" w:hAnsi="Times New Roman" w:cs="Times New Roman"/>
                <w:noProof/>
                <w:webHidden/>
              </w:rPr>
              <w:t>5</w:t>
            </w:r>
            <w:r w:rsidRPr="0090515A">
              <w:rPr>
                <w:rFonts w:ascii="Times New Roman" w:hAnsi="Times New Roman" w:cs="Times New Roman"/>
                <w:noProof/>
                <w:webHidden/>
              </w:rPr>
              <w:fldChar w:fldCharType="end"/>
            </w:r>
          </w:hyperlink>
        </w:p>
        <w:p w14:paraId="3148D108" w14:textId="4684C6E6" w:rsidR="0090515A" w:rsidRPr="0090515A" w:rsidRDefault="0090515A">
          <w:pPr>
            <w:pStyle w:val="Sumrio1"/>
            <w:tabs>
              <w:tab w:val="left" w:pos="480"/>
              <w:tab w:val="right" w:leader="dot" w:pos="8494"/>
            </w:tabs>
            <w:rPr>
              <w:rFonts w:ascii="Times New Roman" w:eastAsiaTheme="minorEastAsia" w:hAnsi="Times New Roman" w:cs="Times New Roman"/>
              <w:noProof/>
              <w:lang w:eastAsia="pt-BR"/>
            </w:rPr>
          </w:pPr>
          <w:hyperlink w:anchor="_Toc207439459" w:history="1">
            <w:r w:rsidRPr="0090515A">
              <w:rPr>
                <w:rStyle w:val="Hyperlink"/>
                <w:rFonts w:ascii="Times New Roman" w:hAnsi="Times New Roman" w:cs="Times New Roman"/>
                <w:noProof/>
              </w:rPr>
              <w:t>4.</w:t>
            </w:r>
            <w:r w:rsidRPr="0090515A">
              <w:rPr>
                <w:rFonts w:ascii="Times New Roman" w:eastAsiaTheme="minorEastAsia" w:hAnsi="Times New Roman" w:cs="Times New Roman"/>
                <w:noProof/>
                <w:lang w:eastAsia="pt-BR"/>
              </w:rPr>
              <w:tab/>
            </w:r>
            <w:r w:rsidRPr="0090515A">
              <w:rPr>
                <w:rStyle w:val="Hyperlink"/>
                <w:rFonts w:ascii="Times New Roman" w:hAnsi="Times New Roman" w:cs="Times New Roman"/>
                <w:noProof/>
              </w:rPr>
              <w:t>Considerações Finais</w:t>
            </w:r>
            <w:r w:rsidRPr="0090515A">
              <w:rPr>
                <w:rFonts w:ascii="Times New Roman" w:hAnsi="Times New Roman" w:cs="Times New Roman"/>
                <w:noProof/>
                <w:webHidden/>
              </w:rPr>
              <w:tab/>
            </w:r>
            <w:r w:rsidRPr="0090515A">
              <w:rPr>
                <w:rFonts w:ascii="Times New Roman" w:hAnsi="Times New Roman" w:cs="Times New Roman"/>
                <w:noProof/>
                <w:webHidden/>
              </w:rPr>
              <w:fldChar w:fldCharType="begin"/>
            </w:r>
            <w:r w:rsidRPr="0090515A">
              <w:rPr>
                <w:rFonts w:ascii="Times New Roman" w:hAnsi="Times New Roman" w:cs="Times New Roman"/>
                <w:noProof/>
                <w:webHidden/>
              </w:rPr>
              <w:instrText xml:space="preserve"> PAGEREF _Toc207439459 \h </w:instrText>
            </w:r>
            <w:r w:rsidRPr="0090515A">
              <w:rPr>
                <w:rFonts w:ascii="Times New Roman" w:hAnsi="Times New Roman" w:cs="Times New Roman"/>
                <w:noProof/>
                <w:webHidden/>
              </w:rPr>
            </w:r>
            <w:r w:rsidRPr="0090515A">
              <w:rPr>
                <w:rFonts w:ascii="Times New Roman" w:hAnsi="Times New Roman" w:cs="Times New Roman"/>
                <w:noProof/>
                <w:webHidden/>
              </w:rPr>
              <w:fldChar w:fldCharType="separate"/>
            </w:r>
            <w:r w:rsidRPr="0090515A">
              <w:rPr>
                <w:rFonts w:ascii="Times New Roman" w:hAnsi="Times New Roman" w:cs="Times New Roman"/>
                <w:noProof/>
                <w:webHidden/>
              </w:rPr>
              <w:t>11</w:t>
            </w:r>
            <w:r w:rsidRPr="0090515A">
              <w:rPr>
                <w:rFonts w:ascii="Times New Roman" w:hAnsi="Times New Roman" w:cs="Times New Roman"/>
                <w:noProof/>
                <w:webHidden/>
              </w:rPr>
              <w:fldChar w:fldCharType="end"/>
            </w:r>
          </w:hyperlink>
        </w:p>
        <w:p w14:paraId="5187E9C9" w14:textId="1A265643" w:rsidR="0090515A" w:rsidRPr="0090515A" w:rsidRDefault="0090515A">
          <w:pPr>
            <w:pStyle w:val="Sumrio1"/>
            <w:tabs>
              <w:tab w:val="left" w:pos="480"/>
              <w:tab w:val="right" w:leader="dot" w:pos="8494"/>
            </w:tabs>
            <w:rPr>
              <w:rFonts w:ascii="Times New Roman" w:eastAsiaTheme="minorEastAsia" w:hAnsi="Times New Roman" w:cs="Times New Roman"/>
              <w:noProof/>
              <w:lang w:eastAsia="pt-BR"/>
            </w:rPr>
          </w:pPr>
          <w:hyperlink w:anchor="_Toc207439460" w:history="1">
            <w:r w:rsidRPr="0090515A">
              <w:rPr>
                <w:rStyle w:val="Hyperlink"/>
                <w:rFonts w:ascii="Times New Roman" w:hAnsi="Times New Roman" w:cs="Times New Roman"/>
                <w:noProof/>
              </w:rPr>
              <w:t>5.</w:t>
            </w:r>
            <w:r w:rsidRPr="0090515A">
              <w:rPr>
                <w:rFonts w:ascii="Times New Roman" w:eastAsiaTheme="minorEastAsia" w:hAnsi="Times New Roman" w:cs="Times New Roman"/>
                <w:noProof/>
                <w:lang w:eastAsia="pt-BR"/>
              </w:rPr>
              <w:tab/>
            </w:r>
            <w:r w:rsidRPr="0090515A">
              <w:rPr>
                <w:rStyle w:val="Hyperlink"/>
                <w:rFonts w:ascii="Times New Roman" w:hAnsi="Times New Roman" w:cs="Times New Roman"/>
                <w:noProof/>
              </w:rPr>
              <w:t>Referências</w:t>
            </w:r>
            <w:r w:rsidRPr="0090515A">
              <w:rPr>
                <w:rFonts w:ascii="Times New Roman" w:hAnsi="Times New Roman" w:cs="Times New Roman"/>
                <w:noProof/>
                <w:webHidden/>
              </w:rPr>
              <w:tab/>
            </w:r>
            <w:r w:rsidRPr="0090515A">
              <w:rPr>
                <w:rFonts w:ascii="Times New Roman" w:hAnsi="Times New Roman" w:cs="Times New Roman"/>
                <w:noProof/>
                <w:webHidden/>
              </w:rPr>
              <w:fldChar w:fldCharType="begin"/>
            </w:r>
            <w:r w:rsidRPr="0090515A">
              <w:rPr>
                <w:rFonts w:ascii="Times New Roman" w:hAnsi="Times New Roman" w:cs="Times New Roman"/>
                <w:noProof/>
                <w:webHidden/>
              </w:rPr>
              <w:instrText xml:space="preserve"> PAGEREF _Toc207439460 \h </w:instrText>
            </w:r>
            <w:r w:rsidRPr="0090515A">
              <w:rPr>
                <w:rFonts w:ascii="Times New Roman" w:hAnsi="Times New Roman" w:cs="Times New Roman"/>
                <w:noProof/>
                <w:webHidden/>
              </w:rPr>
            </w:r>
            <w:r w:rsidRPr="0090515A">
              <w:rPr>
                <w:rFonts w:ascii="Times New Roman" w:hAnsi="Times New Roman" w:cs="Times New Roman"/>
                <w:noProof/>
                <w:webHidden/>
              </w:rPr>
              <w:fldChar w:fldCharType="separate"/>
            </w:r>
            <w:r w:rsidRPr="0090515A">
              <w:rPr>
                <w:rFonts w:ascii="Times New Roman" w:hAnsi="Times New Roman" w:cs="Times New Roman"/>
                <w:noProof/>
                <w:webHidden/>
              </w:rPr>
              <w:t>11</w:t>
            </w:r>
            <w:r w:rsidRPr="0090515A">
              <w:rPr>
                <w:rFonts w:ascii="Times New Roman" w:hAnsi="Times New Roman" w:cs="Times New Roman"/>
                <w:noProof/>
                <w:webHidden/>
              </w:rPr>
              <w:fldChar w:fldCharType="end"/>
            </w:r>
          </w:hyperlink>
        </w:p>
        <w:p w14:paraId="465099B4" w14:textId="6620A19A" w:rsidR="00043E1B" w:rsidRPr="00043E1B" w:rsidRDefault="00043E1B" w:rsidP="00043E1B">
          <w:pPr>
            <w:rPr>
              <w:rFonts w:ascii="Times New Roman" w:hAnsi="Times New Roman" w:cs="Times New Roman"/>
            </w:rPr>
          </w:pPr>
          <w:r w:rsidRPr="0090515A">
            <w:rPr>
              <w:rFonts w:ascii="Times New Roman" w:hAnsi="Times New Roman" w:cs="Times New Roman"/>
              <w:b/>
              <w:bCs/>
            </w:rPr>
            <w:fldChar w:fldCharType="end"/>
          </w:r>
        </w:p>
      </w:sdtContent>
    </w:sdt>
    <w:p w14:paraId="4162BCA7" w14:textId="3468E896" w:rsidR="00AB6925" w:rsidRPr="00E46E86" w:rsidRDefault="00043E1B" w:rsidP="00513028">
      <w:pPr>
        <w:spacing w:after="0" w:line="360" w:lineRule="auto"/>
        <w:rPr>
          <w:rFonts w:ascii="Times New Roman" w:hAnsi="Times New Roman" w:cs="Times New Roman"/>
          <w:b/>
          <w:bCs/>
        </w:rPr>
      </w:pPr>
      <w:r>
        <w:br w:type="page"/>
      </w:r>
      <w:r w:rsidRPr="00E46E86">
        <w:rPr>
          <w:rFonts w:ascii="Times New Roman" w:hAnsi="Times New Roman" w:cs="Times New Roman"/>
          <w:b/>
          <w:bCs/>
        </w:rPr>
        <w:lastRenderedPageBreak/>
        <w:t>Resumo</w:t>
      </w:r>
    </w:p>
    <w:p w14:paraId="3F0E9334" w14:textId="1C53076B" w:rsidR="00E46E86" w:rsidRPr="00E46E86" w:rsidRDefault="00E46E86" w:rsidP="00E46E86">
      <w:pPr>
        <w:spacing w:after="0" w:line="240" w:lineRule="auto"/>
        <w:jc w:val="both"/>
        <w:rPr>
          <w:rFonts w:ascii="Times New Roman" w:hAnsi="Times New Roman" w:cs="Times New Roman"/>
        </w:rPr>
      </w:pPr>
      <w:r w:rsidRPr="00E46E86">
        <w:rPr>
          <w:rFonts w:ascii="Times New Roman" w:hAnsi="Times New Roman" w:cs="Times New Roman"/>
        </w:rPr>
        <w:t>Este estudo</w:t>
      </w:r>
      <w:r w:rsidR="00245FAE">
        <w:rPr>
          <w:rFonts w:ascii="Times New Roman" w:hAnsi="Times New Roman" w:cs="Times New Roman"/>
        </w:rPr>
        <w:t xml:space="preserve"> faz uma análise estatística d</w:t>
      </w:r>
      <w:r w:rsidRPr="00E46E86">
        <w:rPr>
          <w:rFonts w:ascii="Times New Roman" w:hAnsi="Times New Roman" w:cs="Times New Roman"/>
        </w:rPr>
        <w:t>o</w:t>
      </w:r>
      <w:r w:rsidR="00896A1F">
        <w:rPr>
          <w:rFonts w:ascii="Times New Roman" w:hAnsi="Times New Roman" w:cs="Times New Roman"/>
        </w:rPr>
        <w:t xml:space="preserve"> perfil dos</w:t>
      </w:r>
      <w:r w:rsidRPr="00E46E86">
        <w:rPr>
          <w:rFonts w:ascii="Times New Roman" w:hAnsi="Times New Roman" w:cs="Times New Roman"/>
        </w:rPr>
        <w:t xml:space="preserve"> trabalhadores formais na Paraíba entre os anos de 2021 e 2024, com base em dados da RAIS. Os resultados mostram que a força de trabalho é predominantemente composta por indivíduos em idades intermediárias, entre 25 e 45 anos, com menor participação de jovens e idosos. A distribuição etária apresenta leve assimetria positiva, refletindo maior concentração em idades produtivas, e curtose moderada, indicando concentração em torno da média.</w:t>
      </w:r>
      <w:r w:rsidR="00896A1F">
        <w:rPr>
          <w:rFonts w:ascii="Times New Roman" w:hAnsi="Times New Roman" w:cs="Times New Roman"/>
        </w:rPr>
        <w:t xml:space="preserve"> Foi evidenciado a diminuição da força de trabalho qualificada com ensino superior e aumento da participação da mão de obra masculina.</w:t>
      </w:r>
      <w:r w:rsidRPr="00E46E86">
        <w:rPr>
          <w:rFonts w:ascii="Times New Roman" w:hAnsi="Times New Roman" w:cs="Times New Roman"/>
        </w:rPr>
        <w:t xml:space="preserve"> Quanto às remunerações, mesmo após transformação logarítmica, observou-se forte assimetria positiva e alta curtose, revelando grande concentração de trabalhadores em faixas salariais mais baixas, coexistindo com uma minoria que recebe valores elevados. Esse padrão confirma a presença de desigualdade salarial significativa. Conclui-se que o mercado de trabalho formal na Paraíba apresenta estabilidade etária, mas mantém elevada heterogeneidade salarial, evidenciando a necessidade de políticas públicas que promovam maior equidade e inclusão.</w:t>
      </w:r>
    </w:p>
    <w:p w14:paraId="2D320224" w14:textId="77777777" w:rsidR="00E46E86" w:rsidRPr="00E46E86" w:rsidRDefault="00E46E86" w:rsidP="00E46E86">
      <w:pPr>
        <w:spacing w:after="0" w:line="240" w:lineRule="auto"/>
        <w:jc w:val="both"/>
        <w:rPr>
          <w:rFonts w:ascii="Times New Roman" w:hAnsi="Times New Roman" w:cs="Times New Roman"/>
        </w:rPr>
      </w:pPr>
    </w:p>
    <w:p w14:paraId="24CD537A" w14:textId="7288E728" w:rsidR="001253B0" w:rsidRPr="00E46E86" w:rsidRDefault="00E46E86" w:rsidP="00E46E86">
      <w:pPr>
        <w:spacing w:after="0" w:line="240" w:lineRule="auto"/>
        <w:jc w:val="both"/>
        <w:rPr>
          <w:rFonts w:ascii="Times New Roman" w:hAnsi="Times New Roman" w:cs="Times New Roman"/>
        </w:rPr>
      </w:pPr>
      <w:r w:rsidRPr="00E46E86">
        <w:rPr>
          <w:rFonts w:ascii="Times New Roman" w:hAnsi="Times New Roman" w:cs="Times New Roman"/>
          <w:b/>
          <w:bCs/>
        </w:rPr>
        <w:t>Palavras-chave:</w:t>
      </w:r>
      <w:r w:rsidRPr="00E46E86">
        <w:rPr>
          <w:rFonts w:ascii="Times New Roman" w:hAnsi="Times New Roman" w:cs="Times New Roman"/>
        </w:rPr>
        <w:t xml:space="preserve"> mercado de trabalho; RAIS; distribuição etária; remuneração; desigualdade salarial.</w:t>
      </w:r>
    </w:p>
    <w:p w14:paraId="681B82AC" w14:textId="77777777" w:rsidR="00E46E86" w:rsidRPr="00E46E86" w:rsidRDefault="00E46E86" w:rsidP="00E46E86">
      <w:pPr>
        <w:spacing w:after="0" w:line="240" w:lineRule="auto"/>
        <w:jc w:val="both"/>
        <w:rPr>
          <w:rFonts w:ascii="Times New Roman" w:hAnsi="Times New Roman" w:cs="Times New Roman"/>
        </w:rPr>
      </w:pPr>
    </w:p>
    <w:p w14:paraId="43FD3CB8" w14:textId="0430E4EC" w:rsidR="00513028" w:rsidRPr="00E46E86" w:rsidRDefault="00FE0DFF" w:rsidP="00513028">
      <w:pPr>
        <w:spacing w:after="0" w:line="360" w:lineRule="auto"/>
        <w:jc w:val="both"/>
        <w:rPr>
          <w:rFonts w:ascii="Times New Roman" w:hAnsi="Times New Roman" w:cs="Times New Roman"/>
          <w:b/>
          <w:bCs/>
          <w:lang w:val="en-US"/>
        </w:rPr>
      </w:pPr>
      <w:r w:rsidRPr="00E46E86">
        <w:rPr>
          <w:rFonts w:ascii="Times New Roman" w:hAnsi="Times New Roman" w:cs="Times New Roman"/>
          <w:b/>
          <w:bCs/>
          <w:lang w:val="en-US"/>
        </w:rPr>
        <w:t>Abstract</w:t>
      </w:r>
    </w:p>
    <w:p w14:paraId="064A9A6D" w14:textId="69CFC215" w:rsidR="00245FAE" w:rsidRDefault="003A2572" w:rsidP="00E46E86">
      <w:pPr>
        <w:spacing w:after="0" w:line="240" w:lineRule="auto"/>
        <w:jc w:val="both"/>
        <w:rPr>
          <w:rFonts w:ascii="Times New Roman" w:hAnsi="Times New Roman" w:cs="Times New Roman"/>
          <w:lang w:val="en-US"/>
        </w:rPr>
      </w:pPr>
      <w:r w:rsidRPr="003A2572">
        <w:rPr>
          <w:rFonts w:ascii="Times New Roman" w:hAnsi="Times New Roman" w:cs="Times New Roman"/>
          <w:lang w:val="en-US"/>
        </w:rPr>
        <w:t>This study provides a statistical analysis of the profile of formal workers in Paraíba between the years 2021 and 2024, based on data from RAIS. The results show that the workforce is predominantly composed of individuals in intermediate ages, between 25 and 45 years old, with lower participation from young people and the elderly. The age distribution shows a slight positive skew, reflecting a higher concentration in productive ages, and moderate kurtosis, indicating a concentration around the mean. A decrease in the qualified workforce with higher education and an increase in the participation of the male workforce were evidenced. Regarding remuneration, even after logarithmic transformation, a strong positive skew and high kurtosis were observed, revealing a large concentration of workers in lower salary ranges, coexisting with a minority that receives high values. This pattern confirms the presence of significant wage inequality. It is concluded that the formal labor market in Paraíba shows age stability but maintains high wage heterogeneity, highlighting the need for public policies that promote greater equity and inclusion.</w:t>
      </w:r>
    </w:p>
    <w:p w14:paraId="4D486058" w14:textId="77777777" w:rsidR="003A2572" w:rsidRPr="003A2572" w:rsidRDefault="003A2572" w:rsidP="00E46E86">
      <w:pPr>
        <w:spacing w:after="0" w:line="240" w:lineRule="auto"/>
        <w:jc w:val="both"/>
        <w:rPr>
          <w:rFonts w:ascii="Times New Roman" w:hAnsi="Times New Roman" w:cs="Times New Roman"/>
          <w:lang w:val="en-US"/>
        </w:rPr>
      </w:pPr>
    </w:p>
    <w:p w14:paraId="06AB3CB2" w14:textId="47BCE333" w:rsidR="00FE0DFF" w:rsidRPr="00E46E86" w:rsidRDefault="00E46E86" w:rsidP="00E46E86">
      <w:pPr>
        <w:spacing w:after="0" w:line="240" w:lineRule="auto"/>
        <w:jc w:val="both"/>
        <w:rPr>
          <w:rFonts w:ascii="Times New Roman" w:hAnsi="Times New Roman" w:cs="Times New Roman"/>
          <w:lang w:val="en-US"/>
        </w:rPr>
      </w:pPr>
      <w:r w:rsidRPr="00E46E86">
        <w:rPr>
          <w:rFonts w:ascii="Times New Roman" w:hAnsi="Times New Roman" w:cs="Times New Roman"/>
          <w:b/>
          <w:bCs/>
          <w:lang w:val="en-US"/>
        </w:rPr>
        <w:t>Keywords:</w:t>
      </w:r>
      <w:r w:rsidRPr="00E46E86">
        <w:rPr>
          <w:rFonts w:ascii="Times New Roman" w:hAnsi="Times New Roman" w:cs="Times New Roman"/>
          <w:lang w:val="en-US"/>
        </w:rPr>
        <w:t xml:space="preserve"> labor market; RAIS; age distribution; wages; income inequality.</w:t>
      </w:r>
    </w:p>
    <w:p w14:paraId="322C46FA" w14:textId="7A66F00B" w:rsidR="00F80BDD" w:rsidRPr="00E46E86" w:rsidRDefault="00043E1B" w:rsidP="00E46E86">
      <w:pPr>
        <w:pStyle w:val="Ttulo1"/>
        <w:numPr>
          <w:ilvl w:val="0"/>
          <w:numId w:val="1"/>
        </w:numPr>
        <w:spacing w:line="360" w:lineRule="auto"/>
        <w:ind w:left="284" w:hanging="284"/>
        <w:rPr>
          <w:rFonts w:cs="Times New Roman"/>
          <w:szCs w:val="24"/>
        </w:rPr>
      </w:pPr>
      <w:bookmarkStart w:id="0" w:name="_Toc207439456"/>
      <w:r w:rsidRPr="00E46E86">
        <w:rPr>
          <w:rFonts w:cs="Times New Roman"/>
          <w:szCs w:val="24"/>
        </w:rPr>
        <w:t>Introdução</w:t>
      </w:r>
      <w:bookmarkEnd w:id="0"/>
    </w:p>
    <w:p w14:paraId="2A83FDE2" w14:textId="1935B758" w:rsidR="00E46E86" w:rsidRPr="00E46E86"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r>
      <w:r w:rsidR="00245FAE">
        <w:rPr>
          <w:rFonts w:ascii="Times New Roman" w:hAnsi="Times New Roman" w:cs="Times New Roman"/>
        </w:rPr>
        <w:t>Com a análise do</w:t>
      </w:r>
      <w:r w:rsidR="00E46E86" w:rsidRPr="00E46E86">
        <w:rPr>
          <w:rFonts w:ascii="Times New Roman" w:hAnsi="Times New Roman" w:cs="Times New Roman"/>
        </w:rPr>
        <w:t xml:space="preserve"> mercado de trabalho formal compreen</w:t>
      </w:r>
      <w:r w:rsidR="00245FAE">
        <w:rPr>
          <w:rFonts w:ascii="Times New Roman" w:hAnsi="Times New Roman" w:cs="Times New Roman"/>
        </w:rPr>
        <w:t>de-se</w:t>
      </w:r>
      <w:r w:rsidR="00E46E86" w:rsidRPr="00E46E86">
        <w:rPr>
          <w:rFonts w:ascii="Times New Roman" w:hAnsi="Times New Roman" w:cs="Times New Roman"/>
        </w:rPr>
        <w:t xml:space="preserve"> a</w:t>
      </w:r>
      <w:r w:rsidR="00245FAE">
        <w:rPr>
          <w:rFonts w:ascii="Times New Roman" w:hAnsi="Times New Roman" w:cs="Times New Roman"/>
        </w:rPr>
        <w:t>s</w:t>
      </w:r>
      <w:r w:rsidR="00E46E86" w:rsidRPr="00E46E86">
        <w:rPr>
          <w:rFonts w:ascii="Times New Roman" w:hAnsi="Times New Roman" w:cs="Times New Roman"/>
        </w:rPr>
        <w:t xml:space="preserve"> dinâmicas socioeconômicas de um território, refletindo tanto as condições de inserção dos trabalhadores quanto a estrutura produtiva vigente. A análise de indicadores como idade</w:t>
      </w:r>
      <w:r w:rsidR="003A2572">
        <w:rPr>
          <w:rFonts w:ascii="Times New Roman" w:hAnsi="Times New Roman" w:cs="Times New Roman"/>
        </w:rPr>
        <w:t>, escolaridade, sexo</w:t>
      </w:r>
      <w:r w:rsidR="00E46E86" w:rsidRPr="00E46E86">
        <w:rPr>
          <w:rFonts w:ascii="Times New Roman" w:hAnsi="Times New Roman" w:cs="Times New Roman"/>
        </w:rPr>
        <w:t xml:space="preserve"> e remuneração dos empregados é fundamental para a formulação de diagnósticos mais precisos sobre a composição da força de trabalho, bem como sobre as desigualdades que marcam o acesso e a distribuição da renda.</w:t>
      </w:r>
    </w:p>
    <w:p w14:paraId="508C247E" w14:textId="77777777" w:rsidR="003A2572" w:rsidRDefault="00F124FD" w:rsidP="00E46E86">
      <w:pPr>
        <w:spacing w:line="360" w:lineRule="auto"/>
        <w:jc w:val="both"/>
        <w:rPr>
          <w:rFonts w:ascii="Times New Roman" w:hAnsi="Times New Roman" w:cs="Times New Roman"/>
        </w:rPr>
      </w:pPr>
      <w:r>
        <w:rPr>
          <w:rFonts w:ascii="Times New Roman" w:hAnsi="Times New Roman" w:cs="Times New Roman"/>
        </w:rPr>
        <w:lastRenderedPageBreak/>
        <w:tab/>
      </w:r>
      <w:r w:rsidR="003A2572" w:rsidRPr="003A2572">
        <w:rPr>
          <w:rFonts w:ascii="Times New Roman" w:hAnsi="Times New Roman" w:cs="Times New Roman"/>
        </w:rPr>
        <w:t>No caso da Paraíba, a análise da configuração etária dos trabalhadores formais é fundamental para avaliar o processo de renovação da mão de obra, a inserção de jovens no mercado e a permanência de profissionais mais experientes. O estudo da distribuição de remunerações, por sua vez, fornece subsídios para identificar desigualdades salariais e padrões de concentração de renda. Adicionalmente, a análise da mão de obra por gênero e nível de escolaridade é crucial para compor um diagnóstico completo sobre a estrutura do mercado de trabalho, seus desafios de inclusão e suas oportunidades de desenvolvimento.</w:t>
      </w:r>
    </w:p>
    <w:p w14:paraId="7FB2BB3F" w14:textId="3C3A6982" w:rsidR="00E46E86" w:rsidRPr="00E46E86" w:rsidRDefault="003A2572" w:rsidP="00E46E86">
      <w:pPr>
        <w:spacing w:line="360" w:lineRule="auto"/>
        <w:jc w:val="both"/>
        <w:rPr>
          <w:rFonts w:ascii="Times New Roman" w:hAnsi="Times New Roman" w:cs="Times New Roman"/>
        </w:rPr>
      </w:pPr>
      <w:r>
        <w:rPr>
          <w:rFonts w:ascii="Times New Roman" w:hAnsi="Times New Roman" w:cs="Times New Roman"/>
        </w:rPr>
        <w:tab/>
      </w:r>
      <w:r w:rsidR="00E46E86" w:rsidRPr="00E46E86">
        <w:rPr>
          <w:rFonts w:ascii="Times New Roman" w:hAnsi="Times New Roman" w:cs="Times New Roman"/>
        </w:rPr>
        <w:t>O uso da RAIS (Relação Anual de Informações Sociais), por sua abrangência e detalhamento, possibilita investigar tais desigualdades com elevado nível de precisão, uma vez que contempla praticamente todo o universo dos vínculos formais de trabalho.</w:t>
      </w:r>
    </w:p>
    <w:p w14:paraId="06C65F45" w14:textId="6D20792C" w:rsidR="00E46E86" w:rsidRPr="00E46E86" w:rsidRDefault="00E46E86" w:rsidP="00E46E86">
      <w:pPr>
        <w:spacing w:line="360" w:lineRule="auto"/>
        <w:jc w:val="both"/>
        <w:rPr>
          <w:rFonts w:ascii="Times New Roman" w:hAnsi="Times New Roman" w:cs="Times New Roman"/>
        </w:rPr>
      </w:pPr>
      <w:r w:rsidRPr="00E46E86">
        <w:rPr>
          <w:rFonts w:ascii="Times New Roman" w:hAnsi="Times New Roman" w:cs="Times New Roman"/>
        </w:rPr>
        <w:tab/>
      </w:r>
      <w:r w:rsidR="00686B48">
        <w:rPr>
          <w:rFonts w:ascii="Times New Roman" w:hAnsi="Times New Roman" w:cs="Times New Roman"/>
        </w:rPr>
        <w:t>Esse estudo propõe analisar de forma estatística o perfil dos trabalhadores formais no</w:t>
      </w:r>
      <w:r w:rsidRPr="00E46E86">
        <w:rPr>
          <w:rFonts w:ascii="Times New Roman" w:hAnsi="Times New Roman" w:cs="Times New Roman"/>
        </w:rPr>
        <w:t xml:space="preserve"> período de 2021 a 2024</w:t>
      </w:r>
      <w:r w:rsidR="00686B48">
        <w:rPr>
          <w:rFonts w:ascii="Times New Roman" w:hAnsi="Times New Roman" w:cs="Times New Roman"/>
        </w:rPr>
        <w:t xml:space="preserve"> com uso dos microdados da RAIS. A relevância da escolha desse período é porque </w:t>
      </w:r>
      <w:r w:rsidRPr="00E46E86">
        <w:rPr>
          <w:rFonts w:ascii="Times New Roman" w:hAnsi="Times New Roman" w:cs="Times New Roman"/>
        </w:rPr>
        <w:t>abrange um intervalo de recuperação econômica após os efeitos mais agudos da pandemia da COVID-19. Nesse contexto, avaliar a distribuição etária e salarial na Paraíba permite compreender em que medida houve recomposição do mercado formal.</w:t>
      </w:r>
    </w:p>
    <w:p w14:paraId="6E2DE085" w14:textId="13903524" w:rsidR="00924F1C" w:rsidRPr="00E46E86" w:rsidRDefault="00E46E86" w:rsidP="00E46E86">
      <w:pPr>
        <w:spacing w:line="360" w:lineRule="auto"/>
        <w:jc w:val="both"/>
        <w:rPr>
          <w:rFonts w:ascii="Times New Roman" w:eastAsiaTheme="minorEastAsia" w:hAnsi="Times New Roman" w:cs="Times New Roman"/>
        </w:rPr>
      </w:pPr>
      <w:r w:rsidRPr="00E46E86">
        <w:rPr>
          <w:rFonts w:ascii="Times New Roman" w:hAnsi="Times New Roman" w:cs="Times New Roman"/>
        </w:rPr>
        <w:tab/>
        <w:t>Dessa forma, este estudo busca examinar</w:t>
      </w:r>
      <w:r w:rsidR="00686B48">
        <w:rPr>
          <w:rFonts w:ascii="Times New Roman" w:hAnsi="Times New Roman" w:cs="Times New Roman"/>
        </w:rPr>
        <w:t xml:space="preserve"> o perfil dos trabalhadores formais da Paraíba, assim como</w:t>
      </w:r>
      <w:r w:rsidRPr="00E46E86">
        <w:rPr>
          <w:rFonts w:ascii="Times New Roman" w:hAnsi="Times New Roman" w:cs="Times New Roman"/>
        </w:rPr>
        <w:t xml:space="preserve"> as distribuições de idade</w:t>
      </w:r>
      <w:r w:rsidR="00C7720E">
        <w:rPr>
          <w:rFonts w:ascii="Times New Roman" w:hAnsi="Times New Roman" w:cs="Times New Roman"/>
        </w:rPr>
        <w:t xml:space="preserve"> e</w:t>
      </w:r>
      <w:r w:rsidRPr="00E46E86">
        <w:rPr>
          <w:rFonts w:ascii="Times New Roman" w:hAnsi="Times New Roman" w:cs="Times New Roman"/>
        </w:rPr>
        <w:t xml:space="preserve"> remuneração, destacando seus padrões de assimetria e curtose. </w:t>
      </w:r>
      <w:r w:rsidR="00686B48" w:rsidRPr="00E46E86">
        <w:rPr>
          <w:rFonts w:ascii="Times New Roman" w:hAnsi="Times New Roman" w:cs="Times New Roman"/>
        </w:rPr>
        <w:t xml:space="preserve">A investigação dessas medidas estatísticas </w:t>
      </w:r>
      <w:r w:rsidR="00686B48">
        <w:rPr>
          <w:rFonts w:ascii="Times New Roman" w:hAnsi="Times New Roman" w:cs="Times New Roman"/>
        </w:rPr>
        <w:t>é essencial</w:t>
      </w:r>
      <w:r w:rsidRPr="00E46E86">
        <w:rPr>
          <w:rFonts w:ascii="Times New Roman" w:hAnsi="Times New Roman" w:cs="Times New Roman"/>
        </w:rPr>
        <w:t>, pois a assimetria indica se há concentração maior de valores em determinadas faixas etárias ou salariais, enquanto a curtose evidencia a intensidade dessa concentração em torno da média. Em conjunto, esses elementos fornecem uma visão mais robusta da heterogeneidade da força de trabalho e das disparidades de renda.</w:t>
      </w:r>
    </w:p>
    <w:p w14:paraId="530E6BAC" w14:textId="6C12051D" w:rsidR="00287F5F" w:rsidRPr="00E46E86" w:rsidRDefault="00287F5F" w:rsidP="00E46E86">
      <w:pPr>
        <w:pStyle w:val="Ttulo1"/>
        <w:numPr>
          <w:ilvl w:val="0"/>
          <w:numId w:val="1"/>
        </w:numPr>
        <w:spacing w:line="360" w:lineRule="auto"/>
        <w:ind w:left="284" w:hanging="284"/>
        <w:rPr>
          <w:rFonts w:cs="Times New Roman"/>
          <w:szCs w:val="24"/>
        </w:rPr>
      </w:pPr>
      <w:bookmarkStart w:id="1" w:name="_Toc207439457"/>
      <w:r w:rsidRPr="00E46E86">
        <w:rPr>
          <w:rFonts w:cs="Times New Roman"/>
          <w:szCs w:val="24"/>
        </w:rPr>
        <w:t>Dados e Processamento</w:t>
      </w:r>
      <w:bookmarkEnd w:id="1"/>
    </w:p>
    <w:p w14:paraId="72F0A41C" w14:textId="77777777" w:rsidR="00C90947"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t>Os microdados da RAIS referentes ao período de 2021 a 2024 foram obtidos no portal do Ministério do Trabalho e</w:t>
      </w:r>
      <w:r w:rsidR="00686B48">
        <w:rPr>
          <w:rFonts w:ascii="Times New Roman" w:hAnsi="Times New Roman" w:cs="Times New Roman"/>
        </w:rPr>
        <w:t xml:space="preserve"> tratados com o uso da linguagem </w:t>
      </w:r>
      <w:r w:rsidRPr="00E46E86">
        <w:rPr>
          <w:rFonts w:ascii="Times New Roman" w:hAnsi="Times New Roman" w:cs="Times New Roman"/>
        </w:rPr>
        <w:t>R. O tratamento dos dados envolveu inicialmente a remoção de registros duplicados e inconsistentes, bem como a padronização dos nomes das variáveis e a conversão de tipos de dados, incluindo datas e valores numéricos. Valores ausentes foram tratados de forma apropriada, seja pela substituição ou exclusão dos registros, conforme sua relevância para a análise.</w:t>
      </w:r>
      <w:r w:rsidR="00F725EA" w:rsidRPr="00E46E86">
        <w:rPr>
          <w:rFonts w:ascii="Times New Roman" w:hAnsi="Times New Roman" w:cs="Times New Roman"/>
        </w:rPr>
        <w:t xml:space="preserve"> </w:t>
      </w:r>
    </w:p>
    <w:p w14:paraId="3CF586F4" w14:textId="27DBC6DA" w:rsidR="00513028" w:rsidRPr="00E46E86" w:rsidRDefault="00C90947" w:rsidP="00E46E86">
      <w:pPr>
        <w:spacing w:line="360" w:lineRule="auto"/>
        <w:jc w:val="both"/>
        <w:rPr>
          <w:rFonts w:ascii="Times New Roman" w:hAnsi="Times New Roman" w:cs="Times New Roman"/>
        </w:rPr>
      </w:pPr>
      <w:r>
        <w:rPr>
          <w:rFonts w:ascii="Times New Roman" w:hAnsi="Times New Roman" w:cs="Times New Roman"/>
        </w:rPr>
        <w:lastRenderedPageBreak/>
        <w:tab/>
      </w:r>
      <w:r w:rsidR="00513028" w:rsidRPr="00E46E86">
        <w:rPr>
          <w:rFonts w:ascii="Times New Roman" w:hAnsi="Times New Roman" w:cs="Times New Roman"/>
        </w:rPr>
        <w:t>Para focar nos objetivos do estudo, foram selecionadas apenas as variáveis essenciais, como</w:t>
      </w:r>
      <w:r w:rsidR="00EB0E0D">
        <w:rPr>
          <w:rFonts w:ascii="Times New Roman" w:hAnsi="Times New Roman" w:cs="Times New Roman"/>
        </w:rPr>
        <w:t xml:space="preserve"> por exemplo: escolarização,</w:t>
      </w:r>
      <w:r w:rsidR="00513028" w:rsidRPr="00E46E86">
        <w:rPr>
          <w:rFonts w:ascii="Times New Roman" w:hAnsi="Times New Roman" w:cs="Times New Roman"/>
        </w:rPr>
        <w:t xml:space="preserve"> faixa salarial, sexo, idade e vínculo empregatício, descartando</w:t>
      </w:r>
      <w:r>
        <w:rPr>
          <w:rFonts w:ascii="Times New Roman" w:hAnsi="Times New Roman" w:cs="Times New Roman"/>
        </w:rPr>
        <w:t xml:space="preserve"> demais</w:t>
      </w:r>
      <w:r w:rsidR="00513028" w:rsidRPr="00E46E86">
        <w:rPr>
          <w:rFonts w:ascii="Times New Roman" w:hAnsi="Times New Roman" w:cs="Times New Roman"/>
        </w:rPr>
        <w:t xml:space="preserve"> registros.</w:t>
      </w:r>
    </w:p>
    <w:p w14:paraId="020F3D96" w14:textId="77777777" w:rsidR="00EB0E0D" w:rsidRDefault="00513028" w:rsidP="00E46E86">
      <w:pPr>
        <w:spacing w:line="360" w:lineRule="auto"/>
        <w:jc w:val="both"/>
        <w:rPr>
          <w:rFonts w:ascii="Times New Roman" w:hAnsi="Times New Roman" w:cs="Times New Roman"/>
        </w:rPr>
      </w:pPr>
      <w:r w:rsidRPr="00E46E86">
        <w:rPr>
          <w:rFonts w:ascii="Times New Roman" w:hAnsi="Times New Roman" w:cs="Times New Roman"/>
        </w:rPr>
        <w:tab/>
        <w:t xml:space="preserve">Após essas etapas, realizou-se a conferência de totais e distribuição de valores para garantir a coerência entre os dados tratados e os arquivos originais, assim como análises descritivas preliminares. </w:t>
      </w:r>
    </w:p>
    <w:p w14:paraId="30F529EC" w14:textId="295002A9" w:rsidR="00AF3977" w:rsidRPr="00E46E86" w:rsidRDefault="00EB0E0D" w:rsidP="00E46E86">
      <w:pPr>
        <w:spacing w:line="360" w:lineRule="auto"/>
        <w:jc w:val="both"/>
        <w:rPr>
          <w:rFonts w:ascii="Times New Roman" w:hAnsi="Times New Roman" w:cs="Times New Roman"/>
        </w:rPr>
      </w:pPr>
      <w:r>
        <w:rPr>
          <w:rFonts w:ascii="Times New Roman" w:hAnsi="Times New Roman" w:cs="Times New Roman"/>
        </w:rPr>
        <w:tab/>
      </w:r>
      <w:r w:rsidR="00513028" w:rsidRPr="00E46E86">
        <w:rPr>
          <w:rFonts w:ascii="Times New Roman" w:hAnsi="Times New Roman" w:cs="Times New Roman"/>
        </w:rPr>
        <w:t xml:space="preserve">Por fim, os dados foram organizados em </w:t>
      </w:r>
      <w:r w:rsidR="00C90947" w:rsidRPr="00E46E86">
        <w:rPr>
          <w:rFonts w:ascii="Times New Roman" w:hAnsi="Times New Roman" w:cs="Times New Roman"/>
        </w:rPr>
        <w:t>data frames</w:t>
      </w:r>
      <w:r w:rsidR="00C90947">
        <w:rPr>
          <w:rFonts w:ascii="Times New Roman" w:hAnsi="Times New Roman" w:cs="Times New Roman"/>
        </w:rPr>
        <w:t>, fora</w:t>
      </w:r>
      <w:r>
        <w:rPr>
          <w:rFonts w:ascii="Times New Roman" w:hAnsi="Times New Roman" w:cs="Times New Roman"/>
        </w:rPr>
        <w:t>m</w:t>
      </w:r>
      <w:r w:rsidR="00C90947">
        <w:rPr>
          <w:rFonts w:ascii="Times New Roman" w:hAnsi="Times New Roman" w:cs="Times New Roman"/>
        </w:rPr>
        <w:t xml:space="preserve"> criados scripts pa</w:t>
      </w:r>
      <w:r>
        <w:rPr>
          <w:rFonts w:ascii="Times New Roman" w:hAnsi="Times New Roman" w:cs="Times New Roman"/>
        </w:rPr>
        <w:t>r</w:t>
      </w:r>
      <w:r w:rsidR="00C90947">
        <w:rPr>
          <w:rFonts w:ascii="Times New Roman" w:hAnsi="Times New Roman" w:cs="Times New Roman"/>
        </w:rPr>
        <w:t>a analise da</w:t>
      </w:r>
      <w:r w:rsidR="00513028" w:rsidRPr="00E46E86">
        <w:rPr>
          <w:rFonts w:ascii="Times New Roman" w:hAnsi="Times New Roman" w:cs="Times New Roman"/>
        </w:rPr>
        <w:t xml:space="preserve"> estatística descritiva, geração de gráficos e identificação de tendências no mercado de trabalho brasileiro</w:t>
      </w:r>
      <w:r w:rsidR="00C90947">
        <w:rPr>
          <w:rFonts w:ascii="Times New Roman" w:hAnsi="Times New Roman" w:cs="Times New Roman"/>
        </w:rPr>
        <w:t>.</w:t>
      </w:r>
    </w:p>
    <w:p w14:paraId="237DD037" w14:textId="63BF475A" w:rsidR="001253B0" w:rsidRPr="00E46E86" w:rsidRDefault="001253B0" w:rsidP="00E46E86">
      <w:pPr>
        <w:pStyle w:val="Ttulo1"/>
        <w:numPr>
          <w:ilvl w:val="0"/>
          <w:numId w:val="1"/>
        </w:numPr>
        <w:spacing w:line="360" w:lineRule="auto"/>
        <w:ind w:left="284" w:hanging="284"/>
        <w:rPr>
          <w:rFonts w:cs="Times New Roman"/>
          <w:szCs w:val="24"/>
        </w:rPr>
      </w:pPr>
      <w:bookmarkStart w:id="2" w:name="_Toc207439458"/>
      <w:r w:rsidRPr="00E46E86">
        <w:rPr>
          <w:rFonts w:cs="Times New Roman"/>
          <w:szCs w:val="24"/>
        </w:rPr>
        <w:t>Análise Descritiva dos Dados</w:t>
      </w:r>
      <w:bookmarkEnd w:id="2"/>
    </w:p>
    <w:p w14:paraId="367008A0" w14:textId="150E2CEC" w:rsidR="00587DB2"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00C90947">
        <w:rPr>
          <w:rFonts w:ascii="Times New Roman" w:hAnsi="Times New Roman" w:cs="Times New Roman"/>
        </w:rPr>
        <w:t xml:space="preserve">Na tabela 1, apresenta algumas informações sobre o perfil dos trabalhadores da Paraíba. </w:t>
      </w:r>
      <w:r w:rsidRPr="00E46E86">
        <w:rPr>
          <w:rFonts w:ascii="Times New Roman" w:hAnsi="Times New Roman" w:cs="Times New Roman"/>
        </w:rPr>
        <w:t xml:space="preserve">A análise revela mudanças significativas no mercado de trabalho. A participação masculina cresceu de 55,7% para 64,3%, enquanto a escolaridade apresentou uma inversão: a proporção de empregados com Ensino Médio completo aumentou de 45,2% para 62,5%, ao passo que os </w:t>
      </w:r>
      <w:r w:rsidR="00F725EA" w:rsidRPr="00E46E86">
        <w:rPr>
          <w:rFonts w:ascii="Times New Roman" w:hAnsi="Times New Roman" w:cs="Times New Roman"/>
        </w:rPr>
        <w:t>com superior</w:t>
      </w:r>
      <w:r w:rsidRPr="00E46E86">
        <w:rPr>
          <w:rFonts w:ascii="Times New Roman" w:hAnsi="Times New Roman" w:cs="Times New Roman"/>
        </w:rPr>
        <w:t xml:space="preserve"> completo caíram de 22,4% para 11,2%. A presença de mestres e doutores também diminuiu, indicando perda relativa de mão de obra mais qualificada.</w:t>
      </w:r>
    </w:p>
    <w:p w14:paraId="407BE620" w14:textId="7E2AEEDD" w:rsidR="00492F79" w:rsidRPr="00E46E86" w:rsidRDefault="00587DB2" w:rsidP="00E46E86">
      <w:pPr>
        <w:spacing w:line="360" w:lineRule="auto"/>
        <w:jc w:val="both"/>
        <w:rPr>
          <w:rFonts w:ascii="Times New Roman" w:hAnsi="Times New Roman" w:cs="Times New Roman"/>
        </w:rPr>
      </w:pPr>
      <w:r w:rsidRPr="00E46E86">
        <w:rPr>
          <w:rFonts w:ascii="Times New Roman" w:hAnsi="Times New Roman" w:cs="Times New Roman"/>
        </w:rPr>
        <w:tab/>
      </w:r>
      <w:r w:rsidR="00FE4F4E">
        <w:rPr>
          <w:rFonts w:ascii="Times New Roman" w:hAnsi="Times New Roman" w:cs="Times New Roman"/>
        </w:rPr>
        <w:t>O</w:t>
      </w:r>
      <w:r w:rsidRPr="00E46E86">
        <w:rPr>
          <w:rFonts w:ascii="Times New Roman" w:hAnsi="Times New Roman" w:cs="Times New Roman"/>
        </w:rPr>
        <w:t xml:space="preserve"> número de vínculos formais ativos sofreu retração acentuada, caindo de 728 mil (2022) para 520 mil (2024), evidenciando um cenário de perda de postos de trabalho e </w:t>
      </w:r>
      <w:r w:rsidR="00FE4F4E">
        <w:rPr>
          <w:rFonts w:ascii="Times New Roman" w:hAnsi="Times New Roman" w:cs="Times New Roman"/>
        </w:rPr>
        <w:t xml:space="preserve">possível </w:t>
      </w:r>
      <w:r w:rsidRPr="00E46E86">
        <w:rPr>
          <w:rFonts w:ascii="Times New Roman" w:hAnsi="Times New Roman" w:cs="Times New Roman"/>
        </w:rPr>
        <w:t>precarização das condições laborais.</w:t>
      </w:r>
    </w:p>
    <w:p w14:paraId="3FCB340E" w14:textId="6D89B4ED" w:rsidR="00492F79" w:rsidRPr="00E46E86" w:rsidRDefault="00492F79" w:rsidP="002F21C9">
      <w:pPr>
        <w:spacing w:after="0" w:line="360" w:lineRule="auto"/>
        <w:rPr>
          <w:rFonts w:ascii="Times New Roman" w:hAnsi="Times New Roman" w:cs="Times New Roman"/>
        </w:rPr>
      </w:pPr>
      <w:r w:rsidRPr="00E46E86">
        <w:rPr>
          <w:rFonts w:ascii="Times New Roman" w:hAnsi="Times New Roman" w:cs="Times New Roman"/>
        </w:rPr>
        <w:t>Tabela 1 - Perfil dos trabalhadores. Paraíba</w:t>
      </w:r>
      <w:r w:rsidR="008F02C7" w:rsidRPr="00E46E86">
        <w:rPr>
          <w:rFonts w:ascii="Times New Roman" w:hAnsi="Times New Roman" w:cs="Times New Roman"/>
        </w:rPr>
        <w:t>,</w:t>
      </w:r>
      <w:r w:rsidRPr="00E46E86">
        <w:rPr>
          <w:rFonts w:ascii="Times New Roman" w:hAnsi="Times New Roman" w:cs="Times New Roman"/>
        </w:rPr>
        <w:t xml:space="preserve"> 2021-2024</w:t>
      </w:r>
    </w:p>
    <w:tbl>
      <w:tblPr>
        <w:tblStyle w:val="Tabelacomgrade"/>
        <w:tblW w:w="0" w:type="auto"/>
        <w:tblLook w:val="04A0" w:firstRow="1" w:lastRow="0" w:firstColumn="1" w:lastColumn="0" w:noHBand="0" w:noVBand="1"/>
      </w:tblPr>
      <w:tblGrid>
        <w:gridCol w:w="3828"/>
        <w:gridCol w:w="1134"/>
        <w:gridCol w:w="1134"/>
        <w:gridCol w:w="1275"/>
        <w:gridCol w:w="1123"/>
      </w:tblGrid>
      <w:tr w:rsidR="00C447CA" w:rsidRPr="002D5BCF" w14:paraId="3B284C2A" w14:textId="77777777" w:rsidTr="00492F79">
        <w:tc>
          <w:tcPr>
            <w:tcW w:w="3828" w:type="dxa"/>
            <w:tcBorders>
              <w:top w:val="single" w:sz="8" w:space="0" w:color="auto"/>
              <w:left w:val="nil"/>
              <w:right w:val="nil"/>
            </w:tcBorders>
          </w:tcPr>
          <w:p w14:paraId="62B33DFA" w14:textId="1797A954" w:rsidR="00C447CA" w:rsidRPr="002D5BCF" w:rsidRDefault="002F1748" w:rsidP="00E46E86">
            <w:pPr>
              <w:rPr>
                <w:rFonts w:ascii="Times New Roman" w:hAnsi="Times New Roman" w:cs="Times New Roman"/>
                <w:b/>
                <w:bCs/>
              </w:rPr>
            </w:pPr>
            <w:r w:rsidRPr="002D5BCF">
              <w:rPr>
                <w:rFonts w:ascii="Times New Roman" w:hAnsi="Times New Roman" w:cs="Times New Roman"/>
                <w:b/>
                <w:bCs/>
              </w:rPr>
              <w:t>Variáveis / Ano</w:t>
            </w:r>
          </w:p>
        </w:tc>
        <w:tc>
          <w:tcPr>
            <w:tcW w:w="1134" w:type="dxa"/>
            <w:tcBorders>
              <w:top w:val="single" w:sz="8" w:space="0" w:color="auto"/>
              <w:left w:val="nil"/>
              <w:bottom w:val="single" w:sz="4" w:space="0" w:color="auto"/>
              <w:right w:val="nil"/>
            </w:tcBorders>
          </w:tcPr>
          <w:p w14:paraId="115D8966" w14:textId="2A451F27"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2021</w:t>
            </w:r>
          </w:p>
        </w:tc>
        <w:tc>
          <w:tcPr>
            <w:tcW w:w="1134" w:type="dxa"/>
            <w:tcBorders>
              <w:top w:val="single" w:sz="8" w:space="0" w:color="auto"/>
              <w:left w:val="nil"/>
              <w:bottom w:val="single" w:sz="4" w:space="0" w:color="auto"/>
              <w:right w:val="nil"/>
            </w:tcBorders>
          </w:tcPr>
          <w:p w14:paraId="4C6CBEE8" w14:textId="6BE31CAC"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2022</w:t>
            </w:r>
          </w:p>
        </w:tc>
        <w:tc>
          <w:tcPr>
            <w:tcW w:w="1275" w:type="dxa"/>
            <w:tcBorders>
              <w:top w:val="single" w:sz="8" w:space="0" w:color="auto"/>
              <w:left w:val="nil"/>
              <w:bottom w:val="single" w:sz="4" w:space="0" w:color="auto"/>
              <w:right w:val="nil"/>
            </w:tcBorders>
          </w:tcPr>
          <w:p w14:paraId="02E4B49C" w14:textId="5A67F6C3"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2023</w:t>
            </w:r>
          </w:p>
        </w:tc>
        <w:tc>
          <w:tcPr>
            <w:tcW w:w="1123" w:type="dxa"/>
            <w:tcBorders>
              <w:top w:val="single" w:sz="8" w:space="0" w:color="auto"/>
              <w:left w:val="nil"/>
              <w:bottom w:val="single" w:sz="4" w:space="0" w:color="auto"/>
              <w:right w:val="nil"/>
            </w:tcBorders>
          </w:tcPr>
          <w:p w14:paraId="1AF16E7C" w14:textId="0C807508" w:rsidR="00C447CA" w:rsidRPr="002D5BCF" w:rsidRDefault="00C447CA" w:rsidP="00E46E86">
            <w:pPr>
              <w:jc w:val="center"/>
              <w:rPr>
                <w:rFonts w:ascii="Times New Roman" w:hAnsi="Times New Roman" w:cs="Times New Roman"/>
                <w:b/>
                <w:bCs/>
              </w:rPr>
            </w:pPr>
            <w:r w:rsidRPr="002D5BCF">
              <w:rPr>
                <w:rFonts w:ascii="Times New Roman" w:hAnsi="Times New Roman" w:cs="Times New Roman"/>
                <w:b/>
                <w:bCs/>
              </w:rPr>
              <w:t>2024</w:t>
            </w:r>
          </w:p>
        </w:tc>
      </w:tr>
      <w:tr w:rsidR="00C447CA" w:rsidRPr="002D5BCF" w14:paraId="3C8EDBCC" w14:textId="77777777" w:rsidTr="00492F79">
        <w:tc>
          <w:tcPr>
            <w:tcW w:w="3828" w:type="dxa"/>
            <w:tcBorders>
              <w:left w:val="nil"/>
              <w:bottom w:val="nil"/>
              <w:right w:val="nil"/>
            </w:tcBorders>
          </w:tcPr>
          <w:p w14:paraId="13FEABD2" w14:textId="0B536412" w:rsidR="00C447CA" w:rsidRPr="002D5BCF" w:rsidRDefault="00C447CA" w:rsidP="00E46E86">
            <w:pPr>
              <w:rPr>
                <w:rFonts w:ascii="Times New Roman" w:hAnsi="Times New Roman" w:cs="Times New Roman"/>
              </w:rPr>
            </w:pPr>
            <w:r w:rsidRPr="002D5BCF">
              <w:rPr>
                <w:rFonts w:ascii="Times New Roman" w:hAnsi="Times New Roman" w:cs="Times New Roman"/>
              </w:rPr>
              <w:t>% de Homens</w:t>
            </w:r>
          </w:p>
        </w:tc>
        <w:tc>
          <w:tcPr>
            <w:tcW w:w="1134" w:type="dxa"/>
            <w:tcBorders>
              <w:left w:val="nil"/>
              <w:bottom w:val="nil"/>
              <w:right w:val="nil"/>
            </w:tcBorders>
          </w:tcPr>
          <w:p w14:paraId="2C12527C" w14:textId="14D5D8B2" w:rsidR="00C447CA" w:rsidRPr="002D5BCF" w:rsidRDefault="00C447CA" w:rsidP="00E46E86">
            <w:pPr>
              <w:jc w:val="center"/>
              <w:rPr>
                <w:rFonts w:ascii="Times New Roman" w:hAnsi="Times New Roman" w:cs="Times New Roman"/>
              </w:rPr>
            </w:pPr>
            <w:r w:rsidRPr="002D5BCF">
              <w:rPr>
                <w:rFonts w:ascii="Times New Roman" w:hAnsi="Times New Roman" w:cs="Times New Roman"/>
              </w:rPr>
              <w:t>55.7</w:t>
            </w:r>
          </w:p>
        </w:tc>
        <w:tc>
          <w:tcPr>
            <w:tcW w:w="1134" w:type="dxa"/>
            <w:tcBorders>
              <w:left w:val="nil"/>
              <w:bottom w:val="nil"/>
              <w:right w:val="nil"/>
            </w:tcBorders>
          </w:tcPr>
          <w:p w14:paraId="55F3258E" w14:textId="0322E37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56.5</w:t>
            </w:r>
          </w:p>
        </w:tc>
        <w:tc>
          <w:tcPr>
            <w:tcW w:w="1275" w:type="dxa"/>
            <w:tcBorders>
              <w:left w:val="nil"/>
              <w:bottom w:val="nil"/>
              <w:right w:val="nil"/>
            </w:tcBorders>
          </w:tcPr>
          <w:p w14:paraId="6BF48F80" w14:textId="2AF0BB7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57.5</w:t>
            </w:r>
          </w:p>
        </w:tc>
        <w:tc>
          <w:tcPr>
            <w:tcW w:w="1123" w:type="dxa"/>
            <w:tcBorders>
              <w:left w:val="nil"/>
              <w:bottom w:val="nil"/>
              <w:right w:val="nil"/>
            </w:tcBorders>
          </w:tcPr>
          <w:p w14:paraId="20321651" w14:textId="078423E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64.3</w:t>
            </w:r>
          </w:p>
        </w:tc>
      </w:tr>
      <w:tr w:rsidR="00C447CA" w:rsidRPr="002D5BCF" w14:paraId="0E399104" w14:textId="77777777" w:rsidTr="00492F79">
        <w:tc>
          <w:tcPr>
            <w:tcW w:w="3828" w:type="dxa"/>
            <w:tcBorders>
              <w:top w:val="nil"/>
              <w:left w:val="nil"/>
              <w:bottom w:val="nil"/>
              <w:right w:val="nil"/>
            </w:tcBorders>
          </w:tcPr>
          <w:p w14:paraId="4F92E7B1" w14:textId="410E06E0" w:rsidR="00C447CA" w:rsidRPr="002D5BCF" w:rsidRDefault="00C447CA" w:rsidP="00E46E86">
            <w:pPr>
              <w:rPr>
                <w:rFonts w:ascii="Times New Roman" w:hAnsi="Times New Roman" w:cs="Times New Roman"/>
              </w:rPr>
            </w:pPr>
            <w:r w:rsidRPr="002D5BCF">
              <w:rPr>
                <w:rFonts w:ascii="Times New Roman" w:hAnsi="Times New Roman" w:cs="Times New Roman"/>
              </w:rPr>
              <w:t>% EF completo</w:t>
            </w:r>
          </w:p>
        </w:tc>
        <w:tc>
          <w:tcPr>
            <w:tcW w:w="1134" w:type="dxa"/>
            <w:tcBorders>
              <w:top w:val="nil"/>
              <w:left w:val="nil"/>
              <w:bottom w:val="nil"/>
              <w:right w:val="nil"/>
            </w:tcBorders>
          </w:tcPr>
          <w:p w14:paraId="51CF4F2F" w14:textId="79F0D77D" w:rsidR="00C447CA" w:rsidRPr="002D5BCF" w:rsidRDefault="00C447CA" w:rsidP="00E46E86">
            <w:pPr>
              <w:jc w:val="center"/>
              <w:rPr>
                <w:rFonts w:ascii="Times New Roman" w:hAnsi="Times New Roman" w:cs="Times New Roman"/>
              </w:rPr>
            </w:pPr>
            <w:r w:rsidRPr="002D5BCF">
              <w:rPr>
                <w:rFonts w:ascii="Times New Roman" w:hAnsi="Times New Roman" w:cs="Times New Roman"/>
              </w:rPr>
              <w:t>13.4</w:t>
            </w:r>
          </w:p>
        </w:tc>
        <w:tc>
          <w:tcPr>
            <w:tcW w:w="1134" w:type="dxa"/>
            <w:tcBorders>
              <w:top w:val="nil"/>
              <w:left w:val="nil"/>
              <w:bottom w:val="nil"/>
              <w:right w:val="nil"/>
            </w:tcBorders>
          </w:tcPr>
          <w:p w14:paraId="191DAEC5" w14:textId="248EB58F"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13.1</w:t>
            </w:r>
          </w:p>
        </w:tc>
        <w:tc>
          <w:tcPr>
            <w:tcW w:w="1275" w:type="dxa"/>
            <w:tcBorders>
              <w:top w:val="nil"/>
              <w:left w:val="nil"/>
              <w:bottom w:val="nil"/>
              <w:right w:val="nil"/>
            </w:tcBorders>
          </w:tcPr>
          <w:p w14:paraId="22C6763D" w14:textId="798D149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5.9</w:t>
            </w:r>
          </w:p>
        </w:tc>
        <w:tc>
          <w:tcPr>
            <w:tcW w:w="1123" w:type="dxa"/>
            <w:tcBorders>
              <w:top w:val="nil"/>
              <w:left w:val="nil"/>
              <w:bottom w:val="nil"/>
              <w:right w:val="nil"/>
            </w:tcBorders>
          </w:tcPr>
          <w:p w14:paraId="32B2BE41" w14:textId="192F3EC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5.7</w:t>
            </w:r>
          </w:p>
        </w:tc>
      </w:tr>
      <w:tr w:rsidR="00C447CA" w:rsidRPr="002D5BCF" w14:paraId="4D310EEF" w14:textId="77777777" w:rsidTr="00492F79">
        <w:tc>
          <w:tcPr>
            <w:tcW w:w="3828" w:type="dxa"/>
            <w:tcBorders>
              <w:top w:val="nil"/>
              <w:left w:val="nil"/>
              <w:bottom w:val="nil"/>
              <w:right w:val="nil"/>
            </w:tcBorders>
          </w:tcPr>
          <w:p w14:paraId="517D1248" w14:textId="613B8411" w:rsidR="00C447CA" w:rsidRPr="002D5BCF" w:rsidRDefault="00C447CA" w:rsidP="00E46E86">
            <w:pPr>
              <w:rPr>
                <w:rFonts w:ascii="Times New Roman" w:hAnsi="Times New Roman" w:cs="Times New Roman"/>
              </w:rPr>
            </w:pPr>
            <w:r w:rsidRPr="002D5BCF">
              <w:rPr>
                <w:rFonts w:ascii="Times New Roman" w:hAnsi="Times New Roman" w:cs="Times New Roman"/>
              </w:rPr>
              <w:t>% EM incompleto</w:t>
            </w:r>
          </w:p>
        </w:tc>
        <w:tc>
          <w:tcPr>
            <w:tcW w:w="1134" w:type="dxa"/>
            <w:tcBorders>
              <w:top w:val="nil"/>
              <w:left w:val="nil"/>
              <w:bottom w:val="nil"/>
              <w:right w:val="nil"/>
            </w:tcBorders>
          </w:tcPr>
          <w:p w14:paraId="4633271A" w14:textId="1B68C5F8" w:rsidR="00C447CA" w:rsidRPr="002D5BCF" w:rsidRDefault="00C447CA" w:rsidP="00E46E86">
            <w:pPr>
              <w:jc w:val="center"/>
              <w:rPr>
                <w:rFonts w:ascii="Times New Roman" w:hAnsi="Times New Roman" w:cs="Times New Roman"/>
              </w:rPr>
            </w:pPr>
            <w:r w:rsidRPr="002D5BCF">
              <w:rPr>
                <w:rFonts w:ascii="Times New Roman" w:hAnsi="Times New Roman" w:cs="Times New Roman"/>
              </w:rPr>
              <w:t>4.3</w:t>
            </w:r>
          </w:p>
        </w:tc>
        <w:tc>
          <w:tcPr>
            <w:tcW w:w="1134" w:type="dxa"/>
            <w:tcBorders>
              <w:top w:val="nil"/>
              <w:left w:val="nil"/>
              <w:bottom w:val="nil"/>
              <w:right w:val="nil"/>
            </w:tcBorders>
          </w:tcPr>
          <w:p w14:paraId="336FED35" w14:textId="58CDFE0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4.2</w:t>
            </w:r>
          </w:p>
        </w:tc>
        <w:tc>
          <w:tcPr>
            <w:tcW w:w="1275" w:type="dxa"/>
            <w:tcBorders>
              <w:top w:val="nil"/>
              <w:left w:val="nil"/>
              <w:bottom w:val="nil"/>
              <w:right w:val="nil"/>
            </w:tcBorders>
          </w:tcPr>
          <w:p w14:paraId="67EBDF25" w14:textId="760EBC88"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4.3</w:t>
            </w:r>
          </w:p>
        </w:tc>
        <w:tc>
          <w:tcPr>
            <w:tcW w:w="1123" w:type="dxa"/>
            <w:tcBorders>
              <w:top w:val="nil"/>
              <w:left w:val="nil"/>
              <w:bottom w:val="nil"/>
              <w:right w:val="nil"/>
            </w:tcBorders>
          </w:tcPr>
          <w:p w14:paraId="5EDC86ED" w14:textId="17502F14"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5.5</w:t>
            </w:r>
          </w:p>
        </w:tc>
      </w:tr>
      <w:tr w:rsidR="00C447CA" w:rsidRPr="002D5BCF" w14:paraId="2FD0F2F5" w14:textId="77777777" w:rsidTr="00492F79">
        <w:tc>
          <w:tcPr>
            <w:tcW w:w="3828" w:type="dxa"/>
            <w:tcBorders>
              <w:top w:val="nil"/>
              <w:left w:val="nil"/>
              <w:bottom w:val="nil"/>
              <w:right w:val="nil"/>
            </w:tcBorders>
          </w:tcPr>
          <w:p w14:paraId="6E16C2AF" w14:textId="692A1540" w:rsidR="00C447CA" w:rsidRPr="002D5BCF" w:rsidRDefault="00C447CA" w:rsidP="00E46E86">
            <w:pPr>
              <w:rPr>
                <w:rFonts w:ascii="Times New Roman" w:hAnsi="Times New Roman" w:cs="Times New Roman"/>
              </w:rPr>
            </w:pPr>
            <w:r w:rsidRPr="002D5BCF">
              <w:rPr>
                <w:rFonts w:ascii="Times New Roman" w:hAnsi="Times New Roman" w:cs="Times New Roman"/>
              </w:rPr>
              <w:t>% EM completo</w:t>
            </w:r>
          </w:p>
        </w:tc>
        <w:tc>
          <w:tcPr>
            <w:tcW w:w="1134" w:type="dxa"/>
            <w:tcBorders>
              <w:top w:val="nil"/>
              <w:left w:val="nil"/>
              <w:bottom w:val="nil"/>
              <w:right w:val="nil"/>
            </w:tcBorders>
          </w:tcPr>
          <w:p w14:paraId="7A37A7EF" w14:textId="31512AD2" w:rsidR="00C447CA" w:rsidRPr="002D5BCF" w:rsidRDefault="00C447CA" w:rsidP="00E46E86">
            <w:pPr>
              <w:jc w:val="center"/>
              <w:rPr>
                <w:rFonts w:ascii="Times New Roman" w:hAnsi="Times New Roman" w:cs="Times New Roman"/>
              </w:rPr>
            </w:pPr>
            <w:r w:rsidRPr="002D5BCF">
              <w:rPr>
                <w:rFonts w:ascii="Times New Roman" w:hAnsi="Times New Roman" w:cs="Times New Roman"/>
              </w:rPr>
              <w:t>45.2</w:t>
            </w:r>
          </w:p>
        </w:tc>
        <w:tc>
          <w:tcPr>
            <w:tcW w:w="1134" w:type="dxa"/>
            <w:tcBorders>
              <w:top w:val="nil"/>
              <w:left w:val="nil"/>
              <w:bottom w:val="nil"/>
              <w:right w:val="nil"/>
            </w:tcBorders>
          </w:tcPr>
          <w:p w14:paraId="44327F79" w14:textId="092C5C3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46.8</w:t>
            </w:r>
          </w:p>
        </w:tc>
        <w:tc>
          <w:tcPr>
            <w:tcW w:w="1275" w:type="dxa"/>
            <w:tcBorders>
              <w:top w:val="nil"/>
              <w:left w:val="nil"/>
              <w:bottom w:val="nil"/>
              <w:right w:val="nil"/>
            </w:tcBorders>
          </w:tcPr>
          <w:p w14:paraId="60512457" w14:textId="4682222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54.2</w:t>
            </w:r>
          </w:p>
        </w:tc>
        <w:tc>
          <w:tcPr>
            <w:tcW w:w="1123" w:type="dxa"/>
            <w:tcBorders>
              <w:top w:val="nil"/>
              <w:left w:val="nil"/>
              <w:bottom w:val="nil"/>
              <w:right w:val="nil"/>
            </w:tcBorders>
          </w:tcPr>
          <w:p w14:paraId="23EC0037" w14:textId="03F1DBF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62.5</w:t>
            </w:r>
          </w:p>
        </w:tc>
      </w:tr>
      <w:tr w:rsidR="00C447CA" w:rsidRPr="002D5BCF" w14:paraId="6A1DFFF6" w14:textId="77777777" w:rsidTr="00492F79">
        <w:tc>
          <w:tcPr>
            <w:tcW w:w="3828" w:type="dxa"/>
            <w:tcBorders>
              <w:top w:val="nil"/>
              <w:left w:val="nil"/>
              <w:bottom w:val="nil"/>
              <w:right w:val="nil"/>
            </w:tcBorders>
          </w:tcPr>
          <w:p w14:paraId="7E056496" w14:textId="2F3A6018" w:rsidR="00C447CA" w:rsidRPr="002D5BCF" w:rsidRDefault="00C447CA" w:rsidP="00E46E86">
            <w:pPr>
              <w:rPr>
                <w:rFonts w:ascii="Times New Roman" w:hAnsi="Times New Roman" w:cs="Times New Roman"/>
              </w:rPr>
            </w:pPr>
            <w:r w:rsidRPr="002D5BCF">
              <w:rPr>
                <w:rFonts w:ascii="Times New Roman" w:hAnsi="Times New Roman" w:cs="Times New Roman"/>
              </w:rPr>
              <w:t>% Superior incompleto</w:t>
            </w:r>
          </w:p>
        </w:tc>
        <w:tc>
          <w:tcPr>
            <w:tcW w:w="1134" w:type="dxa"/>
            <w:tcBorders>
              <w:top w:val="nil"/>
              <w:left w:val="nil"/>
              <w:bottom w:val="nil"/>
              <w:right w:val="nil"/>
            </w:tcBorders>
          </w:tcPr>
          <w:p w14:paraId="2FF0C88D" w14:textId="1BFD7F01" w:rsidR="00C447CA" w:rsidRPr="002D5BCF" w:rsidRDefault="00C447CA" w:rsidP="00E46E86">
            <w:pPr>
              <w:jc w:val="center"/>
              <w:rPr>
                <w:rFonts w:ascii="Times New Roman" w:hAnsi="Times New Roman" w:cs="Times New Roman"/>
              </w:rPr>
            </w:pPr>
            <w:r w:rsidRPr="002D5BCF">
              <w:rPr>
                <w:rFonts w:ascii="Times New Roman" w:hAnsi="Times New Roman" w:cs="Times New Roman"/>
              </w:rPr>
              <w:t>3.7</w:t>
            </w:r>
          </w:p>
        </w:tc>
        <w:tc>
          <w:tcPr>
            <w:tcW w:w="1134" w:type="dxa"/>
            <w:tcBorders>
              <w:top w:val="nil"/>
              <w:left w:val="nil"/>
              <w:bottom w:val="nil"/>
              <w:right w:val="nil"/>
            </w:tcBorders>
          </w:tcPr>
          <w:p w14:paraId="434A9F04" w14:textId="50C7F40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3.5</w:t>
            </w:r>
          </w:p>
        </w:tc>
        <w:tc>
          <w:tcPr>
            <w:tcW w:w="1275" w:type="dxa"/>
            <w:tcBorders>
              <w:top w:val="nil"/>
              <w:left w:val="nil"/>
              <w:bottom w:val="nil"/>
              <w:right w:val="nil"/>
            </w:tcBorders>
          </w:tcPr>
          <w:p w14:paraId="20C33578" w14:textId="2BCDCC86" w:rsidR="00C447CA" w:rsidRPr="002D5BCF" w:rsidRDefault="006F172F" w:rsidP="00E46E86">
            <w:pPr>
              <w:jc w:val="center"/>
              <w:rPr>
                <w:rFonts w:ascii="Times New Roman" w:hAnsi="Times New Roman" w:cs="Times New Roman"/>
              </w:rPr>
            </w:pPr>
            <w:r w:rsidRPr="002D5BCF">
              <w:rPr>
                <w:rFonts w:ascii="Times New Roman" w:hAnsi="Times New Roman" w:cs="Times New Roman"/>
              </w:rPr>
              <w:t>3.8</w:t>
            </w:r>
          </w:p>
        </w:tc>
        <w:tc>
          <w:tcPr>
            <w:tcW w:w="1123" w:type="dxa"/>
            <w:tcBorders>
              <w:top w:val="nil"/>
              <w:left w:val="nil"/>
              <w:bottom w:val="nil"/>
              <w:right w:val="nil"/>
            </w:tcBorders>
          </w:tcPr>
          <w:p w14:paraId="7BE70E56" w14:textId="000BB81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4.1</w:t>
            </w:r>
          </w:p>
        </w:tc>
      </w:tr>
      <w:tr w:rsidR="00C447CA" w:rsidRPr="002D5BCF" w14:paraId="3880D7A1" w14:textId="77777777" w:rsidTr="00492F79">
        <w:tc>
          <w:tcPr>
            <w:tcW w:w="3828" w:type="dxa"/>
            <w:tcBorders>
              <w:top w:val="nil"/>
              <w:left w:val="nil"/>
              <w:bottom w:val="nil"/>
              <w:right w:val="nil"/>
            </w:tcBorders>
          </w:tcPr>
          <w:p w14:paraId="1BF170FD" w14:textId="5D50A25C" w:rsidR="00C447CA" w:rsidRPr="002D5BCF" w:rsidRDefault="00C447CA" w:rsidP="00E46E86">
            <w:pPr>
              <w:rPr>
                <w:rFonts w:ascii="Times New Roman" w:hAnsi="Times New Roman" w:cs="Times New Roman"/>
              </w:rPr>
            </w:pPr>
            <w:r w:rsidRPr="002D5BCF">
              <w:rPr>
                <w:rFonts w:ascii="Times New Roman" w:hAnsi="Times New Roman" w:cs="Times New Roman"/>
              </w:rPr>
              <w:t>% Superior completo</w:t>
            </w:r>
          </w:p>
        </w:tc>
        <w:tc>
          <w:tcPr>
            <w:tcW w:w="1134" w:type="dxa"/>
            <w:tcBorders>
              <w:top w:val="nil"/>
              <w:left w:val="nil"/>
              <w:bottom w:val="nil"/>
              <w:right w:val="nil"/>
            </w:tcBorders>
          </w:tcPr>
          <w:p w14:paraId="18884D9D" w14:textId="7F1119A7"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22.4</w:t>
            </w:r>
          </w:p>
        </w:tc>
        <w:tc>
          <w:tcPr>
            <w:tcW w:w="1134" w:type="dxa"/>
            <w:tcBorders>
              <w:top w:val="nil"/>
              <w:left w:val="nil"/>
              <w:bottom w:val="nil"/>
              <w:right w:val="nil"/>
            </w:tcBorders>
          </w:tcPr>
          <w:p w14:paraId="40164040" w14:textId="2D24A94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21.3</w:t>
            </w:r>
          </w:p>
        </w:tc>
        <w:tc>
          <w:tcPr>
            <w:tcW w:w="1275" w:type="dxa"/>
            <w:tcBorders>
              <w:top w:val="nil"/>
              <w:left w:val="nil"/>
              <w:bottom w:val="nil"/>
              <w:right w:val="nil"/>
            </w:tcBorders>
          </w:tcPr>
          <w:p w14:paraId="30ABA447" w14:textId="5ED9308F" w:rsidR="00C447CA" w:rsidRPr="002D5BCF" w:rsidRDefault="006F172F" w:rsidP="00E46E86">
            <w:pPr>
              <w:jc w:val="center"/>
              <w:rPr>
                <w:rFonts w:ascii="Times New Roman" w:hAnsi="Times New Roman" w:cs="Times New Roman"/>
              </w:rPr>
            </w:pPr>
            <w:r w:rsidRPr="002D5BCF">
              <w:rPr>
                <w:rFonts w:ascii="Times New Roman" w:hAnsi="Times New Roman" w:cs="Times New Roman"/>
              </w:rPr>
              <w:t>20</w:t>
            </w:r>
          </w:p>
        </w:tc>
        <w:tc>
          <w:tcPr>
            <w:tcW w:w="1123" w:type="dxa"/>
            <w:tcBorders>
              <w:top w:val="nil"/>
              <w:left w:val="nil"/>
              <w:bottom w:val="nil"/>
              <w:right w:val="nil"/>
            </w:tcBorders>
          </w:tcPr>
          <w:p w14:paraId="43CA0724" w14:textId="3F255F6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11.2</w:t>
            </w:r>
          </w:p>
        </w:tc>
      </w:tr>
      <w:tr w:rsidR="00C447CA" w:rsidRPr="002D5BCF" w14:paraId="7B620C75" w14:textId="77777777" w:rsidTr="00492F79">
        <w:tc>
          <w:tcPr>
            <w:tcW w:w="3828" w:type="dxa"/>
            <w:tcBorders>
              <w:top w:val="nil"/>
              <w:left w:val="nil"/>
              <w:bottom w:val="nil"/>
              <w:right w:val="nil"/>
            </w:tcBorders>
          </w:tcPr>
          <w:p w14:paraId="41DD1660" w14:textId="48738337" w:rsidR="00C447CA" w:rsidRPr="002D5BCF" w:rsidRDefault="00C447CA" w:rsidP="00E46E86">
            <w:pPr>
              <w:rPr>
                <w:rFonts w:ascii="Times New Roman" w:hAnsi="Times New Roman" w:cs="Times New Roman"/>
              </w:rPr>
            </w:pPr>
            <w:r w:rsidRPr="002D5BCF">
              <w:rPr>
                <w:rFonts w:ascii="Times New Roman" w:hAnsi="Times New Roman" w:cs="Times New Roman"/>
              </w:rPr>
              <w:t>% Mestrado</w:t>
            </w:r>
          </w:p>
        </w:tc>
        <w:tc>
          <w:tcPr>
            <w:tcW w:w="1134" w:type="dxa"/>
            <w:tcBorders>
              <w:top w:val="nil"/>
              <w:left w:val="nil"/>
              <w:bottom w:val="nil"/>
              <w:right w:val="nil"/>
            </w:tcBorders>
          </w:tcPr>
          <w:p w14:paraId="59B04760" w14:textId="4C0F208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w:t>
            </w:r>
          </w:p>
        </w:tc>
        <w:tc>
          <w:tcPr>
            <w:tcW w:w="1134" w:type="dxa"/>
            <w:tcBorders>
              <w:top w:val="nil"/>
              <w:left w:val="nil"/>
              <w:bottom w:val="nil"/>
              <w:right w:val="nil"/>
            </w:tcBorders>
          </w:tcPr>
          <w:p w14:paraId="5AAF1A4C" w14:textId="3F46AA9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w:t>
            </w:r>
          </w:p>
        </w:tc>
        <w:tc>
          <w:tcPr>
            <w:tcW w:w="1275" w:type="dxa"/>
            <w:tcBorders>
              <w:top w:val="nil"/>
              <w:left w:val="nil"/>
              <w:bottom w:val="nil"/>
              <w:right w:val="nil"/>
            </w:tcBorders>
          </w:tcPr>
          <w:p w14:paraId="0A90A915" w14:textId="240DEF4B"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1.1</w:t>
            </w:r>
          </w:p>
        </w:tc>
        <w:tc>
          <w:tcPr>
            <w:tcW w:w="1123" w:type="dxa"/>
            <w:tcBorders>
              <w:top w:val="nil"/>
              <w:left w:val="nil"/>
              <w:bottom w:val="nil"/>
              <w:right w:val="nil"/>
            </w:tcBorders>
          </w:tcPr>
          <w:p w14:paraId="6AB34B71" w14:textId="0F4ADEFA"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0.5</w:t>
            </w:r>
          </w:p>
        </w:tc>
      </w:tr>
      <w:tr w:rsidR="00C447CA" w:rsidRPr="002D5BCF" w14:paraId="1D5AB86B" w14:textId="77777777" w:rsidTr="00492F79">
        <w:tc>
          <w:tcPr>
            <w:tcW w:w="3828" w:type="dxa"/>
            <w:tcBorders>
              <w:top w:val="nil"/>
              <w:left w:val="nil"/>
              <w:bottom w:val="nil"/>
              <w:right w:val="nil"/>
            </w:tcBorders>
          </w:tcPr>
          <w:p w14:paraId="254DC4D6" w14:textId="29AF0D9C" w:rsidR="00C447CA" w:rsidRPr="002D5BCF" w:rsidRDefault="00C447CA" w:rsidP="00E46E86">
            <w:pPr>
              <w:rPr>
                <w:rFonts w:ascii="Times New Roman" w:hAnsi="Times New Roman" w:cs="Times New Roman"/>
              </w:rPr>
            </w:pPr>
            <w:r w:rsidRPr="002D5BCF">
              <w:rPr>
                <w:rFonts w:ascii="Times New Roman" w:hAnsi="Times New Roman" w:cs="Times New Roman"/>
              </w:rPr>
              <w:t>% Doutorado</w:t>
            </w:r>
          </w:p>
        </w:tc>
        <w:tc>
          <w:tcPr>
            <w:tcW w:w="1134" w:type="dxa"/>
            <w:tcBorders>
              <w:top w:val="nil"/>
              <w:left w:val="nil"/>
              <w:bottom w:val="nil"/>
              <w:right w:val="nil"/>
            </w:tcBorders>
          </w:tcPr>
          <w:p w14:paraId="33851192" w14:textId="67E72F95"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0.4</w:t>
            </w:r>
          </w:p>
        </w:tc>
        <w:tc>
          <w:tcPr>
            <w:tcW w:w="1134" w:type="dxa"/>
            <w:tcBorders>
              <w:top w:val="nil"/>
              <w:left w:val="nil"/>
              <w:bottom w:val="nil"/>
              <w:right w:val="nil"/>
            </w:tcBorders>
          </w:tcPr>
          <w:p w14:paraId="12FFE0FD" w14:textId="2DBFABC3"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0.4</w:t>
            </w:r>
          </w:p>
        </w:tc>
        <w:tc>
          <w:tcPr>
            <w:tcW w:w="1275" w:type="dxa"/>
            <w:tcBorders>
              <w:top w:val="nil"/>
              <w:left w:val="nil"/>
              <w:bottom w:val="nil"/>
              <w:right w:val="nil"/>
            </w:tcBorders>
          </w:tcPr>
          <w:p w14:paraId="7D67004E" w14:textId="6165C571"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0.7</w:t>
            </w:r>
          </w:p>
        </w:tc>
        <w:tc>
          <w:tcPr>
            <w:tcW w:w="1123" w:type="dxa"/>
            <w:tcBorders>
              <w:top w:val="nil"/>
              <w:left w:val="nil"/>
              <w:bottom w:val="nil"/>
              <w:right w:val="nil"/>
            </w:tcBorders>
          </w:tcPr>
          <w:p w14:paraId="7383AB97" w14:textId="5ACA26C0" w:rsidR="00C447CA" w:rsidRPr="002D5BCF" w:rsidRDefault="006F172F" w:rsidP="00E46E86">
            <w:pPr>
              <w:jc w:val="center"/>
              <w:rPr>
                <w:rFonts w:ascii="Times New Roman" w:hAnsi="Times New Roman" w:cs="Times New Roman"/>
              </w:rPr>
            </w:pPr>
            <w:r w:rsidRPr="002D5BCF">
              <w:rPr>
                <w:rFonts w:ascii="Times New Roman" w:hAnsi="Times New Roman" w:cs="Times New Roman"/>
              </w:rPr>
              <w:t>0.2</w:t>
            </w:r>
          </w:p>
        </w:tc>
      </w:tr>
      <w:tr w:rsidR="00C447CA" w:rsidRPr="002D5BCF" w14:paraId="498F5B32" w14:textId="77777777" w:rsidTr="00D631D5">
        <w:tc>
          <w:tcPr>
            <w:tcW w:w="3828" w:type="dxa"/>
            <w:tcBorders>
              <w:top w:val="nil"/>
              <w:left w:val="nil"/>
              <w:bottom w:val="nil"/>
              <w:right w:val="nil"/>
            </w:tcBorders>
          </w:tcPr>
          <w:p w14:paraId="63422803" w14:textId="7BB1E05A" w:rsidR="00C447CA" w:rsidRPr="002D5BCF" w:rsidRDefault="00C447CA" w:rsidP="00E46E86">
            <w:pPr>
              <w:rPr>
                <w:rFonts w:ascii="Times New Roman" w:hAnsi="Times New Roman" w:cs="Times New Roman"/>
              </w:rPr>
            </w:pPr>
            <w:r w:rsidRPr="002D5BCF">
              <w:rPr>
                <w:rFonts w:ascii="Times New Roman" w:hAnsi="Times New Roman" w:cs="Times New Roman"/>
              </w:rPr>
              <w:t>Salário-hora (R$)</w:t>
            </w:r>
          </w:p>
        </w:tc>
        <w:tc>
          <w:tcPr>
            <w:tcW w:w="1134" w:type="dxa"/>
            <w:tcBorders>
              <w:top w:val="nil"/>
              <w:left w:val="nil"/>
              <w:bottom w:val="nil"/>
              <w:right w:val="nil"/>
            </w:tcBorders>
          </w:tcPr>
          <w:p w14:paraId="7C05F718" w14:textId="1E049B7A"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15.1</w:t>
            </w:r>
          </w:p>
        </w:tc>
        <w:tc>
          <w:tcPr>
            <w:tcW w:w="1134" w:type="dxa"/>
            <w:tcBorders>
              <w:top w:val="nil"/>
              <w:left w:val="nil"/>
              <w:bottom w:val="nil"/>
              <w:right w:val="nil"/>
            </w:tcBorders>
          </w:tcPr>
          <w:p w14:paraId="0BE5452A" w14:textId="3893A7AE"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17.84</w:t>
            </w:r>
          </w:p>
        </w:tc>
        <w:tc>
          <w:tcPr>
            <w:tcW w:w="1275" w:type="dxa"/>
            <w:tcBorders>
              <w:top w:val="nil"/>
              <w:left w:val="nil"/>
              <w:bottom w:val="nil"/>
              <w:right w:val="nil"/>
            </w:tcBorders>
          </w:tcPr>
          <w:p w14:paraId="759B1008" w14:textId="35E7596D"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15.12</w:t>
            </w:r>
          </w:p>
        </w:tc>
        <w:tc>
          <w:tcPr>
            <w:tcW w:w="1123" w:type="dxa"/>
            <w:tcBorders>
              <w:top w:val="nil"/>
              <w:left w:val="nil"/>
              <w:bottom w:val="nil"/>
              <w:right w:val="nil"/>
            </w:tcBorders>
          </w:tcPr>
          <w:p w14:paraId="58C2F073" w14:textId="0B69C539" w:rsidR="00C447CA" w:rsidRPr="002D5BCF" w:rsidRDefault="006F172F" w:rsidP="00E46E86">
            <w:pPr>
              <w:jc w:val="center"/>
              <w:rPr>
                <w:rFonts w:ascii="Times New Roman" w:hAnsi="Times New Roman" w:cs="Times New Roman"/>
              </w:rPr>
            </w:pPr>
            <w:r w:rsidRPr="002D5BCF">
              <w:rPr>
                <w:rFonts w:ascii="Times New Roman" w:hAnsi="Times New Roman" w:cs="Times New Roman"/>
              </w:rPr>
              <w:t>12.34</w:t>
            </w:r>
          </w:p>
        </w:tc>
      </w:tr>
      <w:tr w:rsidR="002F1748" w:rsidRPr="002D5BCF" w14:paraId="24203890" w14:textId="77777777" w:rsidTr="00D631D5">
        <w:tc>
          <w:tcPr>
            <w:tcW w:w="3828" w:type="dxa"/>
            <w:tcBorders>
              <w:top w:val="nil"/>
              <w:left w:val="nil"/>
              <w:bottom w:val="single" w:sz="8" w:space="0" w:color="auto"/>
              <w:right w:val="nil"/>
            </w:tcBorders>
          </w:tcPr>
          <w:p w14:paraId="4DCF6129" w14:textId="3C796065" w:rsidR="002F1748" w:rsidRPr="002D5BCF" w:rsidRDefault="002F1748" w:rsidP="00E46E86">
            <w:pPr>
              <w:rPr>
                <w:rFonts w:ascii="Times New Roman" w:hAnsi="Times New Roman" w:cs="Times New Roman"/>
              </w:rPr>
            </w:pPr>
            <w:r w:rsidRPr="002D5BCF">
              <w:rPr>
                <w:rFonts w:ascii="Times New Roman" w:hAnsi="Times New Roman" w:cs="Times New Roman"/>
              </w:rPr>
              <w:t>Tamanho da base (vínculos ativos)</w:t>
            </w:r>
          </w:p>
        </w:tc>
        <w:tc>
          <w:tcPr>
            <w:tcW w:w="1134" w:type="dxa"/>
            <w:tcBorders>
              <w:top w:val="nil"/>
              <w:left w:val="nil"/>
              <w:bottom w:val="single" w:sz="8" w:space="0" w:color="auto"/>
              <w:right w:val="nil"/>
            </w:tcBorders>
          </w:tcPr>
          <w:p w14:paraId="27CF2F39" w14:textId="688A3525" w:rsidR="002F1748" w:rsidRPr="002D5BCF" w:rsidRDefault="002F1748" w:rsidP="00E46E86">
            <w:pPr>
              <w:jc w:val="center"/>
              <w:rPr>
                <w:rFonts w:ascii="Times New Roman" w:hAnsi="Times New Roman" w:cs="Times New Roman"/>
              </w:rPr>
            </w:pPr>
            <w:r w:rsidRPr="002D5BCF">
              <w:rPr>
                <w:rFonts w:ascii="Times New Roman" w:hAnsi="Times New Roman" w:cs="Times New Roman"/>
              </w:rPr>
              <w:t>676,391</w:t>
            </w:r>
          </w:p>
        </w:tc>
        <w:tc>
          <w:tcPr>
            <w:tcW w:w="1134" w:type="dxa"/>
            <w:tcBorders>
              <w:top w:val="nil"/>
              <w:left w:val="nil"/>
              <w:bottom w:val="single" w:sz="8" w:space="0" w:color="auto"/>
              <w:right w:val="nil"/>
            </w:tcBorders>
          </w:tcPr>
          <w:p w14:paraId="52536291" w14:textId="1118C4FD" w:rsidR="002F1748" w:rsidRPr="002D5BCF" w:rsidRDefault="002F1748" w:rsidP="00E46E86">
            <w:pPr>
              <w:jc w:val="center"/>
              <w:rPr>
                <w:rFonts w:ascii="Times New Roman" w:hAnsi="Times New Roman" w:cs="Times New Roman"/>
              </w:rPr>
            </w:pPr>
            <w:r w:rsidRPr="002D5BCF">
              <w:rPr>
                <w:rFonts w:ascii="Times New Roman" w:hAnsi="Times New Roman" w:cs="Times New Roman"/>
              </w:rPr>
              <w:t>728,139</w:t>
            </w:r>
          </w:p>
        </w:tc>
        <w:tc>
          <w:tcPr>
            <w:tcW w:w="1275" w:type="dxa"/>
            <w:tcBorders>
              <w:top w:val="nil"/>
              <w:left w:val="nil"/>
              <w:bottom w:val="single" w:sz="8" w:space="0" w:color="auto"/>
              <w:right w:val="nil"/>
            </w:tcBorders>
          </w:tcPr>
          <w:p w14:paraId="63F92BBE" w14:textId="264166E8" w:rsidR="002F1748" w:rsidRPr="002D5BCF" w:rsidRDefault="002F1748" w:rsidP="00E46E86">
            <w:pPr>
              <w:jc w:val="center"/>
              <w:rPr>
                <w:rFonts w:ascii="Times New Roman" w:hAnsi="Times New Roman" w:cs="Times New Roman"/>
              </w:rPr>
            </w:pPr>
            <w:r w:rsidRPr="002D5BCF">
              <w:rPr>
                <w:rFonts w:ascii="Times New Roman" w:hAnsi="Times New Roman" w:cs="Times New Roman"/>
              </w:rPr>
              <w:t>714,135</w:t>
            </w:r>
          </w:p>
        </w:tc>
        <w:tc>
          <w:tcPr>
            <w:tcW w:w="1123" w:type="dxa"/>
            <w:tcBorders>
              <w:top w:val="nil"/>
              <w:left w:val="nil"/>
              <w:bottom w:val="single" w:sz="8" w:space="0" w:color="auto"/>
              <w:right w:val="nil"/>
            </w:tcBorders>
          </w:tcPr>
          <w:p w14:paraId="690FF468" w14:textId="4016F7C3" w:rsidR="002F1748" w:rsidRPr="002D5BCF" w:rsidRDefault="002F1748" w:rsidP="00E46E86">
            <w:pPr>
              <w:jc w:val="center"/>
              <w:rPr>
                <w:rFonts w:ascii="Times New Roman" w:hAnsi="Times New Roman" w:cs="Times New Roman"/>
              </w:rPr>
            </w:pPr>
            <w:r w:rsidRPr="002D5BCF">
              <w:rPr>
                <w:rFonts w:ascii="Times New Roman" w:hAnsi="Times New Roman" w:cs="Times New Roman"/>
              </w:rPr>
              <w:t>520,348</w:t>
            </w:r>
          </w:p>
        </w:tc>
      </w:tr>
    </w:tbl>
    <w:p w14:paraId="4C9098E3" w14:textId="171AABC2" w:rsidR="00FE4F4E" w:rsidRPr="002D5BCF" w:rsidRDefault="00492F79" w:rsidP="00E46E86">
      <w:pPr>
        <w:spacing w:line="360" w:lineRule="auto"/>
        <w:rPr>
          <w:rFonts w:ascii="Times New Roman" w:hAnsi="Times New Roman" w:cs="Times New Roman"/>
        </w:rPr>
      </w:pPr>
      <w:r w:rsidRPr="002D5BCF">
        <w:rPr>
          <w:rFonts w:ascii="Times New Roman" w:hAnsi="Times New Roman" w:cs="Times New Roman"/>
        </w:rPr>
        <w:t>Fonte: Elaboração Própria (2025), com base em dados da RAIS.</w:t>
      </w:r>
    </w:p>
    <w:p w14:paraId="239A755F" w14:textId="77777777" w:rsidR="00FE4F4E" w:rsidRDefault="00587DB2" w:rsidP="00E46E86">
      <w:pPr>
        <w:spacing w:line="360" w:lineRule="auto"/>
        <w:jc w:val="both"/>
        <w:rPr>
          <w:rFonts w:ascii="Times New Roman" w:hAnsi="Times New Roman" w:cs="Times New Roman"/>
        </w:rPr>
      </w:pPr>
      <w:r w:rsidRPr="00E46E86">
        <w:rPr>
          <w:rFonts w:ascii="Times New Roman" w:hAnsi="Times New Roman" w:cs="Times New Roman"/>
        </w:rPr>
        <w:lastRenderedPageBreak/>
        <w:tab/>
        <w:t xml:space="preserve">A Tabela 2 evidencia mudanças </w:t>
      </w:r>
      <w:r w:rsidR="00C90947">
        <w:rPr>
          <w:rFonts w:ascii="Times New Roman" w:hAnsi="Times New Roman" w:cs="Times New Roman"/>
        </w:rPr>
        <w:t>quanto a</w:t>
      </w:r>
      <w:r w:rsidRPr="00E46E86">
        <w:rPr>
          <w:rFonts w:ascii="Times New Roman" w:hAnsi="Times New Roman" w:cs="Times New Roman"/>
        </w:rPr>
        <w:t xml:space="preserve"> estatístic</w:t>
      </w:r>
      <w:r w:rsidR="00C90947">
        <w:rPr>
          <w:rFonts w:ascii="Times New Roman" w:hAnsi="Times New Roman" w:cs="Times New Roman"/>
        </w:rPr>
        <w:t>as</w:t>
      </w:r>
      <w:r w:rsidRPr="00E46E86">
        <w:rPr>
          <w:rFonts w:ascii="Times New Roman" w:hAnsi="Times New Roman" w:cs="Times New Roman"/>
        </w:rPr>
        <w:t xml:space="preserve"> dos trabalhadores formais na Paraíba. </w:t>
      </w:r>
      <w:r w:rsidR="00FE4F4E" w:rsidRPr="00E46E86">
        <w:rPr>
          <w:rFonts w:ascii="Times New Roman" w:hAnsi="Times New Roman" w:cs="Times New Roman"/>
        </w:rPr>
        <w:t>Além disso, a idade média dos trabalhadores caiu de 39,2 para 36,9 anos, sugerindo maior entrada de jovens no mercado.</w:t>
      </w:r>
      <w:r w:rsidR="00FE4F4E">
        <w:rPr>
          <w:rFonts w:ascii="Times New Roman" w:hAnsi="Times New Roman" w:cs="Times New Roman"/>
        </w:rPr>
        <w:t xml:space="preserve"> </w:t>
      </w:r>
      <w:r w:rsidRPr="00E46E86">
        <w:rPr>
          <w:rFonts w:ascii="Times New Roman" w:hAnsi="Times New Roman" w:cs="Times New Roman"/>
        </w:rPr>
        <w:t>As horas contratuais cresceram de forma contínua, passando de 38,9 horas semanais em 2021 para 42,9 horas em 2024, o que aponta para aumento da carga horária média.</w:t>
      </w:r>
      <w:r w:rsidR="00FE4F4E" w:rsidRPr="00FE4F4E">
        <w:rPr>
          <w:rFonts w:ascii="Times New Roman" w:hAnsi="Times New Roman" w:cs="Times New Roman"/>
        </w:rPr>
        <w:t xml:space="preserve"> </w:t>
      </w:r>
    </w:p>
    <w:p w14:paraId="746FDC81" w14:textId="42398739" w:rsidR="00587DB2" w:rsidRPr="00E46E86" w:rsidRDefault="00FE4F4E" w:rsidP="00E46E86">
      <w:pPr>
        <w:spacing w:line="360" w:lineRule="auto"/>
        <w:jc w:val="both"/>
        <w:rPr>
          <w:rFonts w:ascii="Times New Roman" w:hAnsi="Times New Roman" w:cs="Times New Roman"/>
        </w:rPr>
      </w:pPr>
      <w:r>
        <w:rPr>
          <w:rFonts w:ascii="Times New Roman" w:hAnsi="Times New Roman" w:cs="Times New Roman"/>
        </w:rPr>
        <w:tab/>
      </w:r>
      <w:r w:rsidRPr="00E46E86">
        <w:rPr>
          <w:rFonts w:ascii="Times New Roman" w:hAnsi="Times New Roman" w:cs="Times New Roman"/>
        </w:rPr>
        <w:t>No campo salarial, houve queda expressiva: o rendimento médio mensal recuou de R$ 2.875,58 (2022) para R$ 2.118,80 (2024),</w:t>
      </w:r>
      <w:r>
        <w:rPr>
          <w:rFonts w:ascii="Times New Roman" w:hAnsi="Times New Roman" w:cs="Times New Roman"/>
        </w:rPr>
        <w:t xml:space="preserve"> </w:t>
      </w:r>
      <w:r w:rsidRPr="00E46E86">
        <w:rPr>
          <w:rFonts w:ascii="Times New Roman" w:hAnsi="Times New Roman" w:cs="Times New Roman"/>
        </w:rPr>
        <w:t>acompanhado da redução do salário-hora</w:t>
      </w:r>
      <w:r w:rsidR="00EB0E0D">
        <w:rPr>
          <w:rFonts w:ascii="Times New Roman" w:hAnsi="Times New Roman" w:cs="Times New Roman"/>
        </w:rPr>
        <w:t xml:space="preserve">, </w:t>
      </w:r>
      <w:r w:rsidR="00EB0E0D">
        <w:rPr>
          <w:rFonts w:ascii="Times New Roman" w:hAnsi="Times New Roman" w:cs="Times New Roman"/>
        </w:rPr>
        <w:t>como evidenciado na tabela 01</w:t>
      </w:r>
      <w:r w:rsidRPr="00E46E86">
        <w:rPr>
          <w:rFonts w:ascii="Times New Roman" w:hAnsi="Times New Roman" w:cs="Times New Roman"/>
        </w:rPr>
        <w:t xml:space="preserve">, </w:t>
      </w:r>
      <w:r w:rsidR="00064D84">
        <w:rPr>
          <w:rFonts w:ascii="Times New Roman" w:hAnsi="Times New Roman" w:cs="Times New Roman"/>
        </w:rPr>
        <w:t>acompanhado</w:t>
      </w:r>
      <w:r w:rsidRPr="00E46E86">
        <w:rPr>
          <w:rFonts w:ascii="Times New Roman" w:hAnsi="Times New Roman" w:cs="Times New Roman"/>
        </w:rPr>
        <w:t xml:space="preserve"> </w:t>
      </w:r>
      <w:r w:rsidR="00064D84">
        <w:rPr>
          <w:rFonts w:ascii="Times New Roman" w:hAnsi="Times New Roman" w:cs="Times New Roman"/>
        </w:rPr>
        <w:t>d</w:t>
      </w:r>
      <w:r w:rsidRPr="00E46E86">
        <w:rPr>
          <w:rFonts w:ascii="Times New Roman" w:hAnsi="Times New Roman" w:cs="Times New Roman"/>
        </w:rPr>
        <w:t>o aumento da jornada semanal (38,9h para 42,9h)</w:t>
      </w:r>
      <w:r w:rsidR="00064D84">
        <w:rPr>
          <w:rFonts w:ascii="Times New Roman" w:hAnsi="Times New Roman" w:cs="Times New Roman"/>
        </w:rPr>
        <w:t xml:space="preserve"> observado na tabela 02</w:t>
      </w:r>
      <w:r w:rsidRPr="00E46E86">
        <w:rPr>
          <w:rFonts w:ascii="Times New Roman" w:hAnsi="Times New Roman" w:cs="Times New Roman"/>
        </w:rPr>
        <w:t>.</w:t>
      </w:r>
    </w:p>
    <w:p w14:paraId="01D061AD" w14:textId="53798712" w:rsidR="00E46E86" w:rsidRPr="00E46E86" w:rsidRDefault="00587DB2" w:rsidP="00E46E86">
      <w:pPr>
        <w:spacing w:line="360" w:lineRule="auto"/>
        <w:jc w:val="both"/>
        <w:rPr>
          <w:rFonts w:ascii="Times New Roman" w:hAnsi="Times New Roman" w:cs="Times New Roman"/>
          <w:b/>
          <w:bCs/>
        </w:rPr>
      </w:pPr>
      <w:r w:rsidRPr="00E46E86">
        <w:rPr>
          <w:rFonts w:ascii="Times New Roman" w:hAnsi="Times New Roman" w:cs="Times New Roman"/>
        </w:rPr>
        <w:tab/>
        <w:t>Além disso, os elevados valores de assimetria e curtose na distribuição salarial indicam forte desigualdade, sugerindo que poucos trabalhadores concentram rendimentos muito acima da média.</w:t>
      </w:r>
    </w:p>
    <w:tbl>
      <w:tblPr>
        <w:tblStyle w:val="Tabelacomgrade"/>
        <w:tblpPr w:leftFromText="141" w:rightFromText="141" w:vertAnchor="text" w:horzAnchor="margin" w:tblpY="437"/>
        <w:tblW w:w="86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67"/>
        <w:gridCol w:w="996"/>
        <w:gridCol w:w="1133"/>
        <w:gridCol w:w="1255"/>
        <w:gridCol w:w="1323"/>
        <w:gridCol w:w="1030"/>
      </w:tblGrid>
      <w:tr w:rsidR="00D631D5" w:rsidRPr="00E46E86" w14:paraId="4A5B9D65" w14:textId="77777777" w:rsidTr="008C74E9">
        <w:trPr>
          <w:trHeight w:val="270"/>
        </w:trPr>
        <w:tc>
          <w:tcPr>
            <w:tcW w:w="2975" w:type="dxa"/>
            <w:tcBorders>
              <w:top w:val="single" w:sz="12" w:space="0" w:color="auto"/>
              <w:bottom w:val="single" w:sz="8" w:space="0" w:color="auto"/>
            </w:tcBorders>
            <w:vAlign w:val="center"/>
          </w:tcPr>
          <w:p w14:paraId="31E09739" w14:textId="628B181B"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Variáveis</w:t>
            </w:r>
          </w:p>
        </w:tc>
        <w:tc>
          <w:tcPr>
            <w:tcW w:w="994" w:type="dxa"/>
            <w:tcBorders>
              <w:top w:val="single" w:sz="12" w:space="0" w:color="auto"/>
              <w:bottom w:val="single" w:sz="8" w:space="0" w:color="auto"/>
            </w:tcBorders>
            <w:vAlign w:val="center"/>
          </w:tcPr>
          <w:p w14:paraId="101626E6"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Média</w:t>
            </w:r>
          </w:p>
        </w:tc>
        <w:tc>
          <w:tcPr>
            <w:tcW w:w="1134" w:type="dxa"/>
            <w:tcBorders>
              <w:top w:val="single" w:sz="12" w:space="0" w:color="auto"/>
              <w:bottom w:val="single" w:sz="8" w:space="0" w:color="auto"/>
            </w:tcBorders>
            <w:vAlign w:val="center"/>
          </w:tcPr>
          <w:p w14:paraId="3CDEFA14"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Mediana</w:t>
            </w:r>
          </w:p>
        </w:tc>
        <w:tc>
          <w:tcPr>
            <w:tcW w:w="1276" w:type="dxa"/>
            <w:tcBorders>
              <w:top w:val="single" w:sz="12" w:space="0" w:color="auto"/>
              <w:bottom w:val="single" w:sz="8" w:space="0" w:color="auto"/>
            </w:tcBorders>
            <w:vAlign w:val="center"/>
          </w:tcPr>
          <w:p w14:paraId="512CB7C4" w14:textId="52CFD49F"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Desv. Pad.</w:t>
            </w:r>
          </w:p>
        </w:tc>
        <w:tc>
          <w:tcPr>
            <w:tcW w:w="1262" w:type="dxa"/>
            <w:tcBorders>
              <w:top w:val="single" w:sz="12" w:space="0" w:color="auto"/>
              <w:bottom w:val="single" w:sz="8" w:space="0" w:color="auto"/>
            </w:tcBorders>
            <w:vAlign w:val="center"/>
          </w:tcPr>
          <w:p w14:paraId="3B92C6A0"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Assimetria</w:t>
            </w:r>
          </w:p>
        </w:tc>
        <w:tc>
          <w:tcPr>
            <w:tcW w:w="963" w:type="dxa"/>
            <w:tcBorders>
              <w:top w:val="single" w:sz="12" w:space="0" w:color="auto"/>
              <w:bottom w:val="single" w:sz="8" w:space="0" w:color="auto"/>
            </w:tcBorders>
            <w:vAlign w:val="center"/>
          </w:tcPr>
          <w:p w14:paraId="08DABB99" w14:textId="77777777" w:rsidR="00D631D5" w:rsidRPr="00E46E86" w:rsidRDefault="00D631D5" w:rsidP="00E46E86">
            <w:pPr>
              <w:jc w:val="center"/>
              <w:rPr>
                <w:rFonts w:ascii="Times New Roman" w:hAnsi="Times New Roman" w:cs="Times New Roman"/>
                <w:b/>
                <w:bCs/>
              </w:rPr>
            </w:pPr>
            <w:r w:rsidRPr="00E46E86">
              <w:rPr>
                <w:rFonts w:ascii="Times New Roman" w:hAnsi="Times New Roman" w:cs="Times New Roman"/>
                <w:b/>
                <w:bCs/>
              </w:rPr>
              <w:t>Curtose</w:t>
            </w:r>
          </w:p>
        </w:tc>
      </w:tr>
      <w:tr w:rsidR="00D631D5" w:rsidRPr="00E46E86" w14:paraId="544DDBF3" w14:textId="77777777" w:rsidTr="00D631D5">
        <w:trPr>
          <w:trHeight w:val="29"/>
        </w:trPr>
        <w:tc>
          <w:tcPr>
            <w:tcW w:w="2975" w:type="dxa"/>
            <w:tcBorders>
              <w:top w:val="single" w:sz="8" w:space="0" w:color="auto"/>
              <w:bottom w:val="single" w:sz="8" w:space="0" w:color="auto"/>
            </w:tcBorders>
          </w:tcPr>
          <w:p w14:paraId="37B20A1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2021</w:t>
            </w:r>
          </w:p>
        </w:tc>
        <w:tc>
          <w:tcPr>
            <w:tcW w:w="994" w:type="dxa"/>
            <w:tcBorders>
              <w:top w:val="single" w:sz="8" w:space="0" w:color="auto"/>
              <w:bottom w:val="single" w:sz="8" w:space="0" w:color="auto"/>
            </w:tcBorders>
          </w:tcPr>
          <w:p w14:paraId="443A5C30"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0DEF87FD"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3940B3A0"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0237DC3E"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3408E534" w14:textId="77777777" w:rsidR="00D631D5" w:rsidRPr="00E46E86" w:rsidRDefault="00D631D5" w:rsidP="00E46E86">
            <w:pPr>
              <w:jc w:val="center"/>
              <w:rPr>
                <w:rFonts w:ascii="Times New Roman" w:hAnsi="Times New Roman" w:cs="Times New Roman"/>
              </w:rPr>
            </w:pPr>
          </w:p>
        </w:tc>
      </w:tr>
      <w:tr w:rsidR="00D631D5" w:rsidRPr="00E46E86" w14:paraId="09BEEAC9" w14:textId="77777777" w:rsidTr="00D631D5">
        <w:trPr>
          <w:trHeight w:val="282"/>
        </w:trPr>
        <w:tc>
          <w:tcPr>
            <w:tcW w:w="2975" w:type="dxa"/>
            <w:tcBorders>
              <w:top w:val="single" w:sz="8" w:space="0" w:color="auto"/>
            </w:tcBorders>
          </w:tcPr>
          <w:p w14:paraId="49FBE4E0"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F8838E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39.16</w:t>
            </w:r>
          </w:p>
        </w:tc>
        <w:tc>
          <w:tcPr>
            <w:tcW w:w="1134" w:type="dxa"/>
            <w:tcBorders>
              <w:top w:val="single" w:sz="8" w:space="0" w:color="auto"/>
            </w:tcBorders>
          </w:tcPr>
          <w:p w14:paraId="07FC7D8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7C680B3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11.84</w:t>
            </w:r>
          </w:p>
        </w:tc>
        <w:tc>
          <w:tcPr>
            <w:tcW w:w="1262" w:type="dxa"/>
            <w:tcBorders>
              <w:top w:val="single" w:sz="8" w:space="0" w:color="auto"/>
            </w:tcBorders>
          </w:tcPr>
          <w:p w14:paraId="3E841EA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0.42</w:t>
            </w:r>
          </w:p>
        </w:tc>
        <w:tc>
          <w:tcPr>
            <w:tcW w:w="963" w:type="dxa"/>
            <w:tcBorders>
              <w:top w:val="single" w:sz="8" w:space="0" w:color="auto"/>
            </w:tcBorders>
          </w:tcPr>
          <w:p w14:paraId="6D98609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2.56</w:t>
            </w:r>
          </w:p>
        </w:tc>
      </w:tr>
      <w:tr w:rsidR="00D631D5" w:rsidRPr="00E46E86" w14:paraId="764281F6" w14:textId="77777777" w:rsidTr="00D631D5">
        <w:trPr>
          <w:trHeight w:val="222"/>
        </w:trPr>
        <w:tc>
          <w:tcPr>
            <w:tcW w:w="2975" w:type="dxa"/>
          </w:tcPr>
          <w:p w14:paraId="7C41D7C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0500581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38.92</w:t>
            </w:r>
          </w:p>
        </w:tc>
        <w:tc>
          <w:tcPr>
            <w:tcW w:w="1134" w:type="dxa"/>
          </w:tcPr>
          <w:p w14:paraId="79415AE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5B4A22B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8.52</w:t>
            </w:r>
          </w:p>
        </w:tc>
        <w:tc>
          <w:tcPr>
            <w:tcW w:w="1262" w:type="dxa"/>
          </w:tcPr>
          <w:p w14:paraId="4623BB8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-2.47</w:t>
            </w:r>
          </w:p>
        </w:tc>
        <w:tc>
          <w:tcPr>
            <w:tcW w:w="963" w:type="dxa"/>
          </w:tcPr>
          <w:p w14:paraId="63DED29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9.46</w:t>
            </w:r>
          </w:p>
        </w:tc>
      </w:tr>
      <w:tr w:rsidR="00D631D5" w:rsidRPr="00E46E86" w14:paraId="5F555922" w14:textId="77777777" w:rsidTr="00D631D5">
        <w:trPr>
          <w:trHeight w:val="253"/>
        </w:trPr>
        <w:tc>
          <w:tcPr>
            <w:tcW w:w="2975" w:type="dxa"/>
            <w:tcBorders>
              <w:bottom w:val="single" w:sz="8" w:space="0" w:color="auto"/>
            </w:tcBorders>
          </w:tcPr>
          <w:p w14:paraId="7080ABA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13463E7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2378.46</w:t>
            </w:r>
          </w:p>
        </w:tc>
        <w:tc>
          <w:tcPr>
            <w:tcW w:w="1134" w:type="dxa"/>
            <w:tcBorders>
              <w:bottom w:val="single" w:sz="8" w:space="0" w:color="auto"/>
            </w:tcBorders>
          </w:tcPr>
          <w:p w14:paraId="08D6835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1479.91</w:t>
            </w:r>
          </w:p>
        </w:tc>
        <w:tc>
          <w:tcPr>
            <w:tcW w:w="1276" w:type="dxa"/>
            <w:tcBorders>
              <w:bottom w:val="single" w:sz="8" w:space="0" w:color="auto"/>
            </w:tcBorders>
          </w:tcPr>
          <w:p w14:paraId="287977F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2982.54</w:t>
            </w:r>
          </w:p>
        </w:tc>
        <w:tc>
          <w:tcPr>
            <w:tcW w:w="1262" w:type="dxa"/>
            <w:tcBorders>
              <w:bottom w:val="single" w:sz="8" w:space="0" w:color="auto"/>
            </w:tcBorders>
          </w:tcPr>
          <w:p w14:paraId="56FC5D5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5.44</w:t>
            </w:r>
          </w:p>
        </w:tc>
        <w:tc>
          <w:tcPr>
            <w:tcW w:w="963" w:type="dxa"/>
            <w:tcBorders>
              <w:bottom w:val="single" w:sz="8" w:space="0" w:color="auto"/>
            </w:tcBorders>
          </w:tcPr>
          <w:p w14:paraId="2A9633F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46.94</w:t>
            </w:r>
          </w:p>
        </w:tc>
      </w:tr>
      <w:tr w:rsidR="00D631D5" w:rsidRPr="00E46E86" w14:paraId="69C80021" w14:textId="77777777" w:rsidTr="00D631D5">
        <w:trPr>
          <w:trHeight w:val="79"/>
        </w:trPr>
        <w:tc>
          <w:tcPr>
            <w:tcW w:w="2975" w:type="dxa"/>
            <w:tcBorders>
              <w:top w:val="single" w:sz="8" w:space="0" w:color="auto"/>
              <w:bottom w:val="single" w:sz="8" w:space="0" w:color="auto"/>
            </w:tcBorders>
          </w:tcPr>
          <w:p w14:paraId="68496097"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2022</w:t>
            </w:r>
          </w:p>
        </w:tc>
        <w:tc>
          <w:tcPr>
            <w:tcW w:w="994" w:type="dxa"/>
            <w:tcBorders>
              <w:top w:val="single" w:sz="8" w:space="0" w:color="auto"/>
              <w:bottom w:val="single" w:sz="8" w:space="0" w:color="auto"/>
            </w:tcBorders>
          </w:tcPr>
          <w:p w14:paraId="620B68A1"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6AB9D847"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76AB1C4B"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1D6956CB"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6D3372CC" w14:textId="77777777" w:rsidR="00D631D5" w:rsidRPr="00E46E86" w:rsidRDefault="00D631D5" w:rsidP="00E46E86">
            <w:pPr>
              <w:jc w:val="center"/>
              <w:rPr>
                <w:rFonts w:ascii="Times New Roman" w:hAnsi="Times New Roman" w:cs="Times New Roman"/>
              </w:rPr>
            </w:pPr>
          </w:p>
        </w:tc>
      </w:tr>
      <w:tr w:rsidR="00D631D5" w:rsidRPr="00E46E86" w14:paraId="2080634E" w14:textId="77777777" w:rsidTr="00D631D5">
        <w:trPr>
          <w:trHeight w:val="42"/>
        </w:trPr>
        <w:tc>
          <w:tcPr>
            <w:tcW w:w="2975" w:type="dxa"/>
            <w:tcBorders>
              <w:top w:val="single" w:sz="8" w:space="0" w:color="auto"/>
            </w:tcBorders>
          </w:tcPr>
          <w:p w14:paraId="38B9F44A"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0DD8FD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39.30</w:t>
            </w:r>
          </w:p>
        </w:tc>
        <w:tc>
          <w:tcPr>
            <w:tcW w:w="1134" w:type="dxa"/>
            <w:tcBorders>
              <w:top w:val="single" w:sz="8" w:space="0" w:color="auto"/>
            </w:tcBorders>
          </w:tcPr>
          <w:p w14:paraId="5EE4774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7DC1043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11.92</w:t>
            </w:r>
          </w:p>
        </w:tc>
        <w:tc>
          <w:tcPr>
            <w:tcW w:w="1262" w:type="dxa"/>
            <w:tcBorders>
              <w:top w:val="single" w:sz="8" w:space="0" w:color="auto"/>
            </w:tcBorders>
          </w:tcPr>
          <w:p w14:paraId="70CC4E0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0.40</w:t>
            </w:r>
          </w:p>
        </w:tc>
        <w:tc>
          <w:tcPr>
            <w:tcW w:w="963" w:type="dxa"/>
            <w:tcBorders>
              <w:top w:val="single" w:sz="8" w:space="0" w:color="auto"/>
            </w:tcBorders>
          </w:tcPr>
          <w:p w14:paraId="68DA79D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2.55</w:t>
            </w:r>
          </w:p>
        </w:tc>
      </w:tr>
      <w:tr w:rsidR="00D631D5" w:rsidRPr="00E46E86" w14:paraId="39900492" w14:textId="77777777" w:rsidTr="00D631D5">
        <w:trPr>
          <w:trHeight w:val="193"/>
        </w:trPr>
        <w:tc>
          <w:tcPr>
            <w:tcW w:w="2975" w:type="dxa"/>
          </w:tcPr>
          <w:p w14:paraId="786E5E0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3D1A49A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39.54</w:t>
            </w:r>
          </w:p>
        </w:tc>
        <w:tc>
          <w:tcPr>
            <w:tcW w:w="1134" w:type="dxa"/>
          </w:tcPr>
          <w:p w14:paraId="3489339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0E8BDA4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7.66</w:t>
            </w:r>
          </w:p>
        </w:tc>
        <w:tc>
          <w:tcPr>
            <w:tcW w:w="1262" w:type="dxa"/>
          </w:tcPr>
          <w:p w14:paraId="2640B94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-2.43</w:t>
            </w:r>
          </w:p>
        </w:tc>
        <w:tc>
          <w:tcPr>
            <w:tcW w:w="963" w:type="dxa"/>
          </w:tcPr>
          <w:p w14:paraId="1C1054C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9.63</w:t>
            </w:r>
          </w:p>
        </w:tc>
      </w:tr>
      <w:tr w:rsidR="00D631D5" w:rsidRPr="00E46E86" w14:paraId="24E50BB4" w14:textId="77777777" w:rsidTr="00D631D5">
        <w:trPr>
          <w:trHeight w:val="49"/>
        </w:trPr>
        <w:tc>
          <w:tcPr>
            <w:tcW w:w="2975" w:type="dxa"/>
            <w:tcBorders>
              <w:bottom w:val="single" w:sz="8" w:space="0" w:color="auto"/>
            </w:tcBorders>
          </w:tcPr>
          <w:p w14:paraId="650C1F11"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1D10BAB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2875.58</w:t>
            </w:r>
          </w:p>
        </w:tc>
        <w:tc>
          <w:tcPr>
            <w:tcW w:w="1134" w:type="dxa"/>
            <w:tcBorders>
              <w:bottom w:val="single" w:sz="8" w:space="0" w:color="auto"/>
            </w:tcBorders>
          </w:tcPr>
          <w:p w14:paraId="25D7319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1625.17</w:t>
            </w:r>
          </w:p>
        </w:tc>
        <w:tc>
          <w:tcPr>
            <w:tcW w:w="1276" w:type="dxa"/>
            <w:tcBorders>
              <w:bottom w:val="single" w:sz="8" w:space="0" w:color="auto"/>
            </w:tcBorders>
          </w:tcPr>
          <w:p w14:paraId="4B96D336"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8367.04</w:t>
            </w:r>
          </w:p>
        </w:tc>
        <w:tc>
          <w:tcPr>
            <w:tcW w:w="1262" w:type="dxa"/>
            <w:tcBorders>
              <w:bottom w:val="single" w:sz="8" w:space="0" w:color="auto"/>
            </w:tcBorders>
          </w:tcPr>
          <w:p w14:paraId="74319887"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104.83</w:t>
            </w:r>
          </w:p>
        </w:tc>
        <w:tc>
          <w:tcPr>
            <w:tcW w:w="963" w:type="dxa"/>
            <w:tcBorders>
              <w:bottom w:val="single" w:sz="8" w:space="0" w:color="auto"/>
            </w:tcBorders>
          </w:tcPr>
          <w:p w14:paraId="2DB5720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20848</w:t>
            </w:r>
          </w:p>
        </w:tc>
      </w:tr>
      <w:tr w:rsidR="00D631D5" w:rsidRPr="00E46E86" w14:paraId="0E9EB93D" w14:textId="77777777" w:rsidTr="00D631D5">
        <w:trPr>
          <w:trHeight w:val="29"/>
        </w:trPr>
        <w:tc>
          <w:tcPr>
            <w:tcW w:w="2975" w:type="dxa"/>
            <w:tcBorders>
              <w:top w:val="single" w:sz="8" w:space="0" w:color="auto"/>
              <w:bottom w:val="single" w:sz="8" w:space="0" w:color="auto"/>
            </w:tcBorders>
          </w:tcPr>
          <w:p w14:paraId="01FECDF6"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2023</w:t>
            </w:r>
          </w:p>
        </w:tc>
        <w:tc>
          <w:tcPr>
            <w:tcW w:w="994" w:type="dxa"/>
            <w:tcBorders>
              <w:top w:val="single" w:sz="8" w:space="0" w:color="auto"/>
              <w:bottom w:val="single" w:sz="8" w:space="0" w:color="auto"/>
            </w:tcBorders>
          </w:tcPr>
          <w:p w14:paraId="27301A7B"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7B74986E"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4308AA33"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3E763248"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5773C022" w14:textId="77777777" w:rsidR="00D631D5" w:rsidRPr="00E46E86" w:rsidRDefault="00D631D5" w:rsidP="00E46E86">
            <w:pPr>
              <w:jc w:val="center"/>
              <w:rPr>
                <w:rFonts w:ascii="Times New Roman" w:hAnsi="Times New Roman" w:cs="Times New Roman"/>
              </w:rPr>
            </w:pPr>
          </w:p>
        </w:tc>
      </w:tr>
      <w:tr w:rsidR="00D631D5" w:rsidRPr="00E46E86" w14:paraId="6A611459" w14:textId="77777777" w:rsidTr="00D631D5">
        <w:trPr>
          <w:trHeight w:val="69"/>
        </w:trPr>
        <w:tc>
          <w:tcPr>
            <w:tcW w:w="2975" w:type="dxa"/>
            <w:tcBorders>
              <w:top w:val="single" w:sz="8" w:space="0" w:color="auto"/>
            </w:tcBorders>
          </w:tcPr>
          <w:p w14:paraId="7A350750"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5F66841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38.79</w:t>
            </w:r>
          </w:p>
        </w:tc>
        <w:tc>
          <w:tcPr>
            <w:tcW w:w="1134" w:type="dxa"/>
            <w:tcBorders>
              <w:top w:val="single" w:sz="8" w:space="0" w:color="auto"/>
            </w:tcBorders>
          </w:tcPr>
          <w:p w14:paraId="7AE571B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38</w:t>
            </w:r>
          </w:p>
        </w:tc>
        <w:tc>
          <w:tcPr>
            <w:tcW w:w="1276" w:type="dxa"/>
            <w:tcBorders>
              <w:top w:val="single" w:sz="8" w:space="0" w:color="auto"/>
            </w:tcBorders>
          </w:tcPr>
          <w:p w14:paraId="4F47744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12.06</w:t>
            </w:r>
          </w:p>
        </w:tc>
        <w:tc>
          <w:tcPr>
            <w:tcW w:w="1262" w:type="dxa"/>
            <w:tcBorders>
              <w:top w:val="single" w:sz="8" w:space="0" w:color="auto"/>
            </w:tcBorders>
          </w:tcPr>
          <w:p w14:paraId="0343E39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0.30</w:t>
            </w:r>
          </w:p>
        </w:tc>
        <w:tc>
          <w:tcPr>
            <w:tcW w:w="963" w:type="dxa"/>
            <w:tcBorders>
              <w:top w:val="single" w:sz="8" w:space="0" w:color="auto"/>
            </w:tcBorders>
          </w:tcPr>
          <w:p w14:paraId="5E7FDD7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2.76</w:t>
            </w:r>
          </w:p>
        </w:tc>
      </w:tr>
      <w:tr w:rsidR="00D631D5" w:rsidRPr="00E46E86" w14:paraId="27DCA660" w14:textId="77777777" w:rsidTr="00D631D5">
        <w:trPr>
          <w:trHeight w:val="49"/>
        </w:trPr>
        <w:tc>
          <w:tcPr>
            <w:tcW w:w="2975" w:type="dxa"/>
          </w:tcPr>
          <w:p w14:paraId="2956888E"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77C16A7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41.99</w:t>
            </w:r>
          </w:p>
        </w:tc>
        <w:tc>
          <w:tcPr>
            <w:tcW w:w="1134" w:type="dxa"/>
          </w:tcPr>
          <w:p w14:paraId="521EC1A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00F917B1"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8.80</w:t>
            </w:r>
          </w:p>
        </w:tc>
        <w:tc>
          <w:tcPr>
            <w:tcW w:w="1262" w:type="dxa"/>
          </w:tcPr>
          <w:p w14:paraId="6F0E8EDB"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2.91</w:t>
            </w:r>
          </w:p>
        </w:tc>
        <w:tc>
          <w:tcPr>
            <w:tcW w:w="963" w:type="dxa"/>
          </w:tcPr>
          <w:p w14:paraId="1C8B522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28.66</w:t>
            </w:r>
          </w:p>
        </w:tc>
      </w:tr>
      <w:tr w:rsidR="00D631D5" w:rsidRPr="00E46E86" w14:paraId="3B09BB5E" w14:textId="77777777" w:rsidTr="00D631D5">
        <w:trPr>
          <w:trHeight w:val="83"/>
        </w:trPr>
        <w:tc>
          <w:tcPr>
            <w:tcW w:w="2975" w:type="dxa"/>
            <w:tcBorders>
              <w:bottom w:val="single" w:sz="8" w:space="0" w:color="auto"/>
            </w:tcBorders>
          </w:tcPr>
          <w:p w14:paraId="56E7676C"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8" w:space="0" w:color="auto"/>
            </w:tcBorders>
          </w:tcPr>
          <w:p w14:paraId="06777D1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2540.37</w:t>
            </w:r>
          </w:p>
        </w:tc>
        <w:tc>
          <w:tcPr>
            <w:tcW w:w="1134" w:type="dxa"/>
            <w:tcBorders>
              <w:bottom w:val="single" w:sz="8" w:space="0" w:color="auto"/>
            </w:tcBorders>
          </w:tcPr>
          <w:p w14:paraId="3105BF0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1670.09</w:t>
            </w:r>
          </w:p>
        </w:tc>
        <w:tc>
          <w:tcPr>
            <w:tcW w:w="1276" w:type="dxa"/>
            <w:tcBorders>
              <w:bottom w:val="single" w:sz="8" w:space="0" w:color="auto"/>
            </w:tcBorders>
          </w:tcPr>
          <w:p w14:paraId="447F59A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3065.27</w:t>
            </w:r>
          </w:p>
        </w:tc>
        <w:tc>
          <w:tcPr>
            <w:tcW w:w="1262" w:type="dxa"/>
            <w:tcBorders>
              <w:bottom w:val="single" w:sz="8" w:space="0" w:color="auto"/>
            </w:tcBorders>
          </w:tcPr>
          <w:p w14:paraId="649FF04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5.18</w:t>
            </w:r>
          </w:p>
        </w:tc>
        <w:tc>
          <w:tcPr>
            <w:tcW w:w="963" w:type="dxa"/>
            <w:tcBorders>
              <w:bottom w:val="single" w:sz="8" w:space="0" w:color="auto"/>
            </w:tcBorders>
          </w:tcPr>
          <w:p w14:paraId="66D2AB7D"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48.74</w:t>
            </w:r>
          </w:p>
        </w:tc>
      </w:tr>
      <w:tr w:rsidR="00D631D5" w:rsidRPr="00E46E86" w14:paraId="299DDEC9" w14:textId="77777777" w:rsidTr="00D631D5">
        <w:trPr>
          <w:trHeight w:val="68"/>
        </w:trPr>
        <w:tc>
          <w:tcPr>
            <w:tcW w:w="2975" w:type="dxa"/>
            <w:tcBorders>
              <w:top w:val="single" w:sz="8" w:space="0" w:color="auto"/>
              <w:bottom w:val="single" w:sz="8" w:space="0" w:color="auto"/>
            </w:tcBorders>
          </w:tcPr>
          <w:p w14:paraId="7F65E0A2"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2024</w:t>
            </w:r>
          </w:p>
        </w:tc>
        <w:tc>
          <w:tcPr>
            <w:tcW w:w="994" w:type="dxa"/>
            <w:tcBorders>
              <w:top w:val="single" w:sz="8" w:space="0" w:color="auto"/>
              <w:bottom w:val="single" w:sz="8" w:space="0" w:color="auto"/>
            </w:tcBorders>
          </w:tcPr>
          <w:p w14:paraId="02679EBE" w14:textId="77777777" w:rsidR="00D631D5" w:rsidRPr="00E46E86" w:rsidRDefault="00D631D5" w:rsidP="00E46E86">
            <w:pPr>
              <w:jc w:val="center"/>
              <w:rPr>
                <w:rFonts w:ascii="Times New Roman" w:hAnsi="Times New Roman" w:cs="Times New Roman"/>
              </w:rPr>
            </w:pPr>
          </w:p>
        </w:tc>
        <w:tc>
          <w:tcPr>
            <w:tcW w:w="1134" w:type="dxa"/>
            <w:tcBorders>
              <w:top w:val="single" w:sz="8" w:space="0" w:color="auto"/>
              <w:bottom w:val="single" w:sz="8" w:space="0" w:color="auto"/>
            </w:tcBorders>
          </w:tcPr>
          <w:p w14:paraId="5C41841D" w14:textId="77777777" w:rsidR="00D631D5" w:rsidRPr="00E46E86" w:rsidRDefault="00D631D5" w:rsidP="00E46E86">
            <w:pPr>
              <w:jc w:val="center"/>
              <w:rPr>
                <w:rFonts w:ascii="Times New Roman" w:hAnsi="Times New Roman" w:cs="Times New Roman"/>
              </w:rPr>
            </w:pPr>
          </w:p>
        </w:tc>
        <w:tc>
          <w:tcPr>
            <w:tcW w:w="1276" w:type="dxa"/>
            <w:tcBorders>
              <w:top w:val="single" w:sz="8" w:space="0" w:color="auto"/>
              <w:bottom w:val="single" w:sz="8" w:space="0" w:color="auto"/>
            </w:tcBorders>
          </w:tcPr>
          <w:p w14:paraId="58762301" w14:textId="77777777" w:rsidR="00D631D5" w:rsidRPr="00E46E86" w:rsidRDefault="00D631D5" w:rsidP="00E46E86">
            <w:pPr>
              <w:jc w:val="center"/>
              <w:rPr>
                <w:rFonts w:ascii="Times New Roman" w:hAnsi="Times New Roman" w:cs="Times New Roman"/>
              </w:rPr>
            </w:pPr>
          </w:p>
        </w:tc>
        <w:tc>
          <w:tcPr>
            <w:tcW w:w="1262" w:type="dxa"/>
            <w:tcBorders>
              <w:top w:val="single" w:sz="8" w:space="0" w:color="auto"/>
              <w:bottom w:val="single" w:sz="8" w:space="0" w:color="auto"/>
            </w:tcBorders>
          </w:tcPr>
          <w:p w14:paraId="4729BF5F" w14:textId="77777777" w:rsidR="00D631D5" w:rsidRPr="00E46E86" w:rsidRDefault="00D631D5" w:rsidP="00E46E86">
            <w:pPr>
              <w:jc w:val="center"/>
              <w:rPr>
                <w:rFonts w:ascii="Times New Roman" w:hAnsi="Times New Roman" w:cs="Times New Roman"/>
              </w:rPr>
            </w:pPr>
          </w:p>
        </w:tc>
        <w:tc>
          <w:tcPr>
            <w:tcW w:w="963" w:type="dxa"/>
            <w:tcBorders>
              <w:top w:val="single" w:sz="8" w:space="0" w:color="auto"/>
              <w:bottom w:val="single" w:sz="8" w:space="0" w:color="auto"/>
            </w:tcBorders>
          </w:tcPr>
          <w:p w14:paraId="279F6978" w14:textId="77777777" w:rsidR="00D631D5" w:rsidRPr="00E46E86" w:rsidRDefault="00D631D5" w:rsidP="00E46E86">
            <w:pPr>
              <w:jc w:val="center"/>
              <w:rPr>
                <w:rFonts w:ascii="Times New Roman" w:hAnsi="Times New Roman" w:cs="Times New Roman"/>
              </w:rPr>
            </w:pPr>
          </w:p>
        </w:tc>
      </w:tr>
      <w:tr w:rsidR="00D631D5" w:rsidRPr="00E46E86" w14:paraId="2DA28CD2" w14:textId="77777777" w:rsidTr="00D631D5">
        <w:trPr>
          <w:trHeight w:val="57"/>
        </w:trPr>
        <w:tc>
          <w:tcPr>
            <w:tcW w:w="2975" w:type="dxa"/>
            <w:tcBorders>
              <w:top w:val="single" w:sz="8" w:space="0" w:color="auto"/>
            </w:tcBorders>
          </w:tcPr>
          <w:p w14:paraId="287895B8"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Idade</w:t>
            </w:r>
          </w:p>
        </w:tc>
        <w:tc>
          <w:tcPr>
            <w:tcW w:w="994" w:type="dxa"/>
            <w:tcBorders>
              <w:top w:val="single" w:sz="8" w:space="0" w:color="auto"/>
            </w:tcBorders>
          </w:tcPr>
          <w:p w14:paraId="35147F5F"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36.88</w:t>
            </w:r>
          </w:p>
        </w:tc>
        <w:tc>
          <w:tcPr>
            <w:tcW w:w="1134" w:type="dxa"/>
            <w:tcBorders>
              <w:top w:val="single" w:sz="8" w:space="0" w:color="auto"/>
            </w:tcBorders>
          </w:tcPr>
          <w:p w14:paraId="6E673CF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36</w:t>
            </w:r>
          </w:p>
        </w:tc>
        <w:tc>
          <w:tcPr>
            <w:tcW w:w="1276" w:type="dxa"/>
            <w:tcBorders>
              <w:top w:val="single" w:sz="8" w:space="0" w:color="auto"/>
            </w:tcBorders>
          </w:tcPr>
          <w:p w14:paraId="0999FD2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11.65</w:t>
            </w:r>
          </w:p>
        </w:tc>
        <w:tc>
          <w:tcPr>
            <w:tcW w:w="1262" w:type="dxa"/>
            <w:tcBorders>
              <w:top w:val="single" w:sz="8" w:space="0" w:color="auto"/>
            </w:tcBorders>
          </w:tcPr>
          <w:p w14:paraId="7391E170"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0.44</w:t>
            </w:r>
          </w:p>
        </w:tc>
        <w:tc>
          <w:tcPr>
            <w:tcW w:w="963" w:type="dxa"/>
            <w:tcBorders>
              <w:top w:val="single" w:sz="8" w:space="0" w:color="auto"/>
            </w:tcBorders>
          </w:tcPr>
          <w:p w14:paraId="3E8273D5"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2.70</w:t>
            </w:r>
          </w:p>
        </w:tc>
      </w:tr>
      <w:tr w:rsidR="00E46E86" w:rsidRPr="00E46E86" w14:paraId="2E085D63" w14:textId="77777777" w:rsidTr="00D631D5">
        <w:trPr>
          <w:trHeight w:val="49"/>
        </w:trPr>
        <w:tc>
          <w:tcPr>
            <w:tcW w:w="2975" w:type="dxa"/>
          </w:tcPr>
          <w:p w14:paraId="500110FB"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Horas Contratuais</w:t>
            </w:r>
          </w:p>
        </w:tc>
        <w:tc>
          <w:tcPr>
            <w:tcW w:w="994" w:type="dxa"/>
          </w:tcPr>
          <w:p w14:paraId="53F54BF8"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42.88</w:t>
            </w:r>
          </w:p>
        </w:tc>
        <w:tc>
          <w:tcPr>
            <w:tcW w:w="1134" w:type="dxa"/>
          </w:tcPr>
          <w:p w14:paraId="04703A52"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44</w:t>
            </w:r>
          </w:p>
        </w:tc>
        <w:tc>
          <w:tcPr>
            <w:tcW w:w="1276" w:type="dxa"/>
          </w:tcPr>
          <w:p w14:paraId="607A0B5E"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10.25</w:t>
            </w:r>
          </w:p>
        </w:tc>
        <w:tc>
          <w:tcPr>
            <w:tcW w:w="1262" w:type="dxa"/>
          </w:tcPr>
          <w:p w14:paraId="4512FC1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2.13</w:t>
            </w:r>
          </w:p>
        </w:tc>
        <w:tc>
          <w:tcPr>
            <w:tcW w:w="963" w:type="dxa"/>
          </w:tcPr>
          <w:p w14:paraId="045E3AF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20.88</w:t>
            </w:r>
          </w:p>
        </w:tc>
      </w:tr>
      <w:tr w:rsidR="00D631D5" w:rsidRPr="00E46E86" w14:paraId="01230569" w14:textId="77777777" w:rsidTr="00D631D5">
        <w:trPr>
          <w:trHeight w:val="49"/>
        </w:trPr>
        <w:tc>
          <w:tcPr>
            <w:tcW w:w="2975" w:type="dxa"/>
            <w:tcBorders>
              <w:bottom w:val="single" w:sz="12" w:space="0" w:color="auto"/>
            </w:tcBorders>
          </w:tcPr>
          <w:p w14:paraId="11F36207" w14:textId="77777777" w:rsidR="00D631D5" w:rsidRPr="00E46E86" w:rsidRDefault="00D631D5" w:rsidP="00E46E86">
            <w:pPr>
              <w:rPr>
                <w:rFonts w:ascii="Times New Roman" w:hAnsi="Times New Roman" w:cs="Times New Roman"/>
              </w:rPr>
            </w:pPr>
            <w:r w:rsidRPr="00E46E86">
              <w:rPr>
                <w:rFonts w:ascii="Times New Roman" w:hAnsi="Times New Roman" w:cs="Times New Roman"/>
              </w:rPr>
              <w:t>Remuneração Média (R$)</w:t>
            </w:r>
          </w:p>
        </w:tc>
        <w:tc>
          <w:tcPr>
            <w:tcW w:w="994" w:type="dxa"/>
            <w:tcBorders>
              <w:bottom w:val="single" w:sz="12" w:space="0" w:color="auto"/>
            </w:tcBorders>
          </w:tcPr>
          <w:p w14:paraId="41046FD3"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2118.80</w:t>
            </w:r>
          </w:p>
        </w:tc>
        <w:tc>
          <w:tcPr>
            <w:tcW w:w="1134" w:type="dxa"/>
            <w:tcBorders>
              <w:bottom w:val="single" w:sz="12" w:space="0" w:color="auto"/>
            </w:tcBorders>
          </w:tcPr>
          <w:p w14:paraId="6242BDDA"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1638.59</w:t>
            </w:r>
          </w:p>
        </w:tc>
        <w:tc>
          <w:tcPr>
            <w:tcW w:w="1276" w:type="dxa"/>
            <w:tcBorders>
              <w:bottom w:val="single" w:sz="12" w:space="0" w:color="auto"/>
            </w:tcBorders>
          </w:tcPr>
          <w:p w14:paraId="357A49FC"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2305.05</w:t>
            </w:r>
          </w:p>
        </w:tc>
        <w:tc>
          <w:tcPr>
            <w:tcW w:w="1262" w:type="dxa"/>
            <w:tcBorders>
              <w:bottom w:val="single" w:sz="12" w:space="0" w:color="auto"/>
            </w:tcBorders>
          </w:tcPr>
          <w:p w14:paraId="2F7510B4"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10.88</w:t>
            </w:r>
          </w:p>
        </w:tc>
        <w:tc>
          <w:tcPr>
            <w:tcW w:w="963" w:type="dxa"/>
            <w:tcBorders>
              <w:bottom w:val="single" w:sz="12" w:space="0" w:color="auto"/>
            </w:tcBorders>
          </w:tcPr>
          <w:p w14:paraId="390EA029" w14:textId="77777777" w:rsidR="00D631D5" w:rsidRPr="00E46E86" w:rsidRDefault="00D631D5" w:rsidP="00E46E86">
            <w:pPr>
              <w:jc w:val="center"/>
              <w:rPr>
                <w:rFonts w:ascii="Times New Roman" w:hAnsi="Times New Roman" w:cs="Times New Roman"/>
              </w:rPr>
            </w:pPr>
            <w:r w:rsidRPr="00E46E86">
              <w:rPr>
                <w:rFonts w:ascii="Times New Roman" w:hAnsi="Times New Roman" w:cs="Times New Roman"/>
              </w:rPr>
              <w:t>393.82</w:t>
            </w:r>
          </w:p>
        </w:tc>
      </w:tr>
    </w:tbl>
    <w:p w14:paraId="7A287C91" w14:textId="6977F720" w:rsidR="006F172F" w:rsidRPr="00E46E86" w:rsidRDefault="00D631D5" w:rsidP="002F21C9">
      <w:pPr>
        <w:spacing w:line="360" w:lineRule="auto"/>
        <w:jc w:val="both"/>
        <w:rPr>
          <w:rFonts w:ascii="Times New Roman" w:hAnsi="Times New Roman" w:cs="Times New Roman"/>
        </w:rPr>
      </w:pPr>
      <w:r w:rsidRPr="00E46E86">
        <w:rPr>
          <w:rFonts w:ascii="Times New Roman" w:hAnsi="Times New Roman" w:cs="Times New Roman"/>
        </w:rPr>
        <w:t>Tabela 2 -Estatística descritiva</w:t>
      </w:r>
      <w:r w:rsidR="002F21C9">
        <w:rPr>
          <w:rFonts w:ascii="Times New Roman" w:hAnsi="Times New Roman" w:cs="Times New Roman"/>
        </w:rPr>
        <w:t xml:space="preserve"> dos trabalhadores</w:t>
      </w:r>
      <w:r w:rsidRPr="00E46E86">
        <w:rPr>
          <w:rFonts w:ascii="Times New Roman" w:hAnsi="Times New Roman" w:cs="Times New Roman"/>
        </w:rPr>
        <w:t>. Paraíba</w:t>
      </w:r>
      <w:r w:rsidR="008F02C7" w:rsidRPr="00E46E86">
        <w:rPr>
          <w:rFonts w:ascii="Times New Roman" w:hAnsi="Times New Roman" w:cs="Times New Roman"/>
        </w:rPr>
        <w:t>,</w:t>
      </w:r>
      <w:r w:rsidRPr="00E46E86">
        <w:rPr>
          <w:rFonts w:ascii="Times New Roman" w:hAnsi="Times New Roman" w:cs="Times New Roman"/>
        </w:rPr>
        <w:t xml:space="preserve"> 2021-2024</w:t>
      </w:r>
    </w:p>
    <w:p w14:paraId="2F7A1417" w14:textId="77777777" w:rsidR="00D631D5" w:rsidRPr="00E46E86" w:rsidRDefault="00D631D5"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4A65F538" w14:textId="51B9F5A4" w:rsidR="00F725EA" w:rsidRPr="00E46E86" w:rsidRDefault="00F725EA" w:rsidP="00A72AFA">
      <w:pPr>
        <w:spacing w:after="0" w:line="360" w:lineRule="auto"/>
        <w:jc w:val="both"/>
        <w:rPr>
          <w:rFonts w:ascii="Times New Roman" w:hAnsi="Times New Roman" w:cs="Times New Roman"/>
        </w:rPr>
      </w:pPr>
      <w:r w:rsidRPr="00E46E86">
        <w:rPr>
          <w:rFonts w:ascii="Times New Roman" w:hAnsi="Times New Roman" w:cs="Times New Roman"/>
        </w:rPr>
        <w:tab/>
        <w:t xml:space="preserve">A </w:t>
      </w:r>
      <w:r w:rsidR="00F124FD">
        <w:rPr>
          <w:rFonts w:ascii="Times New Roman" w:hAnsi="Times New Roman" w:cs="Times New Roman"/>
        </w:rPr>
        <w:t>Gráfico</w:t>
      </w:r>
      <w:r w:rsidRPr="00E46E86">
        <w:rPr>
          <w:rFonts w:ascii="Times New Roman" w:hAnsi="Times New Roman" w:cs="Times New Roman"/>
        </w:rPr>
        <w:t xml:space="preserve"> 1 mostra a trajetória do rendimento médio dos trabalhadores formais na Paraíba entre 2021 e 2024. Observa-se um movimento em formato de “pico”: após partir de R$ 2.378,46 em 2021, a remuneração média alcança seu ponto mais alto em 2022 (R$ 2.875,58), para em seguida apresentar queda contínua nos dois anos seguintes, chegando a R$ 2.118,80 em 2024.</w:t>
      </w:r>
    </w:p>
    <w:p w14:paraId="013303D7" w14:textId="729818E6" w:rsidR="00C447CA" w:rsidRDefault="00F725EA" w:rsidP="00A72AFA">
      <w:pPr>
        <w:spacing w:after="0" w:line="360" w:lineRule="auto"/>
        <w:jc w:val="both"/>
        <w:rPr>
          <w:rFonts w:ascii="Times New Roman" w:hAnsi="Times New Roman" w:cs="Times New Roman"/>
        </w:rPr>
      </w:pPr>
      <w:r w:rsidRPr="00E46E86">
        <w:rPr>
          <w:rFonts w:ascii="Times New Roman" w:hAnsi="Times New Roman" w:cs="Times New Roman"/>
        </w:rPr>
        <w:lastRenderedPageBreak/>
        <w:tab/>
        <w:t>Essa dinâmica sugere que o mercado de trabalho formal vivenciou um breve período de valorização salarial em 2022, possivelmente associado a fatores conjunturais, seguido por um processo de redução e precarização salarial. O recuo entre 2022 e 2024 representa uma queda acumulada de aproximadamente 26%, reforçando um quadro de instabilidade nos rendimentos.</w:t>
      </w:r>
    </w:p>
    <w:p w14:paraId="31C4DC31" w14:textId="77777777" w:rsidR="00A72AFA" w:rsidRPr="00E46E86" w:rsidRDefault="00A72AFA" w:rsidP="00A72AFA">
      <w:pPr>
        <w:spacing w:after="0" w:line="360" w:lineRule="auto"/>
        <w:jc w:val="both"/>
        <w:rPr>
          <w:rFonts w:ascii="Times New Roman" w:hAnsi="Times New Roman" w:cs="Times New Roman"/>
        </w:rPr>
      </w:pPr>
    </w:p>
    <w:p w14:paraId="025DE26F" w14:textId="2CD4E214" w:rsidR="00C447CA" w:rsidRPr="00E46E86" w:rsidRDefault="00F124FD" w:rsidP="002F21C9">
      <w:pPr>
        <w:spacing w:line="360" w:lineRule="auto"/>
        <w:jc w:val="both"/>
        <w:rPr>
          <w:rFonts w:ascii="Times New Roman" w:hAnsi="Times New Roman" w:cs="Times New Roman"/>
        </w:rPr>
      </w:pPr>
      <w:r>
        <w:rPr>
          <w:rFonts w:ascii="Times New Roman" w:hAnsi="Times New Roman" w:cs="Times New Roman"/>
        </w:rPr>
        <w:t xml:space="preserve">Gráfico </w:t>
      </w:r>
      <w:r w:rsidR="008C74E9" w:rsidRPr="00E46E86">
        <w:rPr>
          <w:rFonts w:ascii="Times New Roman" w:hAnsi="Times New Roman" w:cs="Times New Roman"/>
        </w:rPr>
        <w:t>1 – Evolução do rendimento médio dos trabalhadores</w:t>
      </w:r>
      <w:r w:rsidR="008F02C7" w:rsidRPr="00E46E86">
        <w:rPr>
          <w:rFonts w:ascii="Times New Roman" w:hAnsi="Times New Roman" w:cs="Times New Roman"/>
        </w:rPr>
        <w:t>.</w:t>
      </w:r>
      <w:r w:rsidR="008C74E9" w:rsidRPr="00E46E86">
        <w:rPr>
          <w:rFonts w:ascii="Times New Roman" w:hAnsi="Times New Roman" w:cs="Times New Roman"/>
        </w:rPr>
        <w:t xml:space="preserve"> Paraíba, 2021-2024.</w:t>
      </w:r>
    </w:p>
    <w:p w14:paraId="77E03C58" w14:textId="2CCBFA31" w:rsidR="00C447CA" w:rsidRPr="00E46E86" w:rsidRDefault="00C447CA" w:rsidP="00E46E86">
      <w:pPr>
        <w:spacing w:line="360" w:lineRule="auto"/>
        <w:jc w:val="center"/>
        <w:rPr>
          <w:rFonts w:ascii="Times New Roman" w:hAnsi="Times New Roman" w:cs="Times New Roman"/>
          <w:noProof/>
        </w:rPr>
      </w:pPr>
      <w:r w:rsidRPr="00E46E86">
        <w:rPr>
          <w:rFonts w:ascii="Times New Roman" w:hAnsi="Times New Roman" w:cs="Times New Roman"/>
          <w:noProof/>
        </w:rPr>
        <w:drawing>
          <wp:inline distT="0" distB="0" distL="0" distR="0" wp14:anchorId="6DE99883" wp14:editId="21ACFBE2">
            <wp:extent cx="2770146" cy="2520000"/>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70146" cy="2520000"/>
                    </a:xfrm>
                    <a:prstGeom prst="rect">
                      <a:avLst/>
                    </a:prstGeom>
                  </pic:spPr>
                </pic:pic>
              </a:graphicData>
            </a:graphic>
          </wp:inline>
        </w:drawing>
      </w:r>
    </w:p>
    <w:p w14:paraId="1C239AD9"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41410EBC" w14:textId="113F8ADE"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t xml:space="preserve">A </w:t>
      </w:r>
      <w:r w:rsidR="00F124FD">
        <w:rPr>
          <w:rFonts w:ascii="Times New Roman" w:hAnsi="Times New Roman" w:cs="Times New Roman"/>
          <w:noProof/>
        </w:rPr>
        <w:t>Gráfico</w:t>
      </w:r>
      <w:r w:rsidRPr="00E46E86">
        <w:rPr>
          <w:rFonts w:ascii="Times New Roman" w:hAnsi="Times New Roman" w:cs="Times New Roman"/>
          <w:noProof/>
        </w:rPr>
        <w:t xml:space="preserve"> 2 evidencia mudanças marcantes no perfil educacional dos trabalhadores formais na Paraíba. O destaque é o crescimento contínuo da participação de empregados com Ensino Médio completo, que passou de cerca de 45% em 2021 para mais de 62% em 2024, consolidando-se como o principal nível de escolaridade no mercado formal.</w:t>
      </w:r>
    </w:p>
    <w:p w14:paraId="46698F53" w14:textId="2DFF682C"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t>Em contrapartida, observa-se forte redução da presença de trabalhadores com Ensino Superior completo, que cai de 22,4% em 2021 para 11,2% em 2024. Também diminui a proporção de mestres e doutores, já pouco representativos, sinalizando uma retração da mão de obra altamente qualificada nesse período.</w:t>
      </w:r>
    </w:p>
    <w:p w14:paraId="1D7BA4A3" w14:textId="1842119D" w:rsidR="00F725EA"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t>Já os níveis de Ensino Fundamental completo e Médio incompleto mantêm participação baixa, mas relativamente estável, indicando que a maior parte da força de trabalho formal se concentra na transição entre a educação básica concluída e a superior, sem grande avanço para etapas de maior qualificação.</w:t>
      </w:r>
    </w:p>
    <w:p w14:paraId="37515F97" w14:textId="340565BB" w:rsidR="00F725EA" w:rsidRPr="00E46E86" w:rsidRDefault="00F725EA" w:rsidP="00064D84">
      <w:pPr>
        <w:spacing w:line="360" w:lineRule="auto"/>
        <w:jc w:val="both"/>
        <w:rPr>
          <w:rFonts w:ascii="Times New Roman" w:hAnsi="Times New Roman" w:cs="Times New Roman"/>
          <w:noProof/>
        </w:rPr>
      </w:pPr>
      <w:r w:rsidRPr="00E46E86">
        <w:rPr>
          <w:rFonts w:ascii="Times New Roman" w:hAnsi="Times New Roman" w:cs="Times New Roman"/>
          <w:noProof/>
        </w:rPr>
        <w:lastRenderedPageBreak/>
        <w:tab/>
        <w:t>Em síntese, a distribuição percentual da escolaridade revela um movimento de expansão do Ensino Médio como nível predominante e redução da escolarização superior, o que pode refletir tanto transformações no perfil das ocupações disponíveis quanto um descompasso entre a oferta de mão de obra qualificada e a demanda do mercado formal.</w:t>
      </w:r>
    </w:p>
    <w:p w14:paraId="049F7834" w14:textId="7EBB8D7F" w:rsidR="006F172F" w:rsidRPr="00E46E86" w:rsidRDefault="00F124FD" w:rsidP="002F21C9">
      <w:pPr>
        <w:spacing w:line="360" w:lineRule="auto"/>
        <w:jc w:val="both"/>
        <w:rPr>
          <w:rFonts w:ascii="Times New Roman" w:hAnsi="Times New Roman" w:cs="Times New Roman"/>
          <w:noProof/>
        </w:rPr>
      </w:pPr>
      <w:r>
        <w:rPr>
          <w:rFonts w:ascii="Times New Roman" w:hAnsi="Times New Roman" w:cs="Times New Roman"/>
          <w:noProof/>
        </w:rPr>
        <w:t>Gráfico</w:t>
      </w:r>
      <w:r w:rsidR="008C74E9" w:rsidRPr="00E46E86">
        <w:rPr>
          <w:rFonts w:ascii="Times New Roman" w:hAnsi="Times New Roman" w:cs="Times New Roman"/>
          <w:noProof/>
        </w:rPr>
        <w:t xml:space="preserve"> </w:t>
      </w:r>
      <w:r w:rsidR="008F02C7" w:rsidRPr="00E46E86">
        <w:rPr>
          <w:rFonts w:ascii="Times New Roman" w:hAnsi="Times New Roman" w:cs="Times New Roman"/>
          <w:noProof/>
        </w:rPr>
        <w:t>2</w:t>
      </w:r>
      <w:r w:rsidR="008C74E9" w:rsidRPr="00E46E86">
        <w:rPr>
          <w:rFonts w:ascii="Times New Roman" w:hAnsi="Times New Roman" w:cs="Times New Roman"/>
          <w:noProof/>
        </w:rPr>
        <w:t xml:space="preserve"> – Distribuição percentual dos trabalhadores por nível de escolaridade</w:t>
      </w:r>
      <w:r w:rsidR="008F02C7" w:rsidRPr="00E46E86">
        <w:rPr>
          <w:rFonts w:ascii="Times New Roman" w:hAnsi="Times New Roman" w:cs="Times New Roman"/>
          <w:noProof/>
        </w:rPr>
        <w:t>. Paraíba</w:t>
      </w:r>
      <w:r w:rsidR="008C74E9" w:rsidRPr="00E46E86">
        <w:rPr>
          <w:rFonts w:ascii="Times New Roman" w:hAnsi="Times New Roman" w:cs="Times New Roman"/>
          <w:noProof/>
        </w:rPr>
        <w:t>, 2021-2024.</w:t>
      </w:r>
    </w:p>
    <w:p w14:paraId="33BD4351" w14:textId="385A4848" w:rsidR="008C74E9" w:rsidRPr="00E46E86" w:rsidRDefault="00C447CA" w:rsidP="00E46E86">
      <w:pPr>
        <w:spacing w:line="360" w:lineRule="auto"/>
        <w:jc w:val="center"/>
        <w:rPr>
          <w:rFonts w:ascii="Times New Roman" w:hAnsi="Times New Roman" w:cs="Times New Roman"/>
          <w:noProof/>
        </w:rPr>
      </w:pPr>
      <w:r w:rsidRPr="00E46E86">
        <w:rPr>
          <w:rFonts w:ascii="Times New Roman" w:hAnsi="Times New Roman" w:cs="Times New Roman"/>
          <w:noProof/>
        </w:rPr>
        <w:drawing>
          <wp:inline distT="0" distB="0" distL="0" distR="0" wp14:anchorId="01F4C9F1" wp14:editId="5679A5B9">
            <wp:extent cx="2880000" cy="2880000"/>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2880000"/>
                    </a:xfrm>
                    <a:prstGeom prst="rect">
                      <a:avLst/>
                    </a:prstGeom>
                  </pic:spPr>
                </pic:pic>
              </a:graphicData>
            </a:graphic>
          </wp:inline>
        </w:drawing>
      </w:r>
      <w:r w:rsidR="008F02C7" w:rsidRPr="00E46E86">
        <w:rPr>
          <w:rFonts w:ascii="Times New Roman" w:hAnsi="Times New Roman" w:cs="Times New Roman"/>
          <w:noProof/>
        </w:rPr>
        <w:t xml:space="preserve">     </w:t>
      </w:r>
    </w:p>
    <w:p w14:paraId="0BCE382F"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622D8AAB" w14:textId="0A718AB2" w:rsidR="00F725EA"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r>
      <w:r w:rsidR="00A72AFA">
        <w:rPr>
          <w:rFonts w:ascii="Times New Roman" w:hAnsi="Times New Roman" w:cs="Times New Roman"/>
        </w:rPr>
        <w:t>O</w:t>
      </w:r>
      <w:r w:rsidRPr="00E46E86">
        <w:rPr>
          <w:rFonts w:ascii="Times New Roman" w:hAnsi="Times New Roman" w:cs="Times New Roman"/>
        </w:rPr>
        <w:t xml:space="preserve"> </w:t>
      </w:r>
      <w:r w:rsidR="00F124FD">
        <w:rPr>
          <w:rFonts w:ascii="Times New Roman" w:hAnsi="Times New Roman" w:cs="Times New Roman"/>
        </w:rPr>
        <w:t>Gráfico</w:t>
      </w:r>
      <w:r w:rsidRPr="00E46E86">
        <w:rPr>
          <w:rFonts w:ascii="Times New Roman" w:hAnsi="Times New Roman" w:cs="Times New Roman"/>
        </w:rPr>
        <w:t xml:space="preserve"> 3 mostra a evolução da participação de homens e mulheres no mercado de trabalho formal da Paraíba. Em 2021, a distribuição era relativamente equilibrada, com 55,7% de homens e 44,3% de mulheres. Nos anos seguintes, a presença masculina cresceu de forma contínua, chegando a 64,3% em 2024, enquanto a participação feminina caiu para 35,7%.</w:t>
      </w:r>
      <w:r w:rsidR="00E46E86">
        <w:rPr>
          <w:rFonts w:ascii="Times New Roman" w:hAnsi="Times New Roman" w:cs="Times New Roman"/>
        </w:rPr>
        <w:t xml:space="preserve"> </w:t>
      </w:r>
      <w:r w:rsidRPr="00E46E86">
        <w:rPr>
          <w:rFonts w:ascii="Times New Roman" w:hAnsi="Times New Roman" w:cs="Times New Roman"/>
        </w:rPr>
        <w:t>Esse movimento indica um processo de masculinização do emprego formal, que pode estar relacionado à expansão de setores que tradicionalmente absorvem maior contingente masculino, como a construção civil, transporte e determinadas indústrias. Por outro lado, a retração da participação feminina sugere uma possível dificuldade de inserção ou manutenção no mercado de trabalho formal, reforçando desigualdades de gênero já existentes.</w:t>
      </w:r>
    </w:p>
    <w:p w14:paraId="0368BC15" w14:textId="51615912" w:rsidR="008F02C7"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t>Em síntese, os dados revelam uma tendência de ampliação da diferença entre homens e mulheres na composição da força de trabalho formal, o que merece atenção em termos de políticas públicas voltadas à equidade de gênero no emprego.</w:t>
      </w:r>
    </w:p>
    <w:p w14:paraId="0785EEE5" w14:textId="6ACD5C47" w:rsidR="008F02C7" w:rsidRPr="00E46E86" w:rsidRDefault="00F124FD" w:rsidP="002F21C9">
      <w:pPr>
        <w:spacing w:line="360" w:lineRule="auto"/>
        <w:jc w:val="both"/>
        <w:rPr>
          <w:rFonts w:ascii="Times New Roman" w:hAnsi="Times New Roman" w:cs="Times New Roman"/>
          <w:noProof/>
        </w:rPr>
      </w:pPr>
      <w:r>
        <w:rPr>
          <w:rFonts w:ascii="Times New Roman" w:hAnsi="Times New Roman" w:cs="Times New Roman"/>
          <w:noProof/>
        </w:rPr>
        <w:lastRenderedPageBreak/>
        <w:t>Gráfico</w:t>
      </w:r>
      <w:r w:rsidR="008F02C7" w:rsidRPr="00E46E86">
        <w:rPr>
          <w:rFonts w:ascii="Times New Roman" w:hAnsi="Times New Roman" w:cs="Times New Roman"/>
          <w:noProof/>
        </w:rPr>
        <w:t xml:space="preserve"> </w:t>
      </w:r>
      <w:r w:rsidR="00587DB2" w:rsidRPr="00E46E86">
        <w:rPr>
          <w:rFonts w:ascii="Times New Roman" w:hAnsi="Times New Roman" w:cs="Times New Roman"/>
          <w:noProof/>
        </w:rPr>
        <w:t>3</w:t>
      </w:r>
      <w:r w:rsidR="008F02C7" w:rsidRPr="00E46E86">
        <w:rPr>
          <w:rFonts w:ascii="Times New Roman" w:hAnsi="Times New Roman" w:cs="Times New Roman"/>
          <w:noProof/>
        </w:rPr>
        <w:t xml:space="preserve"> – Distribuição percentual dos trabalhadores por sexo. Paraíba, 2021-2024.</w:t>
      </w:r>
    </w:p>
    <w:p w14:paraId="2DB489E4" w14:textId="021AC566" w:rsidR="008F02C7" w:rsidRPr="00E46E86" w:rsidRDefault="008F02C7" w:rsidP="00E46E86">
      <w:pPr>
        <w:spacing w:line="360" w:lineRule="auto"/>
        <w:jc w:val="center"/>
        <w:rPr>
          <w:rFonts w:ascii="Times New Roman" w:hAnsi="Times New Roman" w:cs="Times New Roman"/>
        </w:rPr>
      </w:pPr>
      <w:r w:rsidRPr="00E46E86">
        <w:rPr>
          <w:rFonts w:ascii="Times New Roman" w:hAnsi="Times New Roman" w:cs="Times New Roman"/>
          <w:noProof/>
        </w:rPr>
        <w:drawing>
          <wp:inline distT="0" distB="0" distL="0" distR="0" wp14:anchorId="58139E2A" wp14:editId="63F5644B">
            <wp:extent cx="2160000" cy="2160000"/>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60000" cy="2160000"/>
                    </a:xfrm>
                    <a:prstGeom prst="rect">
                      <a:avLst/>
                    </a:prstGeom>
                  </pic:spPr>
                </pic:pic>
              </a:graphicData>
            </a:graphic>
          </wp:inline>
        </w:drawing>
      </w:r>
    </w:p>
    <w:p w14:paraId="08183B08" w14:textId="77777777" w:rsidR="008F02C7" w:rsidRPr="00E46E86" w:rsidRDefault="008F02C7"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7103BD97" w14:textId="5A6539CC" w:rsidR="00E46E86" w:rsidRPr="00E46E86" w:rsidRDefault="00F725EA" w:rsidP="00E46E86">
      <w:pPr>
        <w:spacing w:line="360" w:lineRule="auto"/>
        <w:jc w:val="both"/>
        <w:rPr>
          <w:rFonts w:ascii="Times New Roman" w:hAnsi="Times New Roman" w:cs="Times New Roman"/>
          <w:noProof/>
        </w:rPr>
      </w:pPr>
      <w:r w:rsidRPr="00E46E86">
        <w:rPr>
          <w:rFonts w:ascii="Times New Roman" w:hAnsi="Times New Roman" w:cs="Times New Roman"/>
          <w:noProof/>
        </w:rPr>
        <w:tab/>
        <w:t>A</w:t>
      </w:r>
      <w:r w:rsidR="00E46E86" w:rsidRPr="00E46E86">
        <w:rPr>
          <w:rFonts w:ascii="Times New Roman" w:hAnsi="Times New Roman" w:cs="Times New Roman"/>
          <w:noProof/>
        </w:rPr>
        <w:t xml:space="preserve"> </w:t>
      </w:r>
      <w:r w:rsidR="00F124FD">
        <w:rPr>
          <w:rFonts w:ascii="Times New Roman" w:hAnsi="Times New Roman" w:cs="Times New Roman"/>
          <w:noProof/>
        </w:rPr>
        <w:t>Gráfico</w:t>
      </w:r>
      <w:r w:rsidR="00E46E86" w:rsidRPr="00E46E86">
        <w:rPr>
          <w:rFonts w:ascii="Times New Roman" w:hAnsi="Times New Roman" w:cs="Times New Roman"/>
          <w:noProof/>
        </w:rPr>
        <w:t xml:space="preserve"> 4 mostra a </w:t>
      </w:r>
      <w:r w:rsidRPr="00E46E86">
        <w:rPr>
          <w:rFonts w:ascii="Times New Roman" w:hAnsi="Times New Roman" w:cs="Times New Roman"/>
          <w:noProof/>
        </w:rPr>
        <w:t>distribuição etária</w:t>
      </w:r>
      <w:r w:rsidR="00E46E86" w:rsidRPr="00E46E86">
        <w:rPr>
          <w:rFonts w:ascii="Times New Roman" w:hAnsi="Times New Roman" w:cs="Times New Roman"/>
          <w:noProof/>
        </w:rPr>
        <w:t>, do qual</w:t>
      </w:r>
      <w:r w:rsidRPr="00E46E86">
        <w:rPr>
          <w:rFonts w:ascii="Times New Roman" w:hAnsi="Times New Roman" w:cs="Times New Roman"/>
          <w:noProof/>
        </w:rPr>
        <w:t xml:space="preserve"> apresenta assimetria positiva (à direita) em todos os anos. Isso significa que a maior parte dos trabalhadores se concentra em idades mais jovens e adultas (25 a 40 anos), enquanto a cauda da distribuição se estende para idades mais avançadas. Em outras palavras, há maior frequência de trabalhadores jovens/adultos e uma menor, mas persistente, participação de trabalhadores mais velhos.</w:t>
      </w:r>
      <w:r w:rsidR="00E46E86">
        <w:rPr>
          <w:rFonts w:ascii="Times New Roman" w:hAnsi="Times New Roman" w:cs="Times New Roman"/>
          <w:noProof/>
        </w:rPr>
        <w:t xml:space="preserve"> </w:t>
      </w:r>
      <w:r w:rsidRPr="00E46E86">
        <w:rPr>
          <w:rFonts w:ascii="Times New Roman" w:hAnsi="Times New Roman" w:cs="Times New Roman"/>
          <w:noProof/>
        </w:rPr>
        <w:t>A forma da distribuição também revela uma curtose positiva (leptocúrtica), pois há um pico mais acentuado em torno dos 30 anos, concentrando grande parte da força de trabalho nessa faixa etária. Isso indica que os dados estão mais “aglomerados” em torno da média, com menor dispersão em relação a uma distribuição normal.</w:t>
      </w:r>
    </w:p>
    <w:p w14:paraId="31C3BCB7" w14:textId="3693BA15" w:rsidR="008F02C7" w:rsidRPr="00E46E86" w:rsidRDefault="00F124FD" w:rsidP="002F21C9">
      <w:pPr>
        <w:spacing w:line="360" w:lineRule="auto"/>
        <w:jc w:val="both"/>
        <w:rPr>
          <w:rFonts w:ascii="Times New Roman" w:hAnsi="Times New Roman" w:cs="Times New Roman"/>
          <w:noProof/>
        </w:rPr>
      </w:pPr>
      <w:r>
        <w:rPr>
          <w:rFonts w:ascii="Times New Roman" w:hAnsi="Times New Roman" w:cs="Times New Roman"/>
          <w:noProof/>
        </w:rPr>
        <w:t>Gráfico</w:t>
      </w:r>
      <w:r w:rsidR="008F02C7" w:rsidRPr="00E46E86">
        <w:rPr>
          <w:rFonts w:ascii="Times New Roman" w:hAnsi="Times New Roman" w:cs="Times New Roman"/>
          <w:noProof/>
        </w:rPr>
        <w:t xml:space="preserve"> </w:t>
      </w:r>
      <w:r w:rsidR="00587DB2" w:rsidRPr="00E46E86">
        <w:rPr>
          <w:rFonts w:ascii="Times New Roman" w:hAnsi="Times New Roman" w:cs="Times New Roman"/>
          <w:noProof/>
        </w:rPr>
        <w:t>4 - Distribuição etária dos trabalhadores. Paraíba, 2021-2024.</w:t>
      </w:r>
    </w:p>
    <w:p w14:paraId="70E10136" w14:textId="08123A28" w:rsidR="00513028" w:rsidRPr="00E46E86" w:rsidRDefault="00C447CA" w:rsidP="00E46E86">
      <w:pPr>
        <w:spacing w:line="360" w:lineRule="auto"/>
        <w:jc w:val="center"/>
        <w:rPr>
          <w:rFonts w:ascii="Times New Roman" w:hAnsi="Times New Roman" w:cs="Times New Roman"/>
        </w:rPr>
      </w:pPr>
      <w:r w:rsidRPr="00E46E86">
        <w:rPr>
          <w:rFonts w:ascii="Times New Roman" w:hAnsi="Times New Roman" w:cs="Times New Roman"/>
          <w:noProof/>
        </w:rPr>
        <w:drawing>
          <wp:inline distT="0" distB="0" distL="0" distR="0" wp14:anchorId="6E59CA1D" wp14:editId="43B19027">
            <wp:extent cx="2160000" cy="2160000"/>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60000" cy="2160000"/>
                    </a:xfrm>
                    <a:prstGeom prst="rect">
                      <a:avLst/>
                    </a:prstGeom>
                  </pic:spPr>
                </pic:pic>
              </a:graphicData>
            </a:graphic>
          </wp:inline>
        </w:drawing>
      </w:r>
      <w:r w:rsidR="008F02C7" w:rsidRPr="00E46E86">
        <w:rPr>
          <w:rFonts w:ascii="Times New Roman" w:hAnsi="Times New Roman" w:cs="Times New Roman"/>
        </w:rPr>
        <w:t xml:space="preserve">     </w:t>
      </w:r>
    </w:p>
    <w:p w14:paraId="7522E7CB" w14:textId="77777777" w:rsidR="008C74E9" w:rsidRPr="00E46E86" w:rsidRDefault="008C74E9" w:rsidP="00E46E86">
      <w:pPr>
        <w:spacing w:line="360" w:lineRule="auto"/>
        <w:rPr>
          <w:rFonts w:ascii="Times New Roman" w:hAnsi="Times New Roman" w:cs="Times New Roman"/>
        </w:rPr>
      </w:pPr>
      <w:r w:rsidRPr="00E46E86">
        <w:rPr>
          <w:rFonts w:ascii="Times New Roman" w:hAnsi="Times New Roman" w:cs="Times New Roman"/>
        </w:rPr>
        <w:t>Fonte: Elaboração Própria (2025), com base em dados da RAIS.</w:t>
      </w:r>
    </w:p>
    <w:p w14:paraId="0EB7BD4E" w14:textId="50FCDF25" w:rsidR="00F725EA"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lastRenderedPageBreak/>
        <w:tab/>
      </w:r>
      <w:r w:rsidR="00A72AFA">
        <w:rPr>
          <w:rFonts w:ascii="Times New Roman" w:hAnsi="Times New Roman" w:cs="Times New Roman"/>
        </w:rPr>
        <w:t>O gráfico 5 mostra distribuição da remuneração dos trabalhadores da Paraíba. Foi realizada uma transformação logarítmica, tendo em vista atenuar a grande assimetria existente, porém m</w:t>
      </w:r>
      <w:r w:rsidRPr="00E46E86">
        <w:rPr>
          <w:rFonts w:ascii="Times New Roman" w:hAnsi="Times New Roman" w:cs="Times New Roman"/>
        </w:rPr>
        <w:t>esmo após a transformação logarítmica, observa-se uma forte assimetria positiva (à direita). A maioria dos trabalhadores concentra-se em faixas salariais mais baixas, enquanto há uma longa cauda indicando a presença de remunerações muito altas, embora menos frequentes. Isso mostra a desigualdade na distribuição salarial, onde poucos trabalhadores recebem valores significativamente acima da média.</w:t>
      </w:r>
    </w:p>
    <w:p w14:paraId="599515DD" w14:textId="71EF4686" w:rsidR="00587DB2" w:rsidRPr="00E46E86" w:rsidRDefault="00F725EA" w:rsidP="00E46E86">
      <w:pPr>
        <w:spacing w:line="360" w:lineRule="auto"/>
        <w:jc w:val="both"/>
        <w:rPr>
          <w:rFonts w:ascii="Times New Roman" w:hAnsi="Times New Roman" w:cs="Times New Roman"/>
        </w:rPr>
      </w:pPr>
      <w:r w:rsidRPr="00E46E86">
        <w:rPr>
          <w:rFonts w:ascii="Times New Roman" w:hAnsi="Times New Roman" w:cs="Times New Roman"/>
        </w:rPr>
        <w:tab/>
        <w:t>A distribuição apresenta alta curtose (</w:t>
      </w:r>
      <w:proofErr w:type="spellStart"/>
      <w:r w:rsidRPr="00E46E86">
        <w:rPr>
          <w:rFonts w:ascii="Times New Roman" w:hAnsi="Times New Roman" w:cs="Times New Roman"/>
        </w:rPr>
        <w:t>leptocúrtica</w:t>
      </w:r>
      <w:proofErr w:type="spellEnd"/>
      <w:r w:rsidRPr="00E46E86">
        <w:rPr>
          <w:rFonts w:ascii="Times New Roman" w:hAnsi="Times New Roman" w:cs="Times New Roman"/>
        </w:rPr>
        <w:t>). Isso significa que a maior parte das observações está concentrada em torno dos salários baixos/médios, com ocorrência de valores extremos de alta remuneração. Esse padrão reforça a ideia de que, embora a maioria receba salários próximos, existe uma dispersão causada por uma minoria com rendimentos muito elevados.</w:t>
      </w:r>
    </w:p>
    <w:p w14:paraId="04983AE5" w14:textId="1C07AA30" w:rsidR="00587DB2" w:rsidRPr="00E46E86" w:rsidRDefault="00587DB2" w:rsidP="002F21C9">
      <w:pPr>
        <w:spacing w:line="360" w:lineRule="auto"/>
        <w:jc w:val="both"/>
        <w:rPr>
          <w:rFonts w:ascii="Times New Roman" w:hAnsi="Times New Roman" w:cs="Times New Roman"/>
        </w:rPr>
      </w:pPr>
      <w:r w:rsidRPr="00E46E86">
        <w:rPr>
          <w:rFonts w:ascii="Times New Roman" w:hAnsi="Times New Roman" w:cs="Times New Roman"/>
        </w:rPr>
        <w:t>Gráfico 5 – Distribuição da remuneração dos trabalhadores. Paraíba, 2021-2024.</w:t>
      </w:r>
    </w:p>
    <w:p w14:paraId="483194BA" w14:textId="716725AE" w:rsidR="008F02C7" w:rsidRPr="00E46E86" w:rsidRDefault="008F02C7" w:rsidP="00E46E86">
      <w:pPr>
        <w:spacing w:line="360" w:lineRule="auto"/>
        <w:jc w:val="center"/>
        <w:rPr>
          <w:rFonts w:ascii="Times New Roman" w:hAnsi="Times New Roman" w:cs="Times New Roman"/>
        </w:rPr>
      </w:pPr>
      <w:r w:rsidRPr="00E46E86">
        <w:rPr>
          <w:rFonts w:ascii="Times New Roman" w:hAnsi="Times New Roman" w:cs="Times New Roman"/>
          <w:noProof/>
        </w:rPr>
        <w:drawing>
          <wp:inline distT="0" distB="0" distL="0" distR="0" wp14:anchorId="1D1D76C7" wp14:editId="4997AA0D">
            <wp:extent cx="2520000" cy="2520000"/>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0000" cy="2520000"/>
                    </a:xfrm>
                    <a:prstGeom prst="rect">
                      <a:avLst/>
                    </a:prstGeom>
                  </pic:spPr>
                </pic:pic>
              </a:graphicData>
            </a:graphic>
          </wp:inline>
        </w:drawing>
      </w:r>
    </w:p>
    <w:p w14:paraId="6AB79AA1" w14:textId="77777777" w:rsidR="00587DB2" w:rsidRPr="00E46E86" w:rsidRDefault="00587DB2" w:rsidP="00E46E86">
      <w:pPr>
        <w:spacing w:after="0" w:line="360" w:lineRule="auto"/>
        <w:rPr>
          <w:rFonts w:ascii="Times New Roman" w:hAnsi="Times New Roman" w:cs="Times New Roman"/>
        </w:rPr>
      </w:pPr>
      <w:r w:rsidRPr="00E46E86">
        <w:rPr>
          <w:rFonts w:ascii="Times New Roman" w:hAnsi="Times New Roman" w:cs="Times New Roman"/>
        </w:rPr>
        <w:t xml:space="preserve">Fonte: Elaboração Própria (2025), com base em dados da RAIS. </w:t>
      </w:r>
    </w:p>
    <w:p w14:paraId="36ABDBE3" w14:textId="18E3BA91" w:rsidR="00705DEB" w:rsidRDefault="00587DB2" w:rsidP="00E46E86">
      <w:pPr>
        <w:spacing w:after="0" w:line="360" w:lineRule="auto"/>
        <w:rPr>
          <w:rFonts w:ascii="Times New Roman" w:hAnsi="Times New Roman" w:cs="Times New Roman"/>
        </w:rPr>
      </w:pPr>
      <w:r w:rsidRPr="00E46E86">
        <w:rPr>
          <w:rFonts w:ascii="Times New Roman" w:hAnsi="Times New Roman" w:cs="Times New Roman"/>
        </w:rPr>
        <w:t xml:space="preserve">Nota: O eixo da remuneração é apresentado em escala logarítmica (log10) para melhor visualização da distribuição. </w:t>
      </w:r>
    </w:p>
    <w:p w14:paraId="38DF4E1F" w14:textId="77777777" w:rsidR="00064D84" w:rsidRDefault="00064D84" w:rsidP="00E46E86">
      <w:pPr>
        <w:spacing w:after="0" w:line="360" w:lineRule="auto"/>
        <w:rPr>
          <w:rFonts w:ascii="Times New Roman" w:hAnsi="Times New Roman" w:cs="Times New Roman"/>
        </w:rPr>
      </w:pPr>
    </w:p>
    <w:p w14:paraId="3BD77EA8" w14:textId="77777777" w:rsidR="00064D84" w:rsidRPr="00E46E86" w:rsidRDefault="00064D84" w:rsidP="00E46E86">
      <w:pPr>
        <w:spacing w:after="0" w:line="360" w:lineRule="auto"/>
        <w:rPr>
          <w:rFonts w:ascii="Times New Roman" w:hAnsi="Times New Roman" w:cs="Times New Roman"/>
        </w:rPr>
      </w:pPr>
    </w:p>
    <w:p w14:paraId="304A52B8" w14:textId="0FF91E2B" w:rsidR="002D7815" w:rsidRPr="00E46E86" w:rsidRDefault="00287F5F" w:rsidP="00E46E86">
      <w:pPr>
        <w:pStyle w:val="Ttulo1"/>
        <w:numPr>
          <w:ilvl w:val="0"/>
          <w:numId w:val="1"/>
        </w:numPr>
        <w:spacing w:line="360" w:lineRule="auto"/>
        <w:ind w:left="284" w:hanging="284"/>
        <w:rPr>
          <w:rFonts w:cs="Times New Roman"/>
          <w:szCs w:val="24"/>
        </w:rPr>
      </w:pPr>
      <w:bookmarkStart w:id="3" w:name="_Toc207439459"/>
      <w:r w:rsidRPr="00E46E86">
        <w:rPr>
          <w:rFonts w:cs="Times New Roman"/>
          <w:szCs w:val="24"/>
        </w:rPr>
        <w:lastRenderedPageBreak/>
        <w:t>Considerações Finais</w:t>
      </w:r>
      <w:bookmarkEnd w:id="3"/>
    </w:p>
    <w:p w14:paraId="39223769" w14:textId="2E7AA413" w:rsidR="00E46E86" w:rsidRPr="00E46E86" w:rsidRDefault="009B77E6" w:rsidP="00E46E86">
      <w:pPr>
        <w:spacing w:after="0" w:line="360" w:lineRule="auto"/>
        <w:jc w:val="both"/>
        <w:rPr>
          <w:rFonts w:ascii="Times New Roman" w:hAnsi="Times New Roman" w:cs="Times New Roman"/>
        </w:rPr>
      </w:pPr>
      <w:r w:rsidRPr="00E46E86">
        <w:rPr>
          <w:rFonts w:ascii="Times New Roman" w:hAnsi="Times New Roman" w:cs="Times New Roman"/>
        </w:rPr>
        <w:tab/>
      </w:r>
      <w:r w:rsidR="00E46E86" w:rsidRPr="00E46E86">
        <w:rPr>
          <w:rFonts w:ascii="Times New Roman" w:hAnsi="Times New Roman" w:cs="Times New Roman"/>
        </w:rPr>
        <w:t xml:space="preserve">A análise </w:t>
      </w:r>
      <w:r w:rsidR="00896A1F">
        <w:rPr>
          <w:rFonts w:ascii="Times New Roman" w:hAnsi="Times New Roman" w:cs="Times New Roman"/>
        </w:rPr>
        <w:t xml:space="preserve">estatística </w:t>
      </w:r>
      <w:r w:rsidR="00E46E86" w:rsidRPr="00E46E86">
        <w:rPr>
          <w:rFonts w:ascii="Times New Roman" w:hAnsi="Times New Roman" w:cs="Times New Roman"/>
        </w:rPr>
        <w:t>dos trabalhadores na Paraíba entre 2021 e 2024 revelou um perfil relativamente estável ao longo dos anos. Observa-se um predomínio de trabalhadores em idades intermediárias (entre 25 e 45 anos), com menor participação de jovens e idosos no mercado formal. A distribuição apresenta leve assimetria à direita, indicando uma maior concentração de indivíduos em idades mais baixas, mas com uma cauda estendida em direção às idades avançadas. Além disso, a curtose levemente positiva sugere que a maior parte dos trabalhadores se concentra em torno da média etária, embora haja presença de valores extremos, como jovens recém-ingressos e trabalhadores de idade mais elevada.</w:t>
      </w:r>
    </w:p>
    <w:p w14:paraId="2699DBE0" w14:textId="139D14E0" w:rsidR="00896A1F" w:rsidRPr="00E46E86" w:rsidRDefault="00E46E86" w:rsidP="00E46E86">
      <w:pPr>
        <w:spacing w:after="0" w:line="360" w:lineRule="auto"/>
        <w:jc w:val="both"/>
        <w:rPr>
          <w:rFonts w:ascii="Times New Roman" w:hAnsi="Times New Roman" w:cs="Times New Roman"/>
        </w:rPr>
      </w:pPr>
      <w:r w:rsidRPr="00E46E86">
        <w:rPr>
          <w:rFonts w:ascii="Times New Roman" w:hAnsi="Times New Roman" w:cs="Times New Roman"/>
        </w:rPr>
        <w:tab/>
        <w:t>Por outro lado, a análise da remuneração média (em escala logarítmica) evidencia um quadro distinto. Mesmo após a transformação logarítmica, verifica-se forte assimetria positiva, resultado da concentração de trabalhadores em faixas salariais mais baixas e da presença de uma minoria recebendo remunerações muito elevadas. Esse padrão está associado a uma alta curtose, que reflete a coexistência de grande massa de trabalhadores em torno de salários reduzidos e de valores extremos que distorcem a média e ampliam a desigualdade.</w:t>
      </w:r>
      <w:r w:rsidR="00896A1F">
        <w:rPr>
          <w:rFonts w:ascii="Times New Roman" w:hAnsi="Times New Roman" w:cs="Times New Roman"/>
        </w:rPr>
        <w:t xml:space="preserve"> Foi evidenciado a diminuição da presença de mão de obra</w:t>
      </w:r>
      <w:r w:rsidR="00064D84">
        <w:rPr>
          <w:rFonts w:ascii="Times New Roman" w:hAnsi="Times New Roman" w:cs="Times New Roman"/>
        </w:rPr>
        <w:t xml:space="preserve"> mais</w:t>
      </w:r>
      <w:r w:rsidR="00896A1F">
        <w:rPr>
          <w:rFonts w:ascii="Times New Roman" w:hAnsi="Times New Roman" w:cs="Times New Roman"/>
        </w:rPr>
        <w:t xml:space="preserve"> qualificada no emprego formal, assim como aumento da participação do publico masculino.</w:t>
      </w:r>
    </w:p>
    <w:p w14:paraId="2EC1F54F" w14:textId="73B957AF" w:rsidR="004A1B06" w:rsidRPr="00E46E86" w:rsidRDefault="00E46E86" w:rsidP="00E46E86">
      <w:pPr>
        <w:spacing w:after="0" w:line="360" w:lineRule="auto"/>
        <w:jc w:val="both"/>
        <w:rPr>
          <w:rFonts w:ascii="Times New Roman" w:hAnsi="Times New Roman" w:cs="Times New Roman"/>
        </w:rPr>
      </w:pPr>
      <w:r w:rsidRPr="00E46E86">
        <w:rPr>
          <w:rFonts w:ascii="Times New Roman" w:hAnsi="Times New Roman" w:cs="Times New Roman"/>
        </w:rPr>
        <w:tab/>
        <w:t>De forma conjunta, os resultados apontam para um mercado de trabalho formal relativamente concentrado em faixas etárias produtivas, mas com forte heterogeneidade na distribuição da remuneração. A estrutura salarial da Paraíba revela alta desigualdade, em que a maioria dos trabalhadores recebe rendimentos modestos, enquanto poucos concentram valores muito acima da média. Tais evidências reforçam a importância de políticas públicas voltadas à redução das disparidades salariais e ao estímulo à inclusão de jovens e trabalhadores mais velhos no mercado, de modo a equilibrar tanto a estrutura etária quanto as condições de remuneração no estado.</w:t>
      </w:r>
    </w:p>
    <w:p w14:paraId="6A6F5470" w14:textId="03DA705D" w:rsidR="00043E1B" w:rsidRDefault="00287F5F" w:rsidP="00E46E86">
      <w:pPr>
        <w:pStyle w:val="Ttulo1"/>
        <w:numPr>
          <w:ilvl w:val="0"/>
          <w:numId w:val="1"/>
        </w:numPr>
        <w:spacing w:line="360" w:lineRule="auto"/>
        <w:ind w:left="284" w:hanging="284"/>
        <w:rPr>
          <w:rFonts w:cs="Times New Roman"/>
          <w:szCs w:val="24"/>
        </w:rPr>
      </w:pPr>
      <w:bookmarkStart w:id="4" w:name="_Toc207439460"/>
      <w:r w:rsidRPr="00E46E86">
        <w:rPr>
          <w:rFonts w:cs="Times New Roman"/>
          <w:szCs w:val="24"/>
        </w:rPr>
        <w:t>Referências</w:t>
      </w:r>
      <w:bookmarkEnd w:id="4"/>
    </w:p>
    <w:p w14:paraId="487CD7AA" w14:textId="25246160" w:rsidR="002D5BCF" w:rsidRPr="002D5BCF" w:rsidRDefault="002D5BCF" w:rsidP="002D5BCF">
      <w:pPr>
        <w:jc w:val="both"/>
        <w:rPr>
          <w:rFonts w:ascii="Times New Roman" w:hAnsi="Times New Roman" w:cs="Times New Roman"/>
        </w:rPr>
      </w:pPr>
      <w:r w:rsidRPr="002D5BCF">
        <w:rPr>
          <w:rFonts w:ascii="Times New Roman" w:hAnsi="Times New Roman" w:cs="Times New Roman"/>
        </w:rPr>
        <w:t xml:space="preserve">BRASIL. Ministério do Trabalho e Emprego. </w:t>
      </w:r>
      <w:r w:rsidRPr="002D5BCF">
        <w:rPr>
          <w:rFonts w:ascii="Times New Roman" w:hAnsi="Times New Roman" w:cs="Times New Roman"/>
          <w:b/>
          <w:bCs/>
        </w:rPr>
        <w:t>Relação Anual de Informações Sociais – RAIS</w:t>
      </w:r>
      <w:r w:rsidRPr="002D5BCF">
        <w:rPr>
          <w:rFonts w:ascii="Times New Roman" w:hAnsi="Times New Roman" w:cs="Times New Roman"/>
        </w:rPr>
        <w:t>. Brasília: MTE, 2025. Disponível em: http://bi.mte.gov.br/bgcaged/rais/. Acesso em: 29 ago. 2025.</w:t>
      </w:r>
    </w:p>
    <w:p w14:paraId="2AEF7D82" w14:textId="7FB673F4" w:rsidR="002D5BCF" w:rsidRPr="002D5BCF" w:rsidRDefault="002D5BCF" w:rsidP="00064D84">
      <w:pPr>
        <w:jc w:val="both"/>
      </w:pPr>
      <w:r w:rsidRPr="002D5BCF">
        <w:rPr>
          <w:rFonts w:ascii="Times New Roman" w:hAnsi="Times New Roman" w:cs="Times New Roman"/>
        </w:rPr>
        <w:t xml:space="preserve">BRASIL. Ministério da Economia. </w:t>
      </w:r>
      <w:r w:rsidRPr="002D5BCF">
        <w:rPr>
          <w:rFonts w:ascii="Times New Roman" w:hAnsi="Times New Roman" w:cs="Times New Roman"/>
          <w:b/>
          <w:bCs/>
        </w:rPr>
        <w:t>Base de microdados da Relação Anual de Informações Sociais (RAIS), 2021–2024</w:t>
      </w:r>
      <w:r w:rsidRPr="002D5BCF">
        <w:rPr>
          <w:rFonts w:ascii="Times New Roman" w:hAnsi="Times New Roman" w:cs="Times New Roman"/>
        </w:rPr>
        <w:t>.</w:t>
      </w:r>
      <w:r w:rsidR="00F124FD">
        <w:rPr>
          <w:rFonts w:ascii="Times New Roman" w:hAnsi="Times New Roman" w:cs="Times New Roman"/>
        </w:rPr>
        <w:t xml:space="preserve"> </w:t>
      </w:r>
      <w:r w:rsidR="00F124FD" w:rsidRPr="002D5BCF">
        <w:rPr>
          <w:rFonts w:ascii="Times New Roman" w:hAnsi="Times New Roman" w:cs="Times New Roman"/>
        </w:rPr>
        <w:t xml:space="preserve">Disponível em: </w:t>
      </w:r>
      <w:r w:rsidR="00F124FD" w:rsidRPr="00F124FD">
        <w:rPr>
          <w:rFonts w:ascii="Times New Roman" w:hAnsi="Times New Roman" w:cs="Times New Roman"/>
        </w:rPr>
        <w:t>ftp://ftp.mtps.gov.br/pdet/microdados/RAIS/</w:t>
      </w:r>
      <w:r w:rsidR="00F124FD">
        <w:rPr>
          <w:rFonts w:ascii="Times New Roman" w:hAnsi="Times New Roman" w:cs="Times New Roman"/>
        </w:rPr>
        <w:t>.</w:t>
      </w:r>
      <w:r w:rsidRPr="002D5BCF">
        <w:rPr>
          <w:rFonts w:ascii="Times New Roman" w:hAnsi="Times New Roman" w:cs="Times New Roman"/>
        </w:rPr>
        <w:t xml:space="preserve"> Brasília, 2025.</w:t>
      </w:r>
    </w:p>
    <w:sectPr w:rsidR="002D5BCF" w:rsidRPr="002D5BC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02C6"/>
    <w:multiLevelType w:val="hybridMultilevel"/>
    <w:tmpl w:val="0868ED3E"/>
    <w:lvl w:ilvl="0" w:tplc="6BA2BB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0CC1CF5"/>
    <w:multiLevelType w:val="hybridMultilevel"/>
    <w:tmpl w:val="1734A6C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5C848EF"/>
    <w:multiLevelType w:val="hybridMultilevel"/>
    <w:tmpl w:val="843C944A"/>
    <w:lvl w:ilvl="0" w:tplc="0B32D748">
      <w:start w:val="1"/>
      <w:numFmt w:val="lowerLetter"/>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num w:numId="1" w16cid:durableId="1965186322">
    <w:abstractNumId w:val="0"/>
  </w:num>
  <w:num w:numId="2" w16cid:durableId="289632243">
    <w:abstractNumId w:val="2"/>
  </w:num>
  <w:num w:numId="3" w16cid:durableId="1897583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63B8"/>
    <w:rsid w:val="0001206B"/>
    <w:rsid w:val="00013DB1"/>
    <w:rsid w:val="000172DA"/>
    <w:rsid w:val="000201A5"/>
    <w:rsid w:val="000232AF"/>
    <w:rsid w:val="000323B6"/>
    <w:rsid w:val="00033ABB"/>
    <w:rsid w:val="0003457A"/>
    <w:rsid w:val="0003541E"/>
    <w:rsid w:val="00042583"/>
    <w:rsid w:val="00042958"/>
    <w:rsid w:val="00042C87"/>
    <w:rsid w:val="00043E1B"/>
    <w:rsid w:val="0004640C"/>
    <w:rsid w:val="0006029C"/>
    <w:rsid w:val="000606E9"/>
    <w:rsid w:val="00064D84"/>
    <w:rsid w:val="0007645E"/>
    <w:rsid w:val="000836CB"/>
    <w:rsid w:val="00090AA8"/>
    <w:rsid w:val="0009279D"/>
    <w:rsid w:val="00095230"/>
    <w:rsid w:val="000A1FE5"/>
    <w:rsid w:val="000A3D77"/>
    <w:rsid w:val="000A7352"/>
    <w:rsid w:val="000B11EC"/>
    <w:rsid w:val="000B6959"/>
    <w:rsid w:val="000B6CFF"/>
    <w:rsid w:val="000C3994"/>
    <w:rsid w:val="000D0414"/>
    <w:rsid w:val="000D167B"/>
    <w:rsid w:val="000D3FBA"/>
    <w:rsid w:val="000D57F3"/>
    <w:rsid w:val="00105C37"/>
    <w:rsid w:val="00120155"/>
    <w:rsid w:val="001253B0"/>
    <w:rsid w:val="001268A8"/>
    <w:rsid w:val="00126C1D"/>
    <w:rsid w:val="001271DB"/>
    <w:rsid w:val="00133D0F"/>
    <w:rsid w:val="00134E97"/>
    <w:rsid w:val="00142EA6"/>
    <w:rsid w:val="00144BAF"/>
    <w:rsid w:val="00146141"/>
    <w:rsid w:val="00146D1C"/>
    <w:rsid w:val="0015561B"/>
    <w:rsid w:val="00160AFD"/>
    <w:rsid w:val="001616EE"/>
    <w:rsid w:val="001637B1"/>
    <w:rsid w:val="00164113"/>
    <w:rsid w:val="00165F69"/>
    <w:rsid w:val="001661E9"/>
    <w:rsid w:val="00176C6D"/>
    <w:rsid w:val="00182D17"/>
    <w:rsid w:val="00182F65"/>
    <w:rsid w:val="0019187D"/>
    <w:rsid w:val="00191EC4"/>
    <w:rsid w:val="001931B7"/>
    <w:rsid w:val="00193F8F"/>
    <w:rsid w:val="00197060"/>
    <w:rsid w:val="001A4EF3"/>
    <w:rsid w:val="001B2C40"/>
    <w:rsid w:val="001B6C90"/>
    <w:rsid w:val="001C04DC"/>
    <w:rsid w:val="001C07F6"/>
    <w:rsid w:val="001C0CFE"/>
    <w:rsid w:val="001C1E4E"/>
    <w:rsid w:val="001C36AB"/>
    <w:rsid w:val="001C4F2F"/>
    <w:rsid w:val="001C7067"/>
    <w:rsid w:val="001D1320"/>
    <w:rsid w:val="001D33A7"/>
    <w:rsid w:val="001D384E"/>
    <w:rsid w:val="001E0C21"/>
    <w:rsid w:val="001E2D03"/>
    <w:rsid w:val="001E4B31"/>
    <w:rsid w:val="001E53FA"/>
    <w:rsid w:val="001E712C"/>
    <w:rsid w:val="001F4D96"/>
    <w:rsid w:val="001F6818"/>
    <w:rsid w:val="002001E3"/>
    <w:rsid w:val="00205ADE"/>
    <w:rsid w:val="0020604B"/>
    <w:rsid w:val="00207950"/>
    <w:rsid w:val="00210486"/>
    <w:rsid w:val="002203FB"/>
    <w:rsid w:val="00222EDF"/>
    <w:rsid w:val="002250FB"/>
    <w:rsid w:val="00227748"/>
    <w:rsid w:val="0023665A"/>
    <w:rsid w:val="00237E9B"/>
    <w:rsid w:val="00242A80"/>
    <w:rsid w:val="00245FAE"/>
    <w:rsid w:val="00246A7A"/>
    <w:rsid w:val="00263735"/>
    <w:rsid w:val="002641ED"/>
    <w:rsid w:val="00274AD3"/>
    <w:rsid w:val="00274ED9"/>
    <w:rsid w:val="00277B0C"/>
    <w:rsid w:val="00282C13"/>
    <w:rsid w:val="002838BB"/>
    <w:rsid w:val="00285DF8"/>
    <w:rsid w:val="00287F5F"/>
    <w:rsid w:val="00292B2C"/>
    <w:rsid w:val="0029337B"/>
    <w:rsid w:val="002963B8"/>
    <w:rsid w:val="002B41F6"/>
    <w:rsid w:val="002B634C"/>
    <w:rsid w:val="002B75F5"/>
    <w:rsid w:val="002B7C79"/>
    <w:rsid w:val="002C06B3"/>
    <w:rsid w:val="002C148B"/>
    <w:rsid w:val="002C2C5A"/>
    <w:rsid w:val="002D5BCF"/>
    <w:rsid w:val="002D7815"/>
    <w:rsid w:val="002E0441"/>
    <w:rsid w:val="002E2050"/>
    <w:rsid w:val="002E323A"/>
    <w:rsid w:val="002E4275"/>
    <w:rsid w:val="002E4D5A"/>
    <w:rsid w:val="002F1748"/>
    <w:rsid w:val="002F21C9"/>
    <w:rsid w:val="00300B54"/>
    <w:rsid w:val="00300F79"/>
    <w:rsid w:val="003116CB"/>
    <w:rsid w:val="00314911"/>
    <w:rsid w:val="003209EB"/>
    <w:rsid w:val="0032158E"/>
    <w:rsid w:val="00323CA8"/>
    <w:rsid w:val="00335831"/>
    <w:rsid w:val="00335B50"/>
    <w:rsid w:val="00340930"/>
    <w:rsid w:val="00342157"/>
    <w:rsid w:val="003424DA"/>
    <w:rsid w:val="00345008"/>
    <w:rsid w:val="00345184"/>
    <w:rsid w:val="00354326"/>
    <w:rsid w:val="003573FE"/>
    <w:rsid w:val="00367C68"/>
    <w:rsid w:val="003712B3"/>
    <w:rsid w:val="00371365"/>
    <w:rsid w:val="00371421"/>
    <w:rsid w:val="00376CF9"/>
    <w:rsid w:val="0038772D"/>
    <w:rsid w:val="00393774"/>
    <w:rsid w:val="00397C33"/>
    <w:rsid w:val="003A10A6"/>
    <w:rsid w:val="003A1F6E"/>
    <w:rsid w:val="003A2572"/>
    <w:rsid w:val="003A2AEE"/>
    <w:rsid w:val="003A5F0C"/>
    <w:rsid w:val="003B3E77"/>
    <w:rsid w:val="003B5A1E"/>
    <w:rsid w:val="003B7E82"/>
    <w:rsid w:val="003C56FD"/>
    <w:rsid w:val="003C7BAC"/>
    <w:rsid w:val="003D3B34"/>
    <w:rsid w:val="003D693D"/>
    <w:rsid w:val="003E0149"/>
    <w:rsid w:val="003F4AFA"/>
    <w:rsid w:val="003F671E"/>
    <w:rsid w:val="00403653"/>
    <w:rsid w:val="00404315"/>
    <w:rsid w:val="0041023E"/>
    <w:rsid w:val="00410435"/>
    <w:rsid w:val="0041099B"/>
    <w:rsid w:val="00412D56"/>
    <w:rsid w:val="00414568"/>
    <w:rsid w:val="004146FF"/>
    <w:rsid w:val="00415989"/>
    <w:rsid w:val="00421364"/>
    <w:rsid w:val="0042252D"/>
    <w:rsid w:val="00424B69"/>
    <w:rsid w:val="004265EC"/>
    <w:rsid w:val="00430C67"/>
    <w:rsid w:val="004316BA"/>
    <w:rsid w:val="004347D6"/>
    <w:rsid w:val="004448BC"/>
    <w:rsid w:val="00455DDE"/>
    <w:rsid w:val="00457D68"/>
    <w:rsid w:val="004708E2"/>
    <w:rsid w:val="00473495"/>
    <w:rsid w:val="004805F7"/>
    <w:rsid w:val="00482713"/>
    <w:rsid w:val="0048343F"/>
    <w:rsid w:val="00483AFC"/>
    <w:rsid w:val="00490677"/>
    <w:rsid w:val="00490D13"/>
    <w:rsid w:val="00491811"/>
    <w:rsid w:val="00491B34"/>
    <w:rsid w:val="00492F79"/>
    <w:rsid w:val="00497958"/>
    <w:rsid w:val="004A1B06"/>
    <w:rsid w:val="004A2A7E"/>
    <w:rsid w:val="004A476C"/>
    <w:rsid w:val="004A6EF4"/>
    <w:rsid w:val="004B0E44"/>
    <w:rsid w:val="004B17C0"/>
    <w:rsid w:val="004B2F98"/>
    <w:rsid w:val="004B5310"/>
    <w:rsid w:val="004C20A5"/>
    <w:rsid w:val="004C2203"/>
    <w:rsid w:val="004C3A02"/>
    <w:rsid w:val="004C49CC"/>
    <w:rsid w:val="004C5054"/>
    <w:rsid w:val="004C62CD"/>
    <w:rsid w:val="004C7A2D"/>
    <w:rsid w:val="004D12FB"/>
    <w:rsid w:val="004D25CD"/>
    <w:rsid w:val="004E0E63"/>
    <w:rsid w:val="004F40B7"/>
    <w:rsid w:val="004F6399"/>
    <w:rsid w:val="005011F4"/>
    <w:rsid w:val="00501926"/>
    <w:rsid w:val="005022F7"/>
    <w:rsid w:val="00502F0B"/>
    <w:rsid w:val="00504EFB"/>
    <w:rsid w:val="00505661"/>
    <w:rsid w:val="0050584F"/>
    <w:rsid w:val="0050594F"/>
    <w:rsid w:val="005101E2"/>
    <w:rsid w:val="0051289F"/>
    <w:rsid w:val="00513028"/>
    <w:rsid w:val="00513908"/>
    <w:rsid w:val="00520793"/>
    <w:rsid w:val="00526AE9"/>
    <w:rsid w:val="005344C7"/>
    <w:rsid w:val="0053619A"/>
    <w:rsid w:val="00540044"/>
    <w:rsid w:val="00541E31"/>
    <w:rsid w:val="0054692B"/>
    <w:rsid w:val="0055232C"/>
    <w:rsid w:val="00564D52"/>
    <w:rsid w:val="0058165C"/>
    <w:rsid w:val="00582F23"/>
    <w:rsid w:val="0058330D"/>
    <w:rsid w:val="00583E5A"/>
    <w:rsid w:val="00586DF2"/>
    <w:rsid w:val="00587DB2"/>
    <w:rsid w:val="00591AD9"/>
    <w:rsid w:val="005A0A40"/>
    <w:rsid w:val="005A0CEF"/>
    <w:rsid w:val="005A15B6"/>
    <w:rsid w:val="005A2781"/>
    <w:rsid w:val="005A6CC2"/>
    <w:rsid w:val="005C2292"/>
    <w:rsid w:val="005C6B3A"/>
    <w:rsid w:val="005D6BBE"/>
    <w:rsid w:val="005F0770"/>
    <w:rsid w:val="005F19F4"/>
    <w:rsid w:val="005F71D5"/>
    <w:rsid w:val="00605553"/>
    <w:rsid w:val="006124DD"/>
    <w:rsid w:val="0061504C"/>
    <w:rsid w:val="00617083"/>
    <w:rsid w:val="00624BE4"/>
    <w:rsid w:val="00627499"/>
    <w:rsid w:val="00632817"/>
    <w:rsid w:val="00671571"/>
    <w:rsid w:val="006727F0"/>
    <w:rsid w:val="00674277"/>
    <w:rsid w:val="00680869"/>
    <w:rsid w:val="00686B48"/>
    <w:rsid w:val="006927D5"/>
    <w:rsid w:val="006A27F1"/>
    <w:rsid w:val="006A2EF6"/>
    <w:rsid w:val="006A6260"/>
    <w:rsid w:val="006A7256"/>
    <w:rsid w:val="006B325F"/>
    <w:rsid w:val="006C040B"/>
    <w:rsid w:val="006C79FB"/>
    <w:rsid w:val="006D529F"/>
    <w:rsid w:val="006D545A"/>
    <w:rsid w:val="006E35A0"/>
    <w:rsid w:val="006F172F"/>
    <w:rsid w:val="006F4D33"/>
    <w:rsid w:val="006F5369"/>
    <w:rsid w:val="00705DEB"/>
    <w:rsid w:val="0071103D"/>
    <w:rsid w:val="007163E2"/>
    <w:rsid w:val="00721037"/>
    <w:rsid w:val="0073397F"/>
    <w:rsid w:val="00747930"/>
    <w:rsid w:val="00750F8C"/>
    <w:rsid w:val="00751F16"/>
    <w:rsid w:val="00754EF4"/>
    <w:rsid w:val="00763EDB"/>
    <w:rsid w:val="00765A31"/>
    <w:rsid w:val="00767627"/>
    <w:rsid w:val="007754BF"/>
    <w:rsid w:val="00775B3E"/>
    <w:rsid w:val="00787883"/>
    <w:rsid w:val="007927A8"/>
    <w:rsid w:val="007937DA"/>
    <w:rsid w:val="00795976"/>
    <w:rsid w:val="00795BFB"/>
    <w:rsid w:val="007A3992"/>
    <w:rsid w:val="007A6565"/>
    <w:rsid w:val="007B3A0F"/>
    <w:rsid w:val="007C3F1F"/>
    <w:rsid w:val="007C7DAD"/>
    <w:rsid w:val="007D2DF6"/>
    <w:rsid w:val="007D3D79"/>
    <w:rsid w:val="007D4942"/>
    <w:rsid w:val="007E79FD"/>
    <w:rsid w:val="007F0FC7"/>
    <w:rsid w:val="007F40F7"/>
    <w:rsid w:val="007F649C"/>
    <w:rsid w:val="007F6D06"/>
    <w:rsid w:val="00801485"/>
    <w:rsid w:val="00805B59"/>
    <w:rsid w:val="0080690A"/>
    <w:rsid w:val="008072D1"/>
    <w:rsid w:val="00810C7A"/>
    <w:rsid w:val="00811064"/>
    <w:rsid w:val="008114C0"/>
    <w:rsid w:val="00815F9B"/>
    <w:rsid w:val="00816704"/>
    <w:rsid w:val="00830F08"/>
    <w:rsid w:val="00834F9D"/>
    <w:rsid w:val="008353C1"/>
    <w:rsid w:val="00840F48"/>
    <w:rsid w:val="00841C6D"/>
    <w:rsid w:val="008422F1"/>
    <w:rsid w:val="00842F3D"/>
    <w:rsid w:val="00843C52"/>
    <w:rsid w:val="00845A96"/>
    <w:rsid w:val="00845B45"/>
    <w:rsid w:val="008504D2"/>
    <w:rsid w:val="00851E51"/>
    <w:rsid w:val="00853A98"/>
    <w:rsid w:val="00853B82"/>
    <w:rsid w:val="00854388"/>
    <w:rsid w:val="00866A4B"/>
    <w:rsid w:val="00866F79"/>
    <w:rsid w:val="008726CE"/>
    <w:rsid w:val="00873344"/>
    <w:rsid w:val="008800C6"/>
    <w:rsid w:val="00896A1F"/>
    <w:rsid w:val="0089761F"/>
    <w:rsid w:val="008A5BC4"/>
    <w:rsid w:val="008B3057"/>
    <w:rsid w:val="008B40D2"/>
    <w:rsid w:val="008B45D0"/>
    <w:rsid w:val="008C74E9"/>
    <w:rsid w:val="008C776C"/>
    <w:rsid w:val="008D56EB"/>
    <w:rsid w:val="008D7182"/>
    <w:rsid w:val="008E1B70"/>
    <w:rsid w:val="008E565F"/>
    <w:rsid w:val="008E6E42"/>
    <w:rsid w:val="008F02C7"/>
    <w:rsid w:val="008F0D83"/>
    <w:rsid w:val="008F5A83"/>
    <w:rsid w:val="009017A8"/>
    <w:rsid w:val="00901E3C"/>
    <w:rsid w:val="0090515A"/>
    <w:rsid w:val="0091356D"/>
    <w:rsid w:val="00921CF5"/>
    <w:rsid w:val="00924F1C"/>
    <w:rsid w:val="00936916"/>
    <w:rsid w:val="0093756F"/>
    <w:rsid w:val="009445BA"/>
    <w:rsid w:val="0096054A"/>
    <w:rsid w:val="00961740"/>
    <w:rsid w:val="00963DFF"/>
    <w:rsid w:val="00966A26"/>
    <w:rsid w:val="009672B4"/>
    <w:rsid w:val="009728FD"/>
    <w:rsid w:val="009733B0"/>
    <w:rsid w:val="00977668"/>
    <w:rsid w:val="00982F81"/>
    <w:rsid w:val="00990114"/>
    <w:rsid w:val="009913AC"/>
    <w:rsid w:val="00992014"/>
    <w:rsid w:val="00992AE8"/>
    <w:rsid w:val="00995D4C"/>
    <w:rsid w:val="0099638D"/>
    <w:rsid w:val="009A0A8E"/>
    <w:rsid w:val="009A7BED"/>
    <w:rsid w:val="009B2613"/>
    <w:rsid w:val="009B4D32"/>
    <w:rsid w:val="009B77E6"/>
    <w:rsid w:val="009C0C96"/>
    <w:rsid w:val="009E1E2A"/>
    <w:rsid w:val="009E4B49"/>
    <w:rsid w:val="009E547C"/>
    <w:rsid w:val="009F29D1"/>
    <w:rsid w:val="009F766B"/>
    <w:rsid w:val="00A06F0B"/>
    <w:rsid w:val="00A1585B"/>
    <w:rsid w:val="00A24702"/>
    <w:rsid w:val="00A2586C"/>
    <w:rsid w:val="00A25B94"/>
    <w:rsid w:val="00A31C2F"/>
    <w:rsid w:val="00A345D2"/>
    <w:rsid w:val="00A410E6"/>
    <w:rsid w:val="00A50A65"/>
    <w:rsid w:val="00A52152"/>
    <w:rsid w:val="00A5598A"/>
    <w:rsid w:val="00A55DCA"/>
    <w:rsid w:val="00A60550"/>
    <w:rsid w:val="00A62294"/>
    <w:rsid w:val="00A72AFA"/>
    <w:rsid w:val="00A836C1"/>
    <w:rsid w:val="00A85DFC"/>
    <w:rsid w:val="00A91572"/>
    <w:rsid w:val="00A92055"/>
    <w:rsid w:val="00A943A9"/>
    <w:rsid w:val="00AA1081"/>
    <w:rsid w:val="00AA67C6"/>
    <w:rsid w:val="00AB2260"/>
    <w:rsid w:val="00AB27EF"/>
    <w:rsid w:val="00AB4C84"/>
    <w:rsid w:val="00AB6925"/>
    <w:rsid w:val="00AB7223"/>
    <w:rsid w:val="00AB761C"/>
    <w:rsid w:val="00AB7F9E"/>
    <w:rsid w:val="00AC0886"/>
    <w:rsid w:val="00AC1386"/>
    <w:rsid w:val="00AC2547"/>
    <w:rsid w:val="00AC28D4"/>
    <w:rsid w:val="00AC383B"/>
    <w:rsid w:val="00AC496E"/>
    <w:rsid w:val="00AC7187"/>
    <w:rsid w:val="00AC7E7D"/>
    <w:rsid w:val="00AD01B0"/>
    <w:rsid w:val="00AD350A"/>
    <w:rsid w:val="00AE22BF"/>
    <w:rsid w:val="00AE2D1D"/>
    <w:rsid w:val="00AE3583"/>
    <w:rsid w:val="00AE5470"/>
    <w:rsid w:val="00AF04CF"/>
    <w:rsid w:val="00AF2091"/>
    <w:rsid w:val="00AF3977"/>
    <w:rsid w:val="00AF4E5D"/>
    <w:rsid w:val="00B03EF8"/>
    <w:rsid w:val="00B05E26"/>
    <w:rsid w:val="00B05E2B"/>
    <w:rsid w:val="00B11D07"/>
    <w:rsid w:val="00B159E3"/>
    <w:rsid w:val="00B21033"/>
    <w:rsid w:val="00B23546"/>
    <w:rsid w:val="00B313DF"/>
    <w:rsid w:val="00B31B24"/>
    <w:rsid w:val="00B40F0F"/>
    <w:rsid w:val="00B4188B"/>
    <w:rsid w:val="00B4397D"/>
    <w:rsid w:val="00B44660"/>
    <w:rsid w:val="00B44E4A"/>
    <w:rsid w:val="00B45699"/>
    <w:rsid w:val="00B45F82"/>
    <w:rsid w:val="00B46F3F"/>
    <w:rsid w:val="00B53078"/>
    <w:rsid w:val="00B535EB"/>
    <w:rsid w:val="00B635B3"/>
    <w:rsid w:val="00B67E10"/>
    <w:rsid w:val="00B701C9"/>
    <w:rsid w:val="00B70AD8"/>
    <w:rsid w:val="00B714E8"/>
    <w:rsid w:val="00B7458F"/>
    <w:rsid w:val="00B7704B"/>
    <w:rsid w:val="00B77881"/>
    <w:rsid w:val="00B82FBD"/>
    <w:rsid w:val="00B84358"/>
    <w:rsid w:val="00B8611B"/>
    <w:rsid w:val="00B906D8"/>
    <w:rsid w:val="00B91237"/>
    <w:rsid w:val="00B97CEC"/>
    <w:rsid w:val="00BA12EC"/>
    <w:rsid w:val="00BA74FB"/>
    <w:rsid w:val="00BB1EDD"/>
    <w:rsid w:val="00BC135E"/>
    <w:rsid w:val="00BC1780"/>
    <w:rsid w:val="00BC2046"/>
    <w:rsid w:val="00BC5702"/>
    <w:rsid w:val="00BD1A07"/>
    <w:rsid w:val="00BD1D47"/>
    <w:rsid w:val="00BD5FA4"/>
    <w:rsid w:val="00BD7733"/>
    <w:rsid w:val="00BE7847"/>
    <w:rsid w:val="00BF7C9C"/>
    <w:rsid w:val="00C01DD2"/>
    <w:rsid w:val="00C039E0"/>
    <w:rsid w:val="00C03D2C"/>
    <w:rsid w:val="00C051EC"/>
    <w:rsid w:val="00C056EB"/>
    <w:rsid w:val="00C116EA"/>
    <w:rsid w:val="00C14ED9"/>
    <w:rsid w:val="00C157D6"/>
    <w:rsid w:val="00C16804"/>
    <w:rsid w:val="00C20243"/>
    <w:rsid w:val="00C22040"/>
    <w:rsid w:val="00C22BC0"/>
    <w:rsid w:val="00C25AD8"/>
    <w:rsid w:val="00C37F28"/>
    <w:rsid w:val="00C447CA"/>
    <w:rsid w:val="00C45604"/>
    <w:rsid w:val="00C50963"/>
    <w:rsid w:val="00C5410A"/>
    <w:rsid w:val="00C566A0"/>
    <w:rsid w:val="00C57747"/>
    <w:rsid w:val="00C648D1"/>
    <w:rsid w:val="00C655DD"/>
    <w:rsid w:val="00C751E8"/>
    <w:rsid w:val="00C7720E"/>
    <w:rsid w:val="00C82259"/>
    <w:rsid w:val="00C840DF"/>
    <w:rsid w:val="00C84325"/>
    <w:rsid w:val="00C8559B"/>
    <w:rsid w:val="00C90139"/>
    <w:rsid w:val="00C90947"/>
    <w:rsid w:val="00C938B8"/>
    <w:rsid w:val="00CA05BC"/>
    <w:rsid w:val="00CA249E"/>
    <w:rsid w:val="00CA2B75"/>
    <w:rsid w:val="00CA2CF2"/>
    <w:rsid w:val="00CA5A0C"/>
    <w:rsid w:val="00CA7A2B"/>
    <w:rsid w:val="00CB43FB"/>
    <w:rsid w:val="00CB63D2"/>
    <w:rsid w:val="00CC000F"/>
    <w:rsid w:val="00CD1837"/>
    <w:rsid w:val="00CD3D77"/>
    <w:rsid w:val="00CD41F6"/>
    <w:rsid w:val="00CE021F"/>
    <w:rsid w:val="00CF078C"/>
    <w:rsid w:val="00D00B12"/>
    <w:rsid w:val="00D05486"/>
    <w:rsid w:val="00D1027D"/>
    <w:rsid w:val="00D108D1"/>
    <w:rsid w:val="00D16DC9"/>
    <w:rsid w:val="00D2328F"/>
    <w:rsid w:val="00D25453"/>
    <w:rsid w:val="00D30ED7"/>
    <w:rsid w:val="00D348E8"/>
    <w:rsid w:val="00D40139"/>
    <w:rsid w:val="00D40E42"/>
    <w:rsid w:val="00D4151E"/>
    <w:rsid w:val="00D423F4"/>
    <w:rsid w:val="00D44E7C"/>
    <w:rsid w:val="00D45813"/>
    <w:rsid w:val="00D46848"/>
    <w:rsid w:val="00D51278"/>
    <w:rsid w:val="00D534B8"/>
    <w:rsid w:val="00D55F78"/>
    <w:rsid w:val="00D60E58"/>
    <w:rsid w:val="00D631D5"/>
    <w:rsid w:val="00D70CE8"/>
    <w:rsid w:val="00D77A56"/>
    <w:rsid w:val="00D81912"/>
    <w:rsid w:val="00D82339"/>
    <w:rsid w:val="00D83ED2"/>
    <w:rsid w:val="00D91864"/>
    <w:rsid w:val="00DA2E0D"/>
    <w:rsid w:val="00DA4DD1"/>
    <w:rsid w:val="00DA6E87"/>
    <w:rsid w:val="00DA7F81"/>
    <w:rsid w:val="00DB0D3B"/>
    <w:rsid w:val="00DB34C0"/>
    <w:rsid w:val="00DB35BD"/>
    <w:rsid w:val="00DB62DB"/>
    <w:rsid w:val="00DC580A"/>
    <w:rsid w:val="00DC5FA7"/>
    <w:rsid w:val="00DC6250"/>
    <w:rsid w:val="00DC6A11"/>
    <w:rsid w:val="00DE36D7"/>
    <w:rsid w:val="00DE79D0"/>
    <w:rsid w:val="00DF3662"/>
    <w:rsid w:val="00DF4808"/>
    <w:rsid w:val="00DF5C85"/>
    <w:rsid w:val="00DF5EEC"/>
    <w:rsid w:val="00DF72B0"/>
    <w:rsid w:val="00DF76F8"/>
    <w:rsid w:val="00DF7ED8"/>
    <w:rsid w:val="00E003FB"/>
    <w:rsid w:val="00E01A8C"/>
    <w:rsid w:val="00E05F55"/>
    <w:rsid w:val="00E06571"/>
    <w:rsid w:val="00E1237D"/>
    <w:rsid w:val="00E15108"/>
    <w:rsid w:val="00E2748D"/>
    <w:rsid w:val="00E31122"/>
    <w:rsid w:val="00E338E4"/>
    <w:rsid w:val="00E3487A"/>
    <w:rsid w:val="00E41CC0"/>
    <w:rsid w:val="00E432E9"/>
    <w:rsid w:val="00E46E86"/>
    <w:rsid w:val="00E471CA"/>
    <w:rsid w:val="00E47AC8"/>
    <w:rsid w:val="00E52433"/>
    <w:rsid w:val="00E52E3B"/>
    <w:rsid w:val="00E635B1"/>
    <w:rsid w:val="00E651FE"/>
    <w:rsid w:val="00E71D18"/>
    <w:rsid w:val="00E7567A"/>
    <w:rsid w:val="00E80201"/>
    <w:rsid w:val="00E83EC1"/>
    <w:rsid w:val="00E85273"/>
    <w:rsid w:val="00E85CA7"/>
    <w:rsid w:val="00E90A11"/>
    <w:rsid w:val="00E95167"/>
    <w:rsid w:val="00E95A1F"/>
    <w:rsid w:val="00E97399"/>
    <w:rsid w:val="00EA1EFC"/>
    <w:rsid w:val="00EA5319"/>
    <w:rsid w:val="00EB0563"/>
    <w:rsid w:val="00EB0E0D"/>
    <w:rsid w:val="00EB3CD1"/>
    <w:rsid w:val="00EC2C99"/>
    <w:rsid w:val="00EC2F40"/>
    <w:rsid w:val="00EC3A2B"/>
    <w:rsid w:val="00EC7C7C"/>
    <w:rsid w:val="00ED19A5"/>
    <w:rsid w:val="00ED6565"/>
    <w:rsid w:val="00EE06DC"/>
    <w:rsid w:val="00EE1D16"/>
    <w:rsid w:val="00EE6AF9"/>
    <w:rsid w:val="00EE7DB9"/>
    <w:rsid w:val="00F04FE0"/>
    <w:rsid w:val="00F05C83"/>
    <w:rsid w:val="00F0629E"/>
    <w:rsid w:val="00F06D56"/>
    <w:rsid w:val="00F124FD"/>
    <w:rsid w:val="00F16B46"/>
    <w:rsid w:val="00F22A96"/>
    <w:rsid w:val="00F42E61"/>
    <w:rsid w:val="00F443BC"/>
    <w:rsid w:val="00F44ED5"/>
    <w:rsid w:val="00F45A2D"/>
    <w:rsid w:val="00F6434B"/>
    <w:rsid w:val="00F65EE2"/>
    <w:rsid w:val="00F725EA"/>
    <w:rsid w:val="00F74784"/>
    <w:rsid w:val="00F75CE0"/>
    <w:rsid w:val="00F80BDD"/>
    <w:rsid w:val="00F83E77"/>
    <w:rsid w:val="00F8701C"/>
    <w:rsid w:val="00F94A28"/>
    <w:rsid w:val="00F96740"/>
    <w:rsid w:val="00FA4079"/>
    <w:rsid w:val="00FA698B"/>
    <w:rsid w:val="00FB50A6"/>
    <w:rsid w:val="00FC1628"/>
    <w:rsid w:val="00FC435D"/>
    <w:rsid w:val="00FD4447"/>
    <w:rsid w:val="00FD47F4"/>
    <w:rsid w:val="00FD6F37"/>
    <w:rsid w:val="00FE0660"/>
    <w:rsid w:val="00FE0DFF"/>
    <w:rsid w:val="00FE2990"/>
    <w:rsid w:val="00FE36A5"/>
    <w:rsid w:val="00FE4F4E"/>
    <w:rsid w:val="00FE63C0"/>
    <w:rsid w:val="00FE6BD0"/>
    <w:rsid w:val="00FF36D4"/>
    <w:rsid w:val="00FF784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3D089"/>
  <w15:chartTrackingRefBased/>
  <w15:docId w15:val="{51B3CF3D-98A3-4DB6-BEA0-95D1EBAB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043E1B"/>
    <w:pPr>
      <w:keepNext/>
      <w:keepLines/>
      <w:spacing w:before="360" w:after="80"/>
      <w:outlineLvl w:val="0"/>
    </w:pPr>
    <w:rPr>
      <w:rFonts w:ascii="Times New Roman" w:eastAsiaTheme="majorEastAsia" w:hAnsi="Times New Roman" w:cstheme="majorBidi"/>
      <w:b/>
      <w:szCs w:val="40"/>
    </w:rPr>
  </w:style>
  <w:style w:type="paragraph" w:styleId="Ttulo2">
    <w:name w:val="heading 2"/>
    <w:basedOn w:val="Normal"/>
    <w:next w:val="Normal"/>
    <w:link w:val="Ttulo2Char"/>
    <w:uiPriority w:val="9"/>
    <w:semiHidden/>
    <w:unhideWhenUsed/>
    <w:qFormat/>
    <w:rsid w:val="002963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963B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963B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963B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963B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963B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963B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963B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43E1B"/>
    <w:rPr>
      <w:rFonts w:ascii="Times New Roman" w:eastAsiaTheme="majorEastAsia" w:hAnsi="Times New Roman" w:cstheme="majorBidi"/>
      <w:b/>
      <w:szCs w:val="40"/>
    </w:rPr>
  </w:style>
  <w:style w:type="character" w:customStyle="1" w:styleId="Ttulo2Char">
    <w:name w:val="Título 2 Char"/>
    <w:basedOn w:val="Fontepargpadro"/>
    <w:link w:val="Ttulo2"/>
    <w:uiPriority w:val="9"/>
    <w:semiHidden/>
    <w:rsid w:val="002963B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963B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963B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963B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963B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963B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963B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963B8"/>
    <w:rPr>
      <w:rFonts w:eastAsiaTheme="majorEastAsia" w:cstheme="majorBidi"/>
      <w:color w:val="272727" w:themeColor="text1" w:themeTint="D8"/>
    </w:rPr>
  </w:style>
  <w:style w:type="paragraph" w:styleId="Ttulo">
    <w:name w:val="Title"/>
    <w:basedOn w:val="Normal"/>
    <w:next w:val="Normal"/>
    <w:link w:val="TtuloChar"/>
    <w:uiPriority w:val="10"/>
    <w:qFormat/>
    <w:rsid w:val="002963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963B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963B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963B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963B8"/>
    <w:pPr>
      <w:spacing w:before="160"/>
      <w:jc w:val="center"/>
    </w:pPr>
    <w:rPr>
      <w:i/>
      <w:iCs/>
      <w:color w:val="404040" w:themeColor="text1" w:themeTint="BF"/>
    </w:rPr>
  </w:style>
  <w:style w:type="character" w:customStyle="1" w:styleId="CitaoChar">
    <w:name w:val="Citação Char"/>
    <w:basedOn w:val="Fontepargpadro"/>
    <w:link w:val="Citao"/>
    <w:uiPriority w:val="29"/>
    <w:rsid w:val="002963B8"/>
    <w:rPr>
      <w:i/>
      <w:iCs/>
      <w:color w:val="404040" w:themeColor="text1" w:themeTint="BF"/>
    </w:rPr>
  </w:style>
  <w:style w:type="paragraph" w:styleId="PargrafodaLista">
    <w:name w:val="List Paragraph"/>
    <w:basedOn w:val="Normal"/>
    <w:uiPriority w:val="34"/>
    <w:qFormat/>
    <w:rsid w:val="002963B8"/>
    <w:pPr>
      <w:ind w:left="720"/>
      <w:contextualSpacing/>
    </w:pPr>
  </w:style>
  <w:style w:type="character" w:styleId="nfaseIntensa">
    <w:name w:val="Intense Emphasis"/>
    <w:basedOn w:val="Fontepargpadro"/>
    <w:uiPriority w:val="21"/>
    <w:qFormat/>
    <w:rsid w:val="002963B8"/>
    <w:rPr>
      <w:i/>
      <w:iCs/>
      <w:color w:val="0F4761" w:themeColor="accent1" w:themeShade="BF"/>
    </w:rPr>
  </w:style>
  <w:style w:type="paragraph" w:styleId="CitaoIntensa">
    <w:name w:val="Intense Quote"/>
    <w:basedOn w:val="Normal"/>
    <w:next w:val="Normal"/>
    <w:link w:val="CitaoIntensaChar"/>
    <w:uiPriority w:val="30"/>
    <w:qFormat/>
    <w:rsid w:val="002963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963B8"/>
    <w:rPr>
      <w:i/>
      <w:iCs/>
      <w:color w:val="0F4761" w:themeColor="accent1" w:themeShade="BF"/>
    </w:rPr>
  </w:style>
  <w:style w:type="character" w:styleId="RefernciaIntensa">
    <w:name w:val="Intense Reference"/>
    <w:basedOn w:val="Fontepargpadro"/>
    <w:uiPriority w:val="32"/>
    <w:qFormat/>
    <w:rsid w:val="002963B8"/>
    <w:rPr>
      <w:b/>
      <w:bCs/>
      <w:smallCaps/>
      <w:color w:val="0F4761" w:themeColor="accent1" w:themeShade="BF"/>
      <w:spacing w:val="5"/>
    </w:rPr>
  </w:style>
  <w:style w:type="paragraph" w:styleId="Bibliografia">
    <w:name w:val="Bibliography"/>
    <w:basedOn w:val="Normal"/>
    <w:next w:val="Normal"/>
    <w:uiPriority w:val="37"/>
    <w:unhideWhenUsed/>
    <w:rsid w:val="002963B8"/>
    <w:pPr>
      <w:spacing w:after="240" w:line="240" w:lineRule="auto"/>
    </w:pPr>
  </w:style>
  <w:style w:type="paragraph" w:styleId="CabealhodoSumrio">
    <w:name w:val="TOC Heading"/>
    <w:basedOn w:val="Ttulo1"/>
    <w:next w:val="Normal"/>
    <w:uiPriority w:val="39"/>
    <w:unhideWhenUsed/>
    <w:qFormat/>
    <w:rsid w:val="00043E1B"/>
    <w:pPr>
      <w:spacing w:before="240" w:after="0" w:line="259" w:lineRule="auto"/>
      <w:outlineLvl w:val="9"/>
    </w:pPr>
    <w:rPr>
      <w:rFonts w:asciiTheme="majorHAnsi" w:hAnsiTheme="majorHAnsi"/>
      <w:b w:val="0"/>
      <w:color w:val="0F4761" w:themeColor="accent1" w:themeShade="BF"/>
      <w:kern w:val="0"/>
      <w:sz w:val="32"/>
      <w:szCs w:val="32"/>
      <w:lang w:eastAsia="pt-BR"/>
      <w14:ligatures w14:val="none"/>
    </w:rPr>
  </w:style>
  <w:style w:type="paragraph" w:styleId="Sumrio1">
    <w:name w:val="toc 1"/>
    <w:basedOn w:val="Normal"/>
    <w:next w:val="Normal"/>
    <w:autoRedefine/>
    <w:uiPriority w:val="39"/>
    <w:unhideWhenUsed/>
    <w:rsid w:val="00043E1B"/>
    <w:pPr>
      <w:spacing w:after="100"/>
    </w:pPr>
  </w:style>
  <w:style w:type="character" w:styleId="Hyperlink">
    <w:name w:val="Hyperlink"/>
    <w:basedOn w:val="Fontepargpadro"/>
    <w:uiPriority w:val="99"/>
    <w:unhideWhenUsed/>
    <w:rsid w:val="00043E1B"/>
    <w:rPr>
      <w:color w:val="467886" w:themeColor="hyperlink"/>
      <w:u w:val="single"/>
    </w:rPr>
  </w:style>
  <w:style w:type="character" w:styleId="TextodoEspaoReservado">
    <w:name w:val="Placeholder Text"/>
    <w:basedOn w:val="Fontepargpadro"/>
    <w:uiPriority w:val="99"/>
    <w:semiHidden/>
    <w:rsid w:val="00277B0C"/>
    <w:rPr>
      <w:color w:val="666666"/>
    </w:rPr>
  </w:style>
  <w:style w:type="table" w:styleId="Tabelacomgrade">
    <w:name w:val="Table Grid"/>
    <w:basedOn w:val="Tabelanormal"/>
    <w:uiPriority w:val="39"/>
    <w:rsid w:val="00D415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oPendente">
    <w:name w:val="Unresolved Mention"/>
    <w:basedOn w:val="Fontepargpadro"/>
    <w:uiPriority w:val="99"/>
    <w:semiHidden/>
    <w:unhideWhenUsed/>
    <w:rsid w:val="00AA67C6"/>
    <w:rPr>
      <w:color w:val="605E5C"/>
      <w:shd w:val="clear" w:color="auto" w:fill="E1DFDD"/>
    </w:rPr>
  </w:style>
  <w:style w:type="paragraph" w:styleId="NormalWeb">
    <w:name w:val="Normal (Web)"/>
    <w:basedOn w:val="Normal"/>
    <w:uiPriority w:val="99"/>
    <w:semiHidden/>
    <w:unhideWhenUsed/>
    <w:rsid w:val="00E46E8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7781">
      <w:bodyDiv w:val="1"/>
      <w:marLeft w:val="0"/>
      <w:marRight w:val="0"/>
      <w:marTop w:val="0"/>
      <w:marBottom w:val="0"/>
      <w:divBdr>
        <w:top w:val="none" w:sz="0" w:space="0" w:color="auto"/>
        <w:left w:val="none" w:sz="0" w:space="0" w:color="auto"/>
        <w:bottom w:val="none" w:sz="0" w:space="0" w:color="auto"/>
        <w:right w:val="none" w:sz="0" w:space="0" w:color="auto"/>
      </w:divBdr>
    </w:div>
    <w:div w:id="8341210">
      <w:bodyDiv w:val="1"/>
      <w:marLeft w:val="0"/>
      <w:marRight w:val="0"/>
      <w:marTop w:val="0"/>
      <w:marBottom w:val="0"/>
      <w:divBdr>
        <w:top w:val="none" w:sz="0" w:space="0" w:color="auto"/>
        <w:left w:val="none" w:sz="0" w:space="0" w:color="auto"/>
        <w:bottom w:val="none" w:sz="0" w:space="0" w:color="auto"/>
        <w:right w:val="none" w:sz="0" w:space="0" w:color="auto"/>
      </w:divBdr>
    </w:div>
    <w:div w:id="35391752">
      <w:bodyDiv w:val="1"/>
      <w:marLeft w:val="0"/>
      <w:marRight w:val="0"/>
      <w:marTop w:val="0"/>
      <w:marBottom w:val="0"/>
      <w:divBdr>
        <w:top w:val="none" w:sz="0" w:space="0" w:color="auto"/>
        <w:left w:val="none" w:sz="0" w:space="0" w:color="auto"/>
        <w:bottom w:val="none" w:sz="0" w:space="0" w:color="auto"/>
        <w:right w:val="none" w:sz="0" w:space="0" w:color="auto"/>
      </w:divBdr>
    </w:div>
    <w:div w:id="77674039">
      <w:bodyDiv w:val="1"/>
      <w:marLeft w:val="0"/>
      <w:marRight w:val="0"/>
      <w:marTop w:val="0"/>
      <w:marBottom w:val="0"/>
      <w:divBdr>
        <w:top w:val="none" w:sz="0" w:space="0" w:color="auto"/>
        <w:left w:val="none" w:sz="0" w:space="0" w:color="auto"/>
        <w:bottom w:val="none" w:sz="0" w:space="0" w:color="auto"/>
        <w:right w:val="none" w:sz="0" w:space="0" w:color="auto"/>
      </w:divBdr>
    </w:div>
    <w:div w:id="98070398">
      <w:bodyDiv w:val="1"/>
      <w:marLeft w:val="0"/>
      <w:marRight w:val="0"/>
      <w:marTop w:val="0"/>
      <w:marBottom w:val="0"/>
      <w:divBdr>
        <w:top w:val="none" w:sz="0" w:space="0" w:color="auto"/>
        <w:left w:val="none" w:sz="0" w:space="0" w:color="auto"/>
        <w:bottom w:val="none" w:sz="0" w:space="0" w:color="auto"/>
        <w:right w:val="none" w:sz="0" w:space="0" w:color="auto"/>
      </w:divBdr>
    </w:div>
    <w:div w:id="106583099">
      <w:bodyDiv w:val="1"/>
      <w:marLeft w:val="0"/>
      <w:marRight w:val="0"/>
      <w:marTop w:val="0"/>
      <w:marBottom w:val="0"/>
      <w:divBdr>
        <w:top w:val="none" w:sz="0" w:space="0" w:color="auto"/>
        <w:left w:val="none" w:sz="0" w:space="0" w:color="auto"/>
        <w:bottom w:val="none" w:sz="0" w:space="0" w:color="auto"/>
        <w:right w:val="none" w:sz="0" w:space="0" w:color="auto"/>
      </w:divBdr>
    </w:div>
    <w:div w:id="112602549">
      <w:bodyDiv w:val="1"/>
      <w:marLeft w:val="0"/>
      <w:marRight w:val="0"/>
      <w:marTop w:val="0"/>
      <w:marBottom w:val="0"/>
      <w:divBdr>
        <w:top w:val="none" w:sz="0" w:space="0" w:color="auto"/>
        <w:left w:val="none" w:sz="0" w:space="0" w:color="auto"/>
        <w:bottom w:val="none" w:sz="0" w:space="0" w:color="auto"/>
        <w:right w:val="none" w:sz="0" w:space="0" w:color="auto"/>
      </w:divBdr>
    </w:div>
    <w:div w:id="212933785">
      <w:bodyDiv w:val="1"/>
      <w:marLeft w:val="0"/>
      <w:marRight w:val="0"/>
      <w:marTop w:val="0"/>
      <w:marBottom w:val="0"/>
      <w:divBdr>
        <w:top w:val="none" w:sz="0" w:space="0" w:color="auto"/>
        <w:left w:val="none" w:sz="0" w:space="0" w:color="auto"/>
        <w:bottom w:val="none" w:sz="0" w:space="0" w:color="auto"/>
        <w:right w:val="none" w:sz="0" w:space="0" w:color="auto"/>
      </w:divBdr>
    </w:div>
    <w:div w:id="215360394">
      <w:bodyDiv w:val="1"/>
      <w:marLeft w:val="0"/>
      <w:marRight w:val="0"/>
      <w:marTop w:val="0"/>
      <w:marBottom w:val="0"/>
      <w:divBdr>
        <w:top w:val="none" w:sz="0" w:space="0" w:color="auto"/>
        <w:left w:val="none" w:sz="0" w:space="0" w:color="auto"/>
        <w:bottom w:val="none" w:sz="0" w:space="0" w:color="auto"/>
        <w:right w:val="none" w:sz="0" w:space="0" w:color="auto"/>
      </w:divBdr>
    </w:div>
    <w:div w:id="249972048">
      <w:bodyDiv w:val="1"/>
      <w:marLeft w:val="0"/>
      <w:marRight w:val="0"/>
      <w:marTop w:val="0"/>
      <w:marBottom w:val="0"/>
      <w:divBdr>
        <w:top w:val="none" w:sz="0" w:space="0" w:color="auto"/>
        <w:left w:val="none" w:sz="0" w:space="0" w:color="auto"/>
        <w:bottom w:val="none" w:sz="0" w:space="0" w:color="auto"/>
        <w:right w:val="none" w:sz="0" w:space="0" w:color="auto"/>
      </w:divBdr>
    </w:div>
    <w:div w:id="264654812">
      <w:bodyDiv w:val="1"/>
      <w:marLeft w:val="0"/>
      <w:marRight w:val="0"/>
      <w:marTop w:val="0"/>
      <w:marBottom w:val="0"/>
      <w:divBdr>
        <w:top w:val="none" w:sz="0" w:space="0" w:color="auto"/>
        <w:left w:val="none" w:sz="0" w:space="0" w:color="auto"/>
        <w:bottom w:val="none" w:sz="0" w:space="0" w:color="auto"/>
        <w:right w:val="none" w:sz="0" w:space="0" w:color="auto"/>
      </w:divBdr>
    </w:div>
    <w:div w:id="270212132">
      <w:bodyDiv w:val="1"/>
      <w:marLeft w:val="0"/>
      <w:marRight w:val="0"/>
      <w:marTop w:val="0"/>
      <w:marBottom w:val="0"/>
      <w:divBdr>
        <w:top w:val="none" w:sz="0" w:space="0" w:color="auto"/>
        <w:left w:val="none" w:sz="0" w:space="0" w:color="auto"/>
        <w:bottom w:val="none" w:sz="0" w:space="0" w:color="auto"/>
        <w:right w:val="none" w:sz="0" w:space="0" w:color="auto"/>
      </w:divBdr>
    </w:div>
    <w:div w:id="282929017">
      <w:bodyDiv w:val="1"/>
      <w:marLeft w:val="0"/>
      <w:marRight w:val="0"/>
      <w:marTop w:val="0"/>
      <w:marBottom w:val="0"/>
      <w:divBdr>
        <w:top w:val="none" w:sz="0" w:space="0" w:color="auto"/>
        <w:left w:val="none" w:sz="0" w:space="0" w:color="auto"/>
        <w:bottom w:val="none" w:sz="0" w:space="0" w:color="auto"/>
        <w:right w:val="none" w:sz="0" w:space="0" w:color="auto"/>
      </w:divBdr>
    </w:div>
    <w:div w:id="312486101">
      <w:bodyDiv w:val="1"/>
      <w:marLeft w:val="0"/>
      <w:marRight w:val="0"/>
      <w:marTop w:val="0"/>
      <w:marBottom w:val="0"/>
      <w:divBdr>
        <w:top w:val="none" w:sz="0" w:space="0" w:color="auto"/>
        <w:left w:val="none" w:sz="0" w:space="0" w:color="auto"/>
        <w:bottom w:val="none" w:sz="0" w:space="0" w:color="auto"/>
        <w:right w:val="none" w:sz="0" w:space="0" w:color="auto"/>
      </w:divBdr>
    </w:div>
    <w:div w:id="313923100">
      <w:bodyDiv w:val="1"/>
      <w:marLeft w:val="0"/>
      <w:marRight w:val="0"/>
      <w:marTop w:val="0"/>
      <w:marBottom w:val="0"/>
      <w:divBdr>
        <w:top w:val="none" w:sz="0" w:space="0" w:color="auto"/>
        <w:left w:val="none" w:sz="0" w:space="0" w:color="auto"/>
        <w:bottom w:val="none" w:sz="0" w:space="0" w:color="auto"/>
        <w:right w:val="none" w:sz="0" w:space="0" w:color="auto"/>
      </w:divBdr>
    </w:div>
    <w:div w:id="317156413">
      <w:bodyDiv w:val="1"/>
      <w:marLeft w:val="0"/>
      <w:marRight w:val="0"/>
      <w:marTop w:val="0"/>
      <w:marBottom w:val="0"/>
      <w:divBdr>
        <w:top w:val="none" w:sz="0" w:space="0" w:color="auto"/>
        <w:left w:val="none" w:sz="0" w:space="0" w:color="auto"/>
        <w:bottom w:val="none" w:sz="0" w:space="0" w:color="auto"/>
        <w:right w:val="none" w:sz="0" w:space="0" w:color="auto"/>
      </w:divBdr>
    </w:div>
    <w:div w:id="360278880">
      <w:bodyDiv w:val="1"/>
      <w:marLeft w:val="0"/>
      <w:marRight w:val="0"/>
      <w:marTop w:val="0"/>
      <w:marBottom w:val="0"/>
      <w:divBdr>
        <w:top w:val="none" w:sz="0" w:space="0" w:color="auto"/>
        <w:left w:val="none" w:sz="0" w:space="0" w:color="auto"/>
        <w:bottom w:val="none" w:sz="0" w:space="0" w:color="auto"/>
        <w:right w:val="none" w:sz="0" w:space="0" w:color="auto"/>
      </w:divBdr>
    </w:div>
    <w:div w:id="375743922">
      <w:bodyDiv w:val="1"/>
      <w:marLeft w:val="0"/>
      <w:marRight w:val="0"/>
      <w:marTop w:val="0"/>
      <w:marBottom w:val="0"/>
      <w:divBdr>
        <w:top w:val="none" w:sz="0" w:space="0" w:color="auto"/>
        <w:left w:val="none" w:sz="0" w:space="0" w:color="auto"/>
        <w:bottom w:val="none" w:sz="0" w:space="0" w:color="auto"/>
        <w:right w:val="none" w:sz="0" w:space="0" w:color="auto"/>
      </w:divBdr>
    </w:div>
    <w:div w:id="395052236">
      <w:bodyDiv w:val="1"/>
      <w:marLeft w:val="0"/>
      <w:marRight w:val="0"/>
      <w:marTop w:val="0"/>
      <w:marBottom w:val="0"/>
      <w:divBdr>
        <w:top w:val="none" w:sz="0" w:space="0" w:color="auto"/>
        <w:left w:val="none" w:sz="0" w:space="0" w:color="auto"/>
        <w:bottom w:val="none" w:sz="0" w:space="0" w:color="auto"/>
        <w:right w:val="none" w:sz="0" w:space="0" w:color="auto"/>
      </w:divBdr>
    </w:div>
    <w:div w:id="395516375">
      <w:bodyDiv w:val="1"/>
      <w:marLeft w:val="0"/>
      <w:marRight w:val="0"/>
      <w:marTop w:val="0"/>
      <w:marBottom w:val="0"/>
      <w:divBdr>
        <w:top w:val="none" w:sz="0" w:space="0" w:color="auto"/>
        <w:left w:val="none" w:sz="0" w:space="0" w:color="auto"/>
        <w:bottom w:val="none" w:sz="0" w:space="0" w:color="auto"/>
        <w:right w:val="none" w:sz="0" w:space="0" w:color="auto"/>
      </w:divBdr>
    </w:div>
    <w:div w:id="400562784">
      <w:bodyDiv w:val="1"/>
      <w:marLeft w:val="0"/>
      <w:marRight w:val="0"/>
      <w:marTop w:val="0"/>
      <w:marBottom w:val="0"/>
      <w:divBdr>
        <w:top w:val="none" w:sz="0" w:space="0" w:color="auto"/>
        <w:left w:val="none" w:sz="0" w:space="0" w:color="auto"/>
        <w:bottom w:val="none" w:sz="0" w:space="0" w:color="auto"/>
        <w:right w:val="none" w:sz="0" w:space="0" w:color="auto"/>
      </w:divBdr>
    </w:div>
    <w:div w:id="403334643">
      <w:bodyDiv w:val="1"/>
      <w:marLeft w:val="0"/>
      <w:marRight w:val="0"/>
      <w:marTop w:val="0"/>
      <w:marBottom w:val="0"/>
      <w:divBdr>
        <w:top w:val="none" w:sz="0" w:space="0" w:color="auto"/>
        <w:left w:val="none" w:sz="0" w:space="0" w:color="auto"/>
        <w:bottom w:val="none" w:sz="0" w:space="0" w:color="auto"/>
        <w:right w:val="none" w:sz="0" w:space="0" w:color="auto"/>
      </w:divBdr>
    </w:div>
    <w:div w:id="403574560">
      <w:bodyDiv w:val="1"/>
      <w:marLeft w:val="0"/>
      <w:marRight w:val="0"/>
      <w:marTop w:val="0"/>
      <w:marBottom w:val="0"/>
      <w:divBdr>
        <w:top w:val="none" w:sz="0" w:space="0" w:color="auto"/>
        <w:left w:val="none" w:sz="0" w:space="0" w:color="auto"/>
        <w:bottom w:val="none" w:sz="0" w:space="0" w:color="auto"/>
        <w:right w:val="none" w:sz="0" w:space="0" w:color="auto"/>
      </w:divBdr>
    </w:div>
    <w:div w:id="403845411">
      <w:bodyDiv w:val="1"/>
      <w:marLeft w:val="0"/>
      <w:marRight w:val="0"/>
      <w:marTop w:val="0"/>
      <w:marBottom w:val="0"/>
      <w:divBdr>
        <w:top w:val="none" w:sz="0" w:space="0" w:color="auto"/>
        <w:left w:val="none" w:sz="0" w:space="0" w:color="auto"/>
        <w:bottom w:val="none" w:sz="0" w:space="0" w:color="auto"/>
        <w:right w:val="none" w:sz="0" w:space="0" w:color="auto"/>
      </w:divBdr>
    </w:div>
    <w:div w:id="408506578">
      <w:bodyDiv w:val="1"/>
      <w:marLeft w:val="0"/>
      <w:marRight w:val="0"/>
      <w:marTop w:val="0"/>
      <w:marBottom w:val="0"/>
      <w:divBdr>
        <w:top w:val="none" w:sz="0" w:space="0" w:color="auto"/>
        <w:left w:val="none" w:sz="0" w:space="0" w:color="auto"/>
        <w:bottom w:val="none" w:sz="0" w:space="0" w:color="auto"/>
        <w:right w:val="none" w:sz="0" w:space="0" w:color="auto"/>
      </w:divBdr>
    </w:div>
    <w:div w:id="427771976">
      <w:bodyDiv w:val="1"/>
      <w:marLeft w:val="0"/>
      <w:marRight w:val="0"/>
      <w:marTop w:val="0"/>
      <w:marBottom w:val="0"/>
      <w:divBdr>
        <w:top w:val="none" w:sz="0" w:space="0" w:color="auto"/>
        <w:left w:val="none" w:sz="0" w:space="0" w:color="auto"/>
        <w:bottom w:val="none" w:sz="0" w:space="0" w:color="auto"/>
        <w:right w:val="none" w:sz="0" w:space="0" w:color="auto"/>
      </w:divBdr>
    </w:div>
    <w:div w:id="440732548">
      <w:bodyDiv w:val="1"/>
      <w:marLeft w:val="0"/>
      <w:marRight w:val="0"/>
      <w:marTop w:val="0"/>
      <w:marBottom w:val="0"/>
      <w:divBdr>
        <w:top w:val="none" w:sz="0" w:space="0" w:color="auto"/>
        <w:left w:val="none" w:sz="0" w:space="0" w:color="auto"/>
        <w:bottom w:val="none" w:sz="0" w:space="0" w:color="auto"/>
        <w:right w:val="none" w:sz="0" w:space="0" w:color="auto"/>
      </w:divBdr>
    </w:div>
    <w:div w:id="467743531">
      <w:bodyDiv w:val="1"/>
      <w:marLeft w:val="0"/>
      <w:marRight w:val="0"/>
      <w:marTop w:val="0"/>
      <w:marBottom w:val="0"/>
      <w:divBdr>
        <w:top w:val="none" w:sz="0" w:space="0" w:color="auto"/>
        <w:left w:val="none" w:sz="0" w:space="0" w:color="auto"/>
        <w:bottom w:val="none" w:sz="0" w:space="0" w:color="auto"/>
        <w:right w:val="none" w:sz="0" w:space="0" w:color="auto"/>
      </w:divBdr>
    </w:div>
    <w:div w:id="483862065">
      <w:bodyDiv w:val="1"/>
      <w:marLeft w:val="0"/>
      <w:marRight w:val="0"/>
      <w:marTop w:val="0"/>
      <w:marBottom w:val="0"/>
      <w:divBdr>
        <w:top w:val="none" w:sz="0" w:space="0" w:color="auto"/>
        <w:left w:val="none" w:sz="0" w:space="0" w:color="auto"/>
        <w:bottom w:val="none" w:sz="0" w:space="0" w:color="auto"/>
        <w:right w:val="none" w:sz="0" w:space="0" w:color="auto"/>
      </w:divBdr>
    </w:div>
    <w:div w:id="487864208">
      <w:bodyDiv w:val="1"/>
      <w:marLeft w:val="0"/>
      <w:marRight w:val="0"/>
      <w:marTop w:val="0"/>
      <w:marBottom w:val="0"/>
      <w:divBdr>
        <w:top w:val="none" w:sz="0" w:space="0" w:color="auto"/>
        <w:left w:val="none" w:sz="0" w:space="0" w:color="auto"/>
        <w:bottom w:val="none" w:sz="0" w:space="0" w:color="auto"/>
        <w:right w:val="none" w:sz="0" w:space="0" w:color="auto"/>
      </w:divBdr>
    </w:div>
    <w:div w:id="496463578">
      <w:bodyDiv w:val="1"/>
      <w:marLeft w:val="0"/>
      <w:marRight w:val="0"/>
      <w:marTop w:val="0"/>
      <w:marBottom w:val="0"/>
      <w:divBdr>
        <w:top w:val="none" w:sz="0" w:space="0" w:color="auto"/>
        <w:left w:val="none" w:sz="0" w:space="0" w:color="auto"/>
        <w:bottom w:val="none" w:sz="0" w:space="0" w:color="auto"/>
        <w:right w:val="none" w:sz="0" w:space="0" w:color="auto"/>
      </w:divBdr>
    </w:div>
    <w:div w:id="517548575">
      <w:bodyDiv w:val="1"/>
      <w:marLeft w:val="0"/>
      <w:marRight w:val="0"/>
      <w:marTop w:val="0"/>
      <w:marBottom w:val="0"/>
      <w:divBdr>
        <w:top w:val="none" w:sz="0" w:space="0" w:color="auto"/>
        <w:left w:val="none" w:sz="0" w:space="0" w:color="auto"/>
        <w:bottom w:val="none" w:sz="0" w:space="0" w:color="auto"/>
        <w:right w:val="none" w:sz="0" w:space="0" w:color="auto"/>
      </w:divBdr>
    </w:div>
    <w:div w:id="525295038">
      <w:bodyDiv w:val="1"/>
      <w:marLeft w:val="0"/>
      <w:marRight w:val="0"/>
      <w:marTop w:val="0"/>
      <w:marBottom w:val="0"/>
      <w:divBdr>
        <w:top w:val="none" w:sz="0" w:space="0" w:color="auto"/>
        <w:left w:val="none" w:sz="0" w:space="0" w:color="auto"/>
        <w:bottom w:val="none" w:sz="0" w:space="0" w:color="auto"/>
        <w:right w:val="none" w:sz="0" w:space="0" w:color="auto"/>
      </w:divBdr>
    </w:div>
    <w:div w:id="526721292">
      <w:bodyDiv w:val="1"/>
      <w:marLeft w:val="0"/>
      <w:marRight w:val="0"/>
      <w:marTop w:val="0"/>
      <w:marBottom w:val="0"/>
      <w:divBdr>
        <w:top w:val="none" w:sz="0" w:space="0" w:color="auto"/>
        <w:left w:val="none" w:sz="0" w:space="0" w:color="auto"/>
        <w:bottom w:val="none" w:sz="0" w:space="0" w:color="auto"/>
        <w:right w:val="none" w:sz="0" w:space="0" w:color="auto"/>
      </w:divBdr>
    </w:div>
    <w:div w:id="529532060">
      <w:bodyDiv w:val="1"/>
      <w:marLeft w:val="0"/>
      <w:marRight w:val="0"/>
      <w:marTop w:val="0"/>
      <w:marBottom w:val="0"/>
      <w:divBdr>
        <w:top w:val="none" w:sz="0" w:space="0" w:color="auto"/>
        <w:left w:val="none" w:sz="0" w:space="0" w:color="auto"/>
        <w:bottom w:val="none" w:sz="0" w:space="0" w:color="auto"/>
        <w:right w:val="none" w:sz="0" w:space="0" w:color="auto"/>
      </w:divBdr>
    </w:div>
    <w:div w:id="531503572">
      <w:bodyDiv w:val="1"/>
      <w:marLeft w:val="0"/>
      <w:marRight w:val="0"/>
      <w:marTop w:val="0"/>
      <w:marBottom w:val="0"/>
      <w:divBdr>
        <w:top w:val="none" w:sz="0" w:space="0" w:color="auto"/>
        <w:left w:val="none" w:sz="0" w:space="0" w:color="auto"/>
        <w:bottom w:val="none" w:sz="0" w:space="0" w:color="auto"/>
        <w:right w:val="none" w:sz="0" w:space="0" w:color="auto"/>
      </w:divBdr>
    </w:div>
    <w:div w:id="533424797">
      <w:bodyDiv w:val="1"/>
      <w:marLeft w:val="0"/>
      <w:marRight w:val="0"/>
      <w:marTop w:val="0"/>
      <w:marBottom w:val="0"/>
      <w:divBdr>
        <w:top w:val="none" w:sz="0" w:space="0" w:color="auto"/>
        <w:left w:val="none" w:sz="0" w:space="0" w:color="auto"/>
        <w:bottom w:val="none" w:sz="0" w:space="0" w:color="auto"/>
        <w:right w:val="none" w:sz="0" w:space="0" w:color="auto"/>
      </w:divBdr>
    </w:div>
    <w:div w:id="542835089">
      <w:bodyDiv w:val="1"/>
      <w:marLeft w:val="0"/>
      <w:marRight w:val="0"/>
      <w:marTop w:val="0"/>
      <w:marBottom w:val="0"/>
      <w:divBdr>
        <w:top w:val="none" w:sz="0" w:space="0" w:color="auto"/>
        <w:left w:val="none" w:sz="0" w:space="0" w:color="auto"/>
        <w:bottom w:val="none" w:sz="0" w:space="0" w:color="auto"/>
        <w:right w:val="none" w:sz="0" w:space="0" w:color="auto"/>
      </w:divBdr>
    </w:div>
    <w:div w:id="543904138">
      <w:bodyDiv w:val="1"/>
      <w:marLeft w:val="0"/>
      <w:marRight w:val="0"/>
      <w:marTop w:val="0"/>
      <w:marBottom w:val="0"/>
      <w:divBdr>
        <w:top w:val="none" w:sz="0" w:space="0" w:color="auto"/>
        <w:left w:val="none" w:sz="0" w:space="0" w:color="auto"/>
        <w:bottom w:val="none" w:sz="0" w:space="0" w:color="auto"/>
        <w:right w:val="none" w:sz="0" w:space="0" w:color="auto"/>
      </w:divBdr>
    </w:div>
    <w:div w:id="559636338">
      <w:bodyDiv w:val="1"/>
      <w:marLeft w:val="0"/>
      <w:marRight w:val="0"/>
      <w:marTop w:val="0"/>
      <w:marBottom w:val="0"/>
      <w:divBdr>
        <w:top w:val="none" w:sz="0" w:space="0" w:color="auto"/>
        <w:left w:val="none" w:sz="0" w:space="0" w:color="auto"/>
        <w:bottom w:val="none" w:sz="0" w:space="0" w:color="auto"/>
        <w:right w:val="none" w:sz="0" w:space="0" w:color="auto"/>
      </w:divBdr>
    </w:div>
    <w:div w:id="568073390">
      <w:bodyDiv w:val="1"/>
      <w:marLeft w:val="0"/>
      <w:marRight w:val="0"/>
      <w:marTop w:val="0"/>
      <w:marBottom w:val="0"/>
      <w:divBdr>
        <w:top w:val="none" w:sz="0" w:space="0" w:color="auto"/>
        <w:left w:val="none" w:sz="0" w:space="0" w:color="auto"/>
        <w:bottom w:val="none" w:sz="0" w:space="0" w:color="auto"/>
        <w:right w:val="none" w:sz="0" w:space="0" w:color="auto"/>
      </w:divBdr>
    </w:div>
    <w:div w:id="590748136">
      <w:bodyDiv w:val="1"/>
      <w:marLeft w:val="0"/>
      <w:marRight w:val="0"/>
      <w:marTop w:val="0"/>
      <w:marBottom w:val="0"/>
      <w:divBdr>
        <w:top w:val="none" w:sz="0" w:space="0" w:color="auto"/>
        <w:left w:val="none" w:sz="0" w:space="0" w:color="auto"/>
        <w:bottom w:val="none" w:sz="0" w:space="0" w:color="auto"/>
        <w:right w:val="none" w:sz="0" w:space="0" w:color="auto"/>
      </w:divBdr>
    </w:div>
    <w:div w:id="669481272">
      <w:bodyDiv w:val="1"/>
      <w:marLeft w:val="0"/>
      <w:marRight w:val="0"/>
      <w:marTop w:val="0"/>
      <w:marBottom w:val="0"/>
      <w:divBdr>
        <w:top w:val="none" w:sz="0" w:space="0" w:color="auto"/>
        <w:left w:val="none" w:sz="0" w:space="0" w:color="auto"/>
        <w:bottom w:val="none" w:sz="0" w:space="0" w:color="auto"/>
        <w:right w:val="none" w:sz="0" w:space="0" w:color="auto"/>
      </w:divBdr>
    </w:div>
    <w:div w:id="721490300">
      <w:bodyDiv w:val="1"/>
      <w:marLeft w:val="0"/>
      <w:marRight w:val="0"/>
      <w:marTop w:val="0"/>
      <w:marBottom w:val="0"/>
      <w:divBdr>
        <w:top w:val="none" w:sz="0" w:space="0" w:color="auto"/>
        <w:left w:val="none" w:sz="0" w:space="0" w:color="auto"/>
        <w:bottom w:val="none" w:sz="0" w:space="0" w:color="auto"/>
        <w:right w:val="none" w:sz="0" w:space="0" w:color="auto"/>
      </w:divBdr>
    </w:div>
    <w:div w:id="748423311">
      <w:bodyDiv w:val="1"/>
      <w:marLeft w:val="0"/>
      <w:marRight w:val="0"/>
      <w:marTop w:val="0"/>
      <w:marBottom w:val="0"/>
      <w:divBdr>
        <w:top w:val="none" w:sz="0" w:space="0" w:color="auto"/>
        <w:left w:val="none" w:sz="0" w:space="0" w:color="auto"/>
        <w:bottom w:val="none" w:sz="0" w:space="0" w:color="auto"/>
        <w:right w:val="none" w:sz="0" w:space="0" w:color="auto"/>
      </w:divBdr>
    </w:div>
    <w:div w:id="775293641">
      <w:bodyDiv w:val="1"/>
      <w:marLeft w:val="0"/>
      <w:marRight w:val="0"/>
      <w:marTop w:val="0"/>
      <w:marBottom w:val="0"/>
      <w:divBdr>
        <w:top w:val="none" w:sz="0" w:space="0" w:color="auto"/>
        <w:left w:val="none" w:sz="0" w:space="0" w:color="auto"/>
        <w:bottom w:val="none" w:sz="0" w:space="0" w:color="auto"/>
        <w:right w:val="none" w:sz="0" w:space="0" w:color="auto"/>
      </w:divBdr>
    </w:div>
    <w:div w:id="778141427">
      <w:bodyDiv w:val="1"/>
      <w:marLeft w:val="0"/>
      <w:marRight w:val="0"/>
      <w:marTop w:val="0"/>
      <w:marBottom w:val="0"/>
      <w:divBdr>
        <w:top w:val="none" w:sz="0" w:space="0" w:color="auto"/>
        <w:left w:val="none" w:sz="0" w:space="0" w:color="auto"/>
        <w:bottom w:val="none" w:sz="0" w:space="0" w:color="auto"/>
        <w:right w:val="none" w:sz="0" w:space="0" w:color="auto"/>
      </w:divBdr>
    </w:div>
    <w:div w:id="784278214">
      <w:bodyDiv w:val="1"/>
      <w:marLeft w:val="0"/>
      <w:marRight w:val="0"/>
      <w:marTop w:val="0"/>
      <w:marBottom w:val="0"/>
      <w:divBdr>
        <w:top w:val="none" w:sz="0" w:space="0" w:color="auto"/>
        <w:left w:val="none" w:sz="0" w:space="0" w:color="auto"/>
        <w:bottom w:val="none" w:sz="0" w:space="0" w:color="auto"/>
        <w:right w:val="none" w:sz="0" w:space="0" w:color="auto"/>
      </w:divBdr>
    </w:div>
    <w:div w:id="818232472">
      <w:bodyDiv w:val="1"/>
      <w:marLeft w:val="0"/>
      <w:marRight w:val="0"/>
      <w:marTop w:val="0"/>
      <w:marBottom w:val="0"/>
      <w:divBdr>
        <w:top w:val="none" w:sz="0" w:space="0" w:color="auto"/>
        <w:left w:val="none" w:sz="0" w:space="0" w:color="auto"/>
        <w:bottom w:val="none" w:sz="0" w:space="0" w:color="auto"/>
        <w:right w:val="none" w:sz="0" w:space="0" w:color="auto"/>
      </w:divBdr>
    </w:div>
    <w:div w:id="835078397">
      <w:bodyDiv w:val="1"/>
      <w:marLeft w:val="0"/>
      <w:marRight w:val="0"/>
      <w:marTop w:val="0"/>
      <w:marBottom w:val="0"/>
      <w:divBdr>
        <w:top w:val="none" w:sz="0" w:space="0" w:color="auto"/>
        <w:left w:val="none" w:sz="0" w:space="0" w:color="auto"/>
        <w:bottom w:val="none" w:sz="0" w:space="0" w:color="auto"/>
        <w:right w:val="none" w:sz="0" w:space="0" w:color="auto"/>
      </w:divBdr>
    </w:div>
    <w:div w:id="836576497">
      <w:bodyDiv w:val="1"/>
      <w:marLeft w:val="0"/>
      <w:marRight w:val="0"/>
      <w:marTop w:val="0"/>
      <w:marBottom w:val="0"/>
      <w:divBdr>
        <w:top w:val="none" w:sz="0" w:space="0" w:color="auto"/>
        <w:left w:val="none" w:sz="0" w:space="0" w:color="auto"/>
        <w:bottom w:val="none" w:sz="0" w:space="0" w:color="auto"/>
        <w:right w:val="none" w:sz="0" w:space="0" w:color="auto"/>
      </w:divBdr>
    </w:div>
    <w:div w:id="838161491">
      <w:bodyDiv w:val="1"/>
      <w:marLeft w:val="0"/>
      <w:marRight w:val="0"/>
      <w:marTop w:val="0"/>
      <w:marBottom w:val="0"/>
      <w:divBdr>
        <w:top w:val="none" w:sz="0" w:space="0" w:color="auto"/>
        <w:left w:val="none" w:sz="0" w:space="0" w:color="auto"/>
        <w:bottom w:val="none" w:sz="0" w:space="0" w:color="auto"/>
        <w:right w:val="none" w:sz="0" w:space="0" w:color="auto"/>
      </w:divBdr>
    </w:div>
    <w:div w:id="840966381">
      <w:bodyDiv w:val="1"/>
      <w:marLeft w:val="0"/>
      <w:marRight w:val="0"/>
      <w:marTop w:val="0"/>
      <w:marBottom w:val="0"/>
      <w:divBdr>
        <w:top w:val="none" w:sz="0" w:space="0" w:color="auto"/>
        <w:left w:val="none" w:sz="0" w:space="0" w:color="auto"/>
        <w:bottom w:val="none" w:sz="0" w:space="0" w:color="auto"/>
        <w:right w:val="none" w:sz="0" w:space="0" w:color="auto"/>
      </w:divBdr>
    </w:div>
    <w:div w:id="844590560">
      <w:bodyDiv w:val="1"/>
      <w:marLeft w:val="0"/>
      <w:marRight w:val="0"/>
      <w:marTop w:val="0"/>
      <w:marBottom w:val="0"/>
      <w:divBdr>
        <w:top w:val="none" w:sz="0" w:space="0" w:color="auto"/>
        <w:left w:val="none" w:sz="0" w:space="0" w:color="auto"/>
        <w:bottom w:val="none" w:sz="0" w:space="0" w:color="auto"/>
        <w:right w:val="none" w:sz="0" w:space="0" w:color="auto"/>
      </w:divBdr>
    </w:div>
    <w:div w:id="859590815">
      <w:bodyDiv w:val="1"/>
      <w:marLeft w:val="0"/>
      <w:marRight w:val="0"/>
      <w:marTop w:val="0"/>
      <w:marBottom w:val="0"/>
      <w:divBdr>
        <w:top w:val="none" w:sz="0" w:space="0" w:color="auto"/>
        <w:left w:val="none" w:sz="0" w:space="0" w:color="auto"/>
        <w:bottom w:val="none" w:sz="0" w:space="0" w:color="auto"/>
        <w:right w:val="none" w:sz="0" w:space="0" w:color="auto"/>
      </w:divBdr>
    </w:div>
    <w:div w:id="921766132">
      <w:bodyDiv w:val="1"/>
      <w:marLeft w:val="0"/>
      <w:marRight w:val="0"/>
      <w:marTop w:val="0"/>
      <w:marBottom w:val="0"/>
      <w:divBdr>
        <w:top w:val="none" w:sz="0" w:space="0" w:color="auto"/>
        <w:left w:val="none" w:sz="0" w:space="0" w:color="auto"/>
        <w:bottom w:val="none" w:sz="0" w:space="0" w:color="auto"/>
        <w:right w:val="none" w:sz="0" w:space="0" w:color="auto"/>
      </w:divBdr>
    </w:div>
    <w:div w:id="939222183">
      <w:bodyDiv w:val="1"/>
      <w:marLeft w:val="0"/>
      <w:marRight w:val="0"/>
      <w:marTop w:val="0"/>
      <w:marBottom w:val="0"/>
      <w:divBdr>
        <w:top w:val="none" w:sz="0" w:space="0" w:color="auto"/>
        <w:left w:val="none" w:sz="0" w:space="0" w:color="auto"/>
        <w:bottom w:val="none" w:sz="0" w:space="0" w:color="auto"/>
        <w:right w:val="none" w:sz="0" w:space="0" w:color="auto"/>
      </w:divBdr>
    </w:div>
    <w:div w:id="991906719">
      <w:bodyDiv w:val="1"/>
      <w:marLeft w:val="0"/>
      <w:marRight w:val="0"/>
      <w:marTop w:val="0"/>
      <w:marBottom w:val="0"/>
      <w:divBdr>
        <w:top w:val="none" w:sz="0" w:space="0" w:color="auto"/>
        <w:left w:val="none" w:sz="0" w:space="0" w:color="auto"/>
        <w:bottom w:val="none" w:sz="0" w:space="0" w:color="auto"/>
        <w:right w:val="none" w:sz="0" w:space="0" w:color="auto"/>
      </w:divBdr>
    </w:div>
    <w:div w:id="1009982950">
      <w:bodyDiv w:val="1"/>
      <w:marLeft w:val="0"/>
      <w:marRight w:val="0"/>
      <w:marTop w:val="0"/>
      <w:marBottom w:val="0"/>
      <w:divBdr>
        <w:top w:val="none" w:sz="0" w:space="0" w:color="auto"/>
        <w:left w:val="none" w:sz="0" w:space="0" w:color="auto"/>
        <w:bottom w:val="none" w:sz="0" w:space="0" w:color="auto"/>
        <w:right w:val="none" w:sz="0" w:space="0" w:color="auto"/>
      </w:divBdr>
      <w:divsChild>
        <w:div w:id="964048047">
          <w:marLeft w:val="0"/>
          <w:marRight w:val="0"/>
          <w:marTop w:val="0"/>
          <w:marBottom w:val="0"/>
          <w:divBdr>
            <w:top w:val="none" w:sz="0" w:space="0" w:color="auto"/>
            <w:left w:val="none" w:sz="0" w:space="0" w:color="auto"/>
            <w:bottom w:val="none" w:sz="0" w:space="0" w:color="auto"/>
            <w:right w:val="none" w:sz="0" w:space="0" w:color="auto"/>
          </w:divBdr>
          <w:divsChild>
            <w:div w:id="157824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93432">
      <w:bodyDiv w:val="1"/>
      <w:marLeft w:val="0"/>
      <w:marRight w:val="0"/>
      <w:marTop w:val="0"/>
      <w:marBottom w:val="0"/>
      <w:divBdr>
        <w:top w:val="none" w:sz="0" w:space="0" w:color="auto"/>
        <w:left w:val="none" w:sz="0" w:space="0" w:color="auto"/>
        <w:bottom w:val="none" w:sz="0" w:space="0" w:color="auto"/>
        <w:right w:val="none" w:sz="0" w:space="0" w:color="auto"/>
      </w:divBdr>
    </w:div>
    <w:div w:id="1048913540">
      <w:bodyDiv w:val="1"/>
      <w:marLeft w:val="0"/>
      <w:marRight w:val="0"/>
      <w:marTop w:val="0"/>
      <w:marBottom w:val="0"/>
      <w:divBdr>
        <w:top w:val="none" w:sz="0" w:space="0" w:color="auto"/>
        <w:left w:val="none" w:sz="0" w:space="0" w:color="auto"/>
        <w:bottom w:val="none" w:sz="0" w:space="0" w:color="auto"/>
        <w:right w:val="none" w:sz="0" w:space="0" w:color="auto"/>
      </w:divBdr>
    </w:div>
    <w:div w:id="1052460236">
      <w:bodyDiv w:val="1"/>
      <w:marLeft w:val="0"/>
      <w:marRight w:val="0"/>
      <w:marTop w:val="0"/>
      <w:marBottom w:val="0"/>
      <w:divBdr>
        <w:top w:val="none" w:sz="0" w:space="0" w:color="auto"/>
        <w:left w:val="none" w:sz="0" w:space="0" w:color="auto"/>
        <w:bottom w:val="none" w:sz="0" w:space="0" w:color="auto"/>
        <w:right w:val="none" w:sz="0" w:space="0" w:color="auto"/>
      </w:divBdr>
    </w:div>
    <w:div w:id="1058433689">
      <w:bodyDiv w:val="1"/>
      <w:marLeft w:val="0"/>
      <w:marRight w:val="0"/>
      <w:marTop w:val="0"/>
      <w:marBottom w:val="0"/>
      <w:divBdr>
        <w:top w:val="none" w:sz="0" w:space="0" w:color="auto"/>
        <w:left w:val="none" w:sz="0" w:space="0" w:color="auto"/>
        <w:bottom w:val="none" w:sz="0" w:space="0" w:color="auto"/>
        <w:right w:val="none" w:sz="0" w:space="0" w:color="auto"/>
      </w:divBdr>
    </w:div>
    <w:div w:id="1062868029">
      <w:bodyDiv w:val="1"/>
      <w:marLeft w:val="0"/>
      <w:marRight w:val="0"/>
      <w:marTop w:val="0"/>
      <w:marBottom w:val="0"/>
      <w:divBdr>
        <w:top w:val="none" w:sz="0" w:space="0" w:color="auto"/>
        <w:left w:val="none" w:sz="0" w:space="0" w:color="auto"/>
        <w:bottom w:val="none" w:sz="0" w:space="0" w:color="auto"/>
        <w:right w:val="none" w:sz="0" w:space="0" w:color="auto"/>
      </w:divBdr>
    </w:div>
    <w:div w:id="1063530792">
      <w:bodyDiv w:val="1"/>
      <w:marLeft w:val="0"/>
      <w:marRight w:val="0"/>
      <w:marTop w:val="0"/>
      <w:marBottom w:val="0"/>
      <w:divBdr>
        <w:top w:val="none" w:sz="0" w:space="0" w:color="auto"/>
        <w:left w:val="none" w:sz="0" w:space="0" w:color="auto"/>
        <w:bottom w:val="none" w:sz="0" w:space="0" w:color="auto"/>
        <w:right w:val="none" w:sz="0" w:space="0" w:color="auto"/>
      </w:divBdr>
    </w:div>
    <w:div w:id="1076391882">
      <w:bodyDiv w:val="1"/>
      <w:marLeft w:val="0"/>
      <w:marRight w:val="0"/>
      <w:marTop w:val="0"/>
      <w:marBottom w:val="0"/>
      <w:divBdr>
        <w:top w:val="none" w:sz="0" w:space="0" w:color="auto"/>
        <w:left w:val="none" w:sz="0" w:space="0" w:color="auto"/>
        <w:bottom w:val="none" w:sz="0" w:space="0" w:color="auto"/>
        <w:right w:val="none" w:sz="0" w:space="0" w:color="auto"/>
      </w:divBdr>
    </w:div>
    <w:div w:id="1101609746">
      <w:bodyDiv w:val="1"/>
      <w:marLeft w:val="0"/>
      <w:marRight w:val="0"/>
      <w:marTop w:val="0"/>
      <w:marBottom w:val="0"/>
      <w:divBdr>
        <w:top w:val="none" w:sz="0" w:space="0" w:color="auto"/>
        <w:left w:val="none" w:sz="0" w:space="0" w:color="auto"/>
        <w:bottom w:val="none" w:sz="0" w:space="0" w:color="auto"/>
        <w:right w:val="none" w:sz="0" w:space="0" w:color="auto"/>
      </w:divBdr>
    </w:div>
    <w:div w:id="1123966274">
      <w:bodyDiv w:val="1"/>
      <w:marLeft w:val="0"/>
      <w:marRight w:val="0"/>
      <w:marTop w:val="0"/>
      <w:marBottom w:val="0"/>
      <w:divBdr>
        <w:top w:val="none" w:sz="0" w:space="0" w:color="auto"/>
        <w:left w:val="none" w:sz="0" w:space="0" w:color="auto"/>
        <w:bottom w:val="none" w:sz="0" w:space="0" w:color="auto"/>
        <w:right w:val="none" w:sz="0" w:space="0" w:color="auto"/>
      </w:divBdr>
    </w:div>
    <w:div w:id="1138382782">
      <w:bodyDiv w:val="1"/>
      <w:marLeft w:val="0"/>
      <w:marRight w:val="0"/>
      <w:marTop w:val="0"/>
      <w:marBottom w:val="0"/>
      <w:divBdr>
        <w:top w:val="none" w:sz="0" w:space="0" w:color="auto"/>
        <w:left w:val="none" w:sz="0" w:space="0" w:color="auto"/>
        <w:bottom w:val="none" w:sz="0" w:space="0" w:color="auto"/>
        <w:right w:val="none" w:sz="0" w:space="0" w:color="auto"/>
      </w:divBdr>
    </w:div>
    <w:div w:id="1180125532">
      <w:bodyDiv w:val="1"/>
      <w:marLeft w:val="0"/>
      <w:marRight w:val="0"/>
      <w:marTop w:val="0"/>
      <w:marBottom w:val="0"/>
      <w:divBdr>
        <w:top w:val="none" w:sz="0" w:space="0" w:color="auto"/>
        <w:left w:val="none" w:sz="0" w:space="0" w:color="auto"/>
        <w:bottom w:val="none" w:sz="0" w:space="0" w:color="auto"/>
        <w:right w:val="none" w:sz="0" w:space="0" w:color="auto"/>
      </w:divBdr>
    </w:div>
    <w:div w:id="1246693049">
      <w:bodyDiv w:val="1"/>
      <w:marLeft w:val="0"/>
      <w:marRight w:val="0"/>
      <w:marTop w:val="0"/>
      <w:marBottom w:val="0"/>
      <w:divBdr>
        <w:top w:val="none" w:sz="0" w:space="0" w:color="auto"/>
        <w:left w:val="none" w:sz="0" w:space="0" w:color="auto"/>
        <w:bottom w:val="none" w:sz="0" w:space="0" w:color="auto"/>
        <w:right w:val="none" w:sz="0" w:space="0" w:color="auto"/>
      </w:divBdr>
    </w:div>
    <w:div w:id="1267426201">
      <w:bodyDiv w:val="1"/>
      <w:marLeft w:val="0"/>
      <w:marRight w:val="0"/>
      <w:marTop w:val="0"/>
      <w:marBottom w:val="0"/>
      <w:divBdr>
        <w:top w:val="none" w:sz="0" w:space="0" w:color="auto"/>
        <w:left w:val="none" w:sz="0" w:space="0" w:color="auto"/>
        <w:bottom w:val="none" w:sz="0" w:space="0" w:color="auto"/>
        <w:right w:val="none" w:sz="0" w:space="0" w:color="auto"/>
      </w:divBdr>
    </w:div>
    <w:div w:id="1278945606">
      <w:bodyDiv w:val="1"/>
      <w:marLeft w:val="0"/>
      <w:marRight w:val="0"/>
      <w:marTop w:val="0"/>
      <w:marBottom w:val="0"/>
      <w:divBdr>
        <w:top w:val="none" w:sz="0" w:space="0" w:color="auto"/>
        <w:left w:val="none" w:sz="0" w:space="0" w:color="auto"/>
        <w:bottom w:val="none" w:sz="0" w:space="0" w:color="auto"/>
        <w:right w:val="none" w:sz="0" w:space="0" w:color="auto"/>
      </w:divBdr>
    </w:div>
    <w:div w:id="1288851639">
      <w:bodyDiv w:val="1"/>
      <w:marLeft w:val="0"/>
      <w:marRight w:val="0"/>
      <w:marTop w:val="0"/>
      <w:marBottom w:val="0"/>
      <w:divBdr>
        <w:top w:val="none" w:sz="0" w:space="0" w:color="auto"/>
        <w:left w:val="none" w:sz="0" w:space="0" w:color="auto"/>
        <w:bottom w:val="none" w:sz="0" w:space="0" w:color="auto"/>
        <w:right w:val="none" w:sz="0" w:space="0" w:color="auto"/>
      </w:divBdr>
      <w:divsChild>
        <w:div w:id="424574797">
          <w:marLeft w:val="0"/>
          <w:marRight w:val="0"/>
          <w:marTop w:val="0"/>
          <w:marBottom w:val="0"/>
          <w:divBdr>
            <w:top w:val="none" w:sz="0" w:space="0" w:color="auto"/>
            <w:left w:val="none" w:sz="0" w:space="0" w:color="auto"/>
            <w:bottom w:val="none" w:sz="0" w:space="0" w:color="auto"/>
            <w:right w:val="none" w:sz="0" w:space="0" w:color="auto"/>
          </w:divBdr>
          <w:divsChild>
            <w:div w:id="159851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949292">
      <w:bodyDiv w:val="1"/>
      <w:marLeft w:val="0"/>
      <w:marRight w:val="0"/>
      <w:marTop w:val="0"/>
      <w:marBottom w:val="0"/>
      <w:divBdr>
        <w:top w:val="none" w:sz="0" w:space="0" w:color="auto"/>
        <w:left w:val="none" w:sz="0" w:space="0" w:color="auto"/>
        <w:bottom w:val="none" w:sz="0" w:space="0" w:color="auto"/>
        <w:right w:val="none" w:sz="0" w:space="0" w:color="auto"/>
      </w:divBdr>
    </w:div>
    <w:div w:id="1336377305">
      <w:bodyDiv w:val="1"/>
      <w:marLeft w:val="0"/>
      <w:marRight w:val="0"/>
      <w:marTop w:val="0"/>
      <w:marBottom w:val="0"/>
      <w:divBdr>
        <w:top w:val="none" w:sz="0" w:space="0" w:color="auto"/>
        <w:left w:val="none" w:sz="0" w:space="0" w:color="auto"/>
        <w:bottom w:val="none" w:sz="0" w:space="0" w:color="auto"/>
        <w:right w:val="none" w:sz="0" w:space="0" w:color="auto"/>
      </w:divBdr>
    </w:div>
    <w:div w:id="1377002522">
      <w:bodyDiv w:val="1"/>
      <w:marLeft w:val="0"/>
      <w:marRight w:val="0"/>
      <w:marTop w:val="0"/>
      <w:marBottom w:val="0"/>
      <w:divBdr>
        <w:top w:val="none" w:sz="0" w:space="0" w:color="auto"/>
        <w:left w:val="none" w:sz="0" w:space="0" w:color="auto"/>
        <w:bottom w:val="none" w:sz="0" w:space="0" w:color="auto"/>
        <w:right w:val="none" w:sz="0" w:space="0" w:color="auto"/>
      </w:divBdr>
    </w:div>
    <w:div w:id="1396318417">
      <w:bodyDiv w:val="1"/>
      <w:marLeft w:val="0"/>
      <w:marRight w:val="0"/>
      <w:marTop w:val="0"/>
      <w:marBottom w:val="0"/>
      <w:divBdr>
        <w:top w:val="none" w:sz="0" w:space="0" w:color="auto"/>
        <w:left w:val="none" w:sz="0" w:space="0" w:color="auto"/>
        <w:bottom w:val="none" w:sz="0" w:space="0" w:color="auto"/>
        <w:right w:val="none" w:sz="0" w:space="0" w:color="auto"/>
      </w:divBdr>
    </w:div>
    <w:div w:id="1423450714">
      <w:bodyDiv w:val="1"/>
      <w:marLeft w:val="0"/>
      <w:marRight w:val="0"/>
      <w:marTop w:val="0"/>
      <w:marBottom w:val="0"/>
      <w:divBdr>
        <w:top w:val="none" w:sz="0" w:space="0" w:color="auto"/>
        <w:left w:val="none" w:sz="0" w:space="0" w:color="auto"/>
        <w:bottom w:val="none" w:sz="0" w:space="0" w:color="auto"/>
        <w:right w:val="none" w:sz="0" w:space="0" w:color="auto"/>
      </w:divBdr>
    </w:div>
    <w:div w:id="1424107286">
      <w:bodyDiv w:val="1"/>
      <w:marLeft w:val="0"/>
      <w:marRight w:val="0"/>
      <w:marTop w:val="0"/>
      <w:marBottom w:val="0"/>
      <w:divBdr>
        <w:top w:val="none" w:sz="0" w:space="0" w:color="auto"/>
        <w:left w:val="none" w:sz="0" w:space="0" w:color="auto"/>
        <w:bottom w:val="none" w:sz="0" w:space="0" w:color="auto"/>
        <w:right w:val="none" w:sz="0" w:space="0" w:color="auto"/>
      </w:divBdr>
    </w:div>
    <w:div w:id="1454638525">
      <w:bodyDiv w:val="1"/>
      <w:marLeft w:val="0"/>
      <w:marRight w:val="0"/>
      <w:marTop w:val="0"/>
      <w:marBottom w:val="0"/>
      <w:divBdr>
        <w:top w:val="none" w:sz="0" w:space="0" w:color="auto"/>
        <w:left w:val="none" w:sz="0" w:space="0" w:color="auto"/>
        <w:bottom w:val="none" w:sz="0" w:space="0" w:color="auto"/>
        <w:right w:val="none" w:sz="0" w:space="0" w:color="auto"/>
      </w:divBdr>
    </w:div>
    <w:div w:id="1462335336">
      <w:bodyDiv w:val="1"/>
      <w:marLeft w:val="0"/>
      <w:marRight w:val="0"/>
      <w:marTop w:val="0"/>
      <w:marBottom w:val="0"/>
      <w:divBdr>
        <w:top w:val="none" w:sz="0" w:space="0" w:color="auto"/>
        <w:left w:val="none" w:sz="0" w:space="0" w:color="auto"/>
        <w:bottom w:val="none" w:sz="0" w:space="0" w:color="auto"/>
        <w:right w:val="none" w:sz="0" w:space="0" w:color="auto"/>
      </w:divBdr>
    </w:div>
    <w:div w:id="1499274147">
      <w:bodyDiv w:val="1"/>
      <w:marLeft w:val="0"/>
      <w:marRight w:val="0"/>
      <w:marTop w:val="0"/>
      <w:marBottom w:val="0"/>
      <w:divBdr>
        <w:top w:val="none" w:sz="0" w:space="0" w:color="auto"/>
        <w:left w:val="none" w:sz="0" w:space="0" w:color="auto"/>
        <w:bottom w:val="none" w:sz="0" w:space="0" w:color="auto"/>
        <w:right w:val="none" w:sz="0" w:space="0" w:color="auto"/>
      </w:divBdr>
    </w:div>
    <w:div w:id="1540780355">
      <w:bodyDiv w:val="1"/>
      <w:marLeft w:val="0"/>
      <w:marRight w:val="0"/>
      <w:marTop w:val="0"/>
      <w:marBottom w:val="0"/>
      <w:divBdr>
        <w:top w:val="none" w:sz="0" w:space="0" w:color="auto"/>
        <w:left w:val="none" w:sz="0" w:space="0" w:color="auto"/>
        <w:bottom w:val="none" w:sz="0" w:space="0" w:color="auto"/>
        <w:right w:val="none" w:sz="0" w:space="0" w:color="auto"/>
      </w:divBdr>
    </w:div>
    <w:div w:id="1582372588">
      <w:bodyDiv w:val="1"/>
      <w:marLeft w:val="0"/>
      <w:marRight w:val="0"/>
      <w:marTop w:val="0"/>
      <w:marBottom w:val="0"/>
      <w:divBdr>
        <w:top w:val="none" w:sz="0" w:space="0" w:color="auto"/>
        <w:left w:val="none" w:sz="0" w:space="0" w:color="auto"/>
        <w:bottom w:val="none" w:sz="0" w:space="0" w:color="auto"/>
        <w:right w:val="none" w:sz="0" w:space="0" w:color="auto"/>
      </w:divBdr>
    </w:div>
    <w:div w:id="1587349850">
      <w:bodyDiv w:val="1"/>
      <w:marLeft w:val="0"/>
      <w:marRight w:val="0"/>
      <w:marTop w:val="0"/>
      <w:marBottom w:val="0"/>
      <w:divBdr>
        <w:top w:val="none" w:sz="0" w:space="0" w:color="auto"/>
        <w:left w:val="none" w:sz="0" w:space="0" w:color="auto"/>
        <w:bottom w:val="none" w:sz="0" w:space="0" w:color="auto"/>
        <w:right w:val="none" w:sz="0" w:space="0" w:color="auto"/>
      </w:divBdr>
    </w:div>
    <w:div w:id="1588231426">
      <w:bodyDiv w:val="1"/>
      <w:marLeft w:val="0"/>
      <w:marRight w:val="0"/>
      <w:marTop w:val="0"/>
      <w:marBottom w:val="0"/>
      <w:divBdr>
        <w:top w:val="none" w:sz="0" w:space="0" w:color="auto"/>
        <w:left w:val="none" w:sz="0" w:space="0" w:color="auto"/>
        <w:bottom w:val="none" w:sz="0" w:space="0" w:color="auto"/>
        <w:right w:val="none" w:sz="0" w:space="0" w:color="auto"/>
      </w:divBdr>
    </w:div>
    <w:div w:id="1590306109">
      <w:bodyDiv w:val="1"/>
      <w:marLeft w:val="0"/>
      <w:marRight w:val="0"/>
      <w:marTop w:val="0"/>
      <w:marBottom w:val="0"/>
      <w:divBdr>
        <w:top w:val="none" w:sz="0" w:space="0" w:color="auto"/>
        <w:left w:val="none" w:sz="0" w:space="0" w:color="auto"/>
        <w:bottom w:val="none" w:sz="0" w:space="0" w:color="auto"/>
        <w:right w:val="none" w:sz="0" w:space="0" w:color="auto"/>
      </w:divBdr>
    </w:div>
    <w:div w:id="1600943592">
      <w:bodyDiv w:val="1"/>
      <w:marLeft w:val="0"/>
      <w:marRight w:val="0"/>
      <w:marTop w:val="0"/>
      <w:marBottom w:val="0"/>
      <w:divBdr>
        <w:top w:val="none" w:sz="0" w:space="0" w:color="auto"/>
        <w:left w:val="none" w:sz="0" w:space="0" w:color="auto"/>
        <w:bottom w:val="none" w:sz="0" w:space="0" w:color="auto"/>
        <w:right w:val="none" w:sz="0" w:space="0" w:color="auto"/>
      </w:divBdr>
    </w:div>
    <w:div w:id="1633441552">
      <w:bodyDiv w:val="1"/>
      <w:marLeft w:val="0"/>
      <w:marRight w:val="0"/>
      <w:marTop w:val="0"/>
      <w:marBottom w:val="0"/>
      <w:divBdr>
        <w:top w:val="none" w:sz="0" w:space="0" w:color="auto"/>
        <w:left w:val="none" w:sz="0" w:space="0" w:color="auto"/>
        <w:bottom w:val="none" w:sz="0" w:space="0" w:color="auto"/>
        <w:right w:val="none" w:sz="0" w:space="0" w:color="auto"/>
      </w:divBdr>
    </w:div>
    <w:div w:id="1668047282">
      <w:bodyDiv w:val="1"/>
      <w:marLeft w:val="0"/>
      <w:marRight w:val="0"/>
      <w:marTop w:val="0"/>
      <w:marBottom w:val="0"/>
      <w:divBdr>
        <w:top w:val="none" w:sz="0" w:space="0" w:color="auto"/>
        <w:left w:val="none" w:sz="0" w:space="0" w:color="auto"/>
        <w:bottom w:val="none" w:sz="0" w:space="0" w:color="auto"/>
        <w:right w:val="none" w:sz="0" w:space="0" w:color="auto"/>
      </w:divBdr>
    </w:div>
    <w:div w:id="1674188794">
      <w:bodyDiv w:val="1"/>
      <w:marLeft w:val="0"/>
      <w:marRight w:val="0"/>
      <w:marTop w:val="0"/>
      <w:marBottom w:val="0"/>
      <w:divBdr>
        <w:top w:val="none" w:sz="0" w:space="0" w:color="auto"/>
        <w:left w:val="none" w:sz="0" w:space="0" w:color="auto"/>
        <w:bottom w:val="none" w:sz="0" w:space="0" w:color="auto"/>
        <w:right w:val="none" w:sz="0" w:space="0" w:color="auto"/>
      </w:divBdr>
    </w:div>
    <w:div w:id="1723747038">
      <w:bodyDiv w:val="1"/>
      <w:marLeft w:val="0"/>
      <w:marRight w:val="0"/>
      <w:marTop w:val="0"/>
      <w:marBottom w:val="0"/>
      <w:divBdr>
        <w:top w:val="none" w:sz="0" w:space="0" w:color="auto"/>
        <w:left w:val="none" w:sz="0" w:space="0" w:color="auto"/>
        <w:bottom w:val="none" w:sz="0" w:space="0" w:color="auto"/>
        <w:right w:val="none" w:sz="0" w:space="0" w:color="auto"/>
      </w:divBdr>
    </w:div>
    <w:div w:id="1734237297">
      <w:bodyDiv w:val="1"/>
      <w:marLeft w:val="0"/>
      <w:marRight w:val="0"/>
      <w:marTop w:val="0"/>
      <w:marBottom w:val="0"/>
      <w:divBdr>
        <w:top w:val="none" w:sz="0" w:space="0" w:color="auto"/>
        <w:left w:val="none" w:sz="0" w:space="0" w:color="auto"/>
        <w:bottom w:val="none" w:sz="0" w:space="0" w:color="auto"/>
        <w:right w:val="none" w:sz="0" w:space="0" w:color="auto"/>
      </w:divBdr>
    </w:div>
    <w:div w:id="1741706014">
      <w:bodyDiv w:val="1"/>
      <w:marLeft w:val="0"/>
      <w:marRight w:val="0"/>
      <w:marTop w:val="0"/>
      <w:marBottom w:val="0"/>
      <w:divBdr>
        <w:top w:val="none" w:sz="0" w:space="0" w:color="auto"/>
        <w:left w:val="none" w:sz="0" w:space="0" w:color="auto"/>
        <w:bottom w:val="none" w:sz="0" w:space="0" w:color="auto"/>
        <w:right w:val="none" w:sz="0" w:space="0" w:color="auto"/>
      </w:divBdr>
    </w:div>
    <w:div w:id="1741904723">
      <w:bodyDiv w:val="1"/>
      <w:marLeft w:val="0"/>
      <w:marRight w:val="0"/>
      <w:marTop w:val="0"/>
      <w:marBottom w:val="0"/>
      <w:divBdr>
        <w:top w:val="none" w:sz="0" w:space="0" w:color="auto"/>
        <w:left w:val="none" w:sz="0" w:space="0" w:color="auto"/>
        <w:bottom w:val="none" w:sz="0" w:space="0" w:color="auto"/>
        <w:right w:val="none" w:sz="0" w:space="0" w:color="auto"/>
      </w:divBdr>
    </w:div>
    <w:div w:id="1755474965">
      <w:bodyDiv w:val="1"/>
      <w:marLeft w:val="0"/>
      <w:marRight w:val="0"/>
      <w:marTop w:val="0"/>
      <w:marBottom w:val="0"/>
      <w:divBdr>
        <w:top w:val="none" w:sz="0" w:space="0" w:color="auto"/>
        <w:left w:val="none" w:sz="0" w:space="0" w:color="auto"/>
        <w:bottom w:val="none" w:sz="0" w:space="0" w:color="auto"/>
        <w:right w:val="none" w:sz="0" w:space="0" w:color="auto"/>
      </w:divBdr>
    </w:div>
    <w:div w:id="1758748361">
      <w:bodyDiv w:val="1"/>
      <w:marLeft w:val="0"/>
      <w:marRight w:val="0"/>
      <w:marTop w:val="0"/>
      <w:marBottom w:val="0"/>
      <w:divBdr>
        <w:top w:val="none" w:sz="0" w:space="0" w:color="auto"/>
        <w:left w:val="none" w:sz="0" w:space="0" w:color="auto"/>
        <w:bottom w:val="none" w:sz="0" w:space="0" w:color="auto"/>
        <w:right w:val="none" w:sz="0" w:space="0" w:color="auto"/>
      </w:divBdr>
    </w:div>
    <w:div w:id="1786534511">
      <w:bodyDiv w:val="1"/>
      <w:marLeft w:val="0"/>
      <w:marRight w:val="0"/>
      <w:marTop w:val="0"/>
      <w:marBottom w:val="0"/>
      <w:divBdr>
        <w:top w:val="none" w:sz="0" w:space="0" w:color="auto"/>
        <w:left w:val="none" w:sz="0" w:space="0" w:color="auto"/>
        <w:bottom w:val="none" w:sz="0" w:space="0" w:color="auto"/>
        <w:right w:val="none" w:sz="0" w:space="0" w:color="auto"/>
      </w:divBdr>
    </w:div>
    <w:div w:id="1836723127">
      <w:bodyDiv w:val="1"/>
      <w:marLeft w:val="0"/>
      <w:marRight w:val="0"/>
      <w:marTop w:val="0"/>
      <w:marBottom w:val="0"/>
      <w:divBdr>
        <w:top w:val="none" w:sz="0" w:space="0" w:color="auto"/>
        <w:left w:val="none" w:sz="0" w:space="0" w:color="auto"/>
        <w:bottom w:val="none" w:sz="0" w:space="0" w:color="auto"/>
        <w:right w:val="none" w:sz="0" w:space="0" w:color="auto"/>
      </w:divBdr>
    </w:div>
    <w:div w:id="1862278499">
      <w:bodyDiv w:val="1"/>
      <w:marLeft w:val="0"/>
      <w:marRight w:val="0"/>
      <w:marTop w:val="0"/>
      <w:marBottom w:val="0"/>
      <w:divBdr>
        <w:top w:val="none" w:sz="0" w:space="0" w:color="auto"/>
        <w:left w:val="none" w:sz="0" w:space="0" w:color="auto"/>
        <w:bottom w:val="none" w:sz="0" w:space="0" w:color="auto"/>
        <w:right w:val="none" w:sz="0" w:space="0" w:color="auto"/>
      </w:divBdr>
    </w:div>
    <w:div w:id="1875730958">
      <w:bodyDiv w:val="1"/>
      <w:marLeft w:val="0"/>
      <w:marRight w:val="0"/>
      <w:marTop w:val="0"/>
      <w:marBottom w:val="0"/>
      <w:divBdr>
        <w:top w:val="none" w:sz="0" w:space="0" w:color="auto"/>
        <w:left w:val="none" w:sz="0" w:space="0" w:color="auto"/>
        <w:bottom w:val="none" w:sz="0" w:space="0" w:color="auto"/>
        <w:right w:val="none" w:sz="0" w:space="0" w:color="auto"/>
      </w:divBdr>
    </w:div>
    <w:div w:id="1876578859">
      <w:bodyDiv w:val="1"/>
      <w:marLeft w:val="0"/>
      <w:marRight w:val="0"/>
      <w:marTop w:val="0"/>
      <w:marBottom w:val="0"/>
      <w:divBdr>
        <w:top w:val="none" w:sz="0" w:space="0" w:color="auto"/>
        <w:left w:val="none" w:sz="0" w:space="0" w:color="auto"/>
        <w:bottom w:val="none" w:sz="0" w:space="0" w:color="auto"/>
        <w:right w:val="none" w:sz="0" w:space="0" w:color="auto"/>
      </w:divBdr>
    </w:div>
    <w:div w:id="1877154124">
      <w:bodyDiv w:val="1"/>
      <w:marLeft w:val="0"/>
      <w:marRight w:val="0"/>
      <w:marTop w:val="0"/>
      <w:marBottom w:val="0"/>
      <w:divBdr>
        <w:top w:val="none" w:sz="0" w:space="0" w:color="auto"/>
        <w:left w:val="none" w:sz="0" w:space="0" w:color="auto"/>
        <w:bottom w:val="none" w:sz="0" w:space="0" w:color="auto"/>
        <w:right w:val="none" w:sz="0" w:space="0" w:color="auto"/>
      </w:divBdr>
    </w:div>
    <w:div w:id="1882281952">
      <w:bodyDiv w:val="1"/>
      <w:marLeft w:val="0"/>
      <w:marRight w:val="0"/>
      <w:marTop w:val="0"/>
      <w:marBottom w:val="0"/>
      <w:divBdr>
        <w:top w:val="none" w:sz="0" w:space="0" w:color="auto"/>
        <w:left w:val="none" w:sz="0" w:space="0" w:color="auto"/>
        <w:bottom w:val="none" w:sz="0" w:space="0" w:color="auto"/>
        <w:right w:val="none" w:sz="0" w:space="0" w:color="auto"/>
      </w:divBdr>
    </w:div>
    <w:div w:id="1884636582">
      <w:bodyDiv w:val="1"/>
      <w:marLeft w:val="0"/>
      <w:marRight w:val="0"/>
      <w:marTop w:val="0"/>
      <w:marBottom w:val="0"/>
      <w:divBdr>
        <w:top w:val="none" w:sz="0" w:space="0" w:color="auto"/>
        <w:left w:val="none" w:sz="0" w:space="0" w:color="auto"/>
        <w:bottom w:val="none" w:sz="0" w:space="0" w:color="auto"/>
        <w:right w:val="none" w:sz="0" w:space="0" w:color="auto"/>
      </w:divBdr>
    </w:div>
    <w:div w:id="1890803040">
      <w:bodyDiv w:val="1"/>
      <w:marLeft w:val="0"/>
      <w:marRight w:val="0"/>
      <w:marTop w:val="0"/>
      <w:marBottom w:val="0"/>
      <w:divBdr>
        <w:top w:val="none" w:sz="0" w:space="0" w:color="auto"/>
        <w:left w:val="none" w:sz="0" w:space="0" w:color="auto"/>
        <w:bottom w:val="none" w:sz="0" w:space="0" w:color="auto"/>
        <w:right w:val="none" w:sz="0" w:space="0" w:color="auto"/>
      </w:divBdr>
    </w:div>
    <w:div w:id="1892186331">
      <w:bodyDiv w:val="1"/>
      <w:marLeft w:val="0"/>
      <w:marRight w:val="0"/>
      <w:marTop w:val="0"/>
      <w:marBottom w:val="0"/>
      <w:divBdr>
        <w:top w:val="none" w:sz="0" w:space="0" w:color="auto"/>
        <w:left w:val="none" w:sz="0" w:space="0" w:color="auto"/>
        <w:bottom w:val="none" w:sz="0" w:space="0" w:color="auto"/>
        <w:right w:val="none" w:sz="0" w:space="0" w:color="auto"/>
      </w:divBdr>
    </w:div>
    <w:div w:id="1895774933">
      <w:bodyDiv w:val="1"/>
      <w:marLeft w:val="0"/>
      <w:marRight w:val="0"/>
      <w:marTop w:val="0"/>
      <w:marBottom w:val="0"/>
      <w:divBdr>
        <w:top w:val="none" w:sz="0" w:space="0" w:color="auto"/>
        <w:left w:val="none" w:sz="0" w:space="0" w:color="auto"/>
        <w:bottom w:val="none" w:sz="0" w:space="0" w:color="auto"/>
        <w:right w:val="none" w:sz="0" w:space="0" w:color="auto"/>
      </w:divBdr>
    </w:div>
    <w:div w:id="1901473466">
      <w:bodyDiv w:val="1"/>
      <w:marLeft w:val="0"/>
      <w:marRight w:val="0"/>
      <w:marTop w:val="0"/>
      <w:marBottom w:val="0"/>
      <w:divBdr>
        <w:top w:val="none" w:sz="0" w:space="0" w:color="auto"/>
        <w:left w:val="none" w:sz="0" w:space="0" w:color="auto"/>
        <w:bottom w:val="none" w:sz="0" w:space="0" w:color="auto"/>
        <w:right w:val="none" w:sz="0" w:space="0" w:color="auto"/>
      </w:divBdr>
    </w:div>
    <w:div w:id="1913199475">
      <w:bodyDiv w:val="1"/>
      <w:marLeft w:val="0"/>
      <w:marRight w:val="0"/>
      <w:marTop w:val="0"/>
      <w:marBottom w:val="0"/>
      <w:divBdr>
        <w:top w:val="none" w:sz="0" w:space="0" w:color="auto"/>
        <w:left w:val="none" w:sz="0" w:space="0" w:color="auto"/>
        <w:bottom w:val="none" w:sz="0" w:space="0" w:color="auto"/>
        <w:right w:val="none" w:sz="0" w:space="0" w:color="auto"/>
      </w:divBdr>
    </w:div>
    <w:div w:id="1916892822">
      <w:bodyDiv w:val="1"/>
      <w:marLeft w:val="0"/>
      <w:marRight w:val="0"/>
      <w:marTop w:val="0"/>
      <w:marBottom w:val="0"/>
      <w:divBdr>
        <w:top w:val="none" w:sz="0" w:space="0" w:color="auto"/>
        <w:left w:val="none" w:sz="0" w:space="0" w:color="auto"/>
        <w:bottom w:val="none" w:sz="0" w:space="0" w:color="auto"/>
        <w:right w:val="none" w:sz="0" w:space="0" w:color="auto"/>
      </w:divBdr>
    </w:div>
    <w:div w:id="1926839109">
      <w:bodyDiv w:val="1"/>
      <w:marLeft w:val="0"/>
      <w:marRight w:val="0"/>
      <w:marTop w:val="0"/>
      <w:marBottom w:val="0"/>
      <w:divBdr>
        <w:top w:val="none" w:sz="0" w:space="0" w:color="auto"/>
        <w:left w:val="none" w:sz="0" w:space="0" w:color="auto"/>
        <w:bottom w:val="none" w:sz="0" w:space="0" w:color="auto"/>
        <w:right w:val="none" w:sz="0" w:space="0" w:color="auto"/>
      </w:divBdr>
    </w:div>
    <w:div w:id="1929193903">
      <w:bodyDiv w:val="1"/>
      <w:marLeft w:val="0"/>
      <w:marRight w:val="0"/>
      <w:marTop w:val="0"/>
      <w:marBottom w:val="0"/>
      <w:divBdr>
        <w:top w:val="none" w:sz="0" w:space="0" w:color="auto"/>
        <w:left w:val="none" w:sz="0" w:space="0" w:color="auto"/>
        <w:bottom w:val="none" w:sz="0" w:space="0" w:color="auto"/>
        <w:right w:val="none" w:sz="0" w:space="0" w:color="auto"/>
      </w:divBdr>
    </w:div>
    <w:div w:id="1934782256">
      <w:bodyDiv w:val="1"/>
      <w:marLeft w:val="0"/>
      <w:marRight w:val="0"/>
      <w:marTop w:val="0"/>
      <w:marBottom w:val="0"/>
      <w:divBdr>
        <w:top w:val="none" w:sz="0" w:space="0" w:color="auto"/>
        <w:left w:val="none" w:sz="0" w:space="0" w:color="auto"/>
        <w:bottom w:val="none" w:sz="0" w:space="0" w:color="auto"/>
        <w:right w:val="none" w:sz="0" w:space="0" w:color="auto"/>
      </w:divBdr>
    </w:div>
    <w:div w:id="1948540443">
      <w:bodyDiv w:val="1"/>
      <w:marLeft w:val="0"/>
      <w:marRight w:val="0"/>
      <w:marTop w:val="0"/>
      <w:marBottom w:val="0"/>
      <w:divBdr>
        <w:top w:val="none" w:sz="0" w:space="0" w:color="auto"/>
        <w:left w:val="none" w:sz="0" w:space="0" w:color="auto"/>
        <w:bottom w:val="none" w:sz="0" w:space="0" w:color="auto"/>
        <w:right w:val="none" w:sz="0" w:space="0" w:color="auto"/>
      </w:divBdr>
    </w:div>
    <w:div w:id="1960258451">
      <w:bodyDiv w:val="1"/>
      <w:marLeft w:val="0"/>
      <w:marRight w:val="0"/>
      <w:marTop w:val="0"/>
      <w:marBottom w:val="0"/>
      <w:divBdr>
        <w:top w:val="none" w:sz="0" w:space="0" w:color="auto"/>
        <w:left w:val="none" w:sz="0" w:space="0" w:color="auto"/>
        <w:bottom w:val="none" w:sz="0" w:space="0" w:color="auto"/>
        <w:right w:val="none" w:sz="0" w:space="0" w:color="auto"/>
      </w:divBdr>
    </w:div>
    <w:div w:id="1980454384">
      <w:bodyDiv w:val="1"/>
      <w:marLeft w:val="0"/>
      <w:marRight w:val="0"/>
      <w:marTop w:val="0"/>
      <w:marBottom w:val="0"/>
      <w:divBdr>
        <w:top w:val="none" w:sz="0" w:space="0" w:color="auto"/>
        <w:left w:val="none" w:sz="0" w:space="0" w:color="auto"/>
        <w:bottom w:val="none" w:sz="0" w:space="0" w:color="auto"/>
        <w:right w:val="none" w:sz="0" w:space="0" w:color="auto"/>
      </w:divBdr>
    </w:div>
    <w:div w:id="1994523579">
      <w:bodyDiv w:val="1"/>
      <w:marLeft w:val="0"/>
      <w:marRight w:val="0"/>
      <w:marTop w:val="0"/>
      <w:marBottom w:val="0"/>
      <w:divBdr>
        <w:top w:val="none" w:sz="0" w:space="0" w:color="auto"/>
        <w:left w:val="none" w:sz="0" w:space="0" w:color="auto"/>
        <w:bottom w:val="none" w:sz="0" w:space="0" w:color="auto"/>
        <w:right w:val="none" w:sz="0" w:space="0" w:color="auto"/>
      </w:divBdr>
    </w:div>
    <w:div w:id="1994723793">
      <w:bodyDiv w:val="1"/>
      <w:marLeft w:val="0"/>
      <w:marRight w:val="0"/>
      <w:marTop w:val="0"/>
      <w:marBottom w:val="0"/>
      <w:divBdr>
        <w:top w:val="none" w:sz="0" w:space="0" w:color="auto"/>
        <w:left w:val="none" w:sz="0" w:space="0" w:color="auto"/>
        <w:bottom w:val="none" w:sz="0" w:space="0" w:color="auto"/>
        <w:right w:val="none" w:sz="0" w:space="0" w:color="auto"/>
      </w:divBdr>
    </w:div>
    <w:div w:id="2008434041">
      <w:bodyDiv w:val="1"/>
      <w:marLeft w:val="0"/>
      <w:marRight w:val="0"/>
      <w:marTop w:val="0"/>
      <w:marBottom w:val="0"/>
      <w:divBdr>
        <w:top w:val="none" w:sz="0" w:space="0" w:color="auto"/>
        <w:left w:val="none" w:sz="0" w:space="0" w:color="auto"/>
        <w:bottom w:val="none" w:sz="0" w:space="0" w:color="auto"/>
        <w:right w:val="none" w:sz="0" w:space="0" w:color="auto"/>
      </w:divBdr>
    </w:div>
    <w:div w:id="2043704029">
      <w:bodyDiv w:val="1"/>
      <w:marLeft w:val="0"/>
      <w:marRight w:val="0"/>
      <w:marTop w:val="0"/>
      <w:marBottom w:val="0"/>
      <w:divBdr>
        <w:top w:val="none" w:sz="0" w:space="0" w:color="auto"/>
        <w:left w:val="none" w:sz="0" w:space="0" w:color="auto"/>
        <w:bottom w:val="none" w:sz="0" w:space="0" w:color="auto"/>
        <w:right w:val="none" w:sz="0" w:space="0" w:color="auto"/>
      </w:divBdr>
    </w:div>
    <w:div w:id="2055617788">
      <w:bodyDiv w:val="1"/>
      <w:marLeft w:val="0"/>
      <w:marRight w:val="0"/>
      <w:marTop w:val="0"/>
      <w:marBottom w:val="0"/>
      <w:divBdr>
        <w:top w:val="none" w:sz="0" w:space="0" w:color="auto"/>
        <w:left w:val="none" w:sz="0" w:space="0" w:color="auto"/>
        <w:bottom w:val="none" w:sz="0" w:space="0" w:color="auto"/>
        <w:right w:val="none" w:sz="0" w:space="0" w:color="auto"/>
      </w:divBdr>
    </w:div>
    <w:div w:id="2062827545">
      <w:bodyDiv w:val="1"/>
      <w:marLeft w:val="0"/>
      <w:marRight w:val="0"/>
      <w:marTop w:val="0"/>
      <w:marBottom w:val="0"/>
      <w:divBdr>
        <w:top w:val="none" w:sz="0" w:space="0" w:color="auto"/>
        <w:left w:val="none" w:sz="0" w:space="0" w:color="auto"/>
        <w:bottom w:val="none" w:sz="0" w:space="0" w:color="auto"/>
        <w:right w:val="none" w:sz="0" w:space="0" w:color="auto"/>
      </w:divBdr>
    </w:div>
    <w:div w:id="2064482152">
      <w:bodyDiv w:val="1"/>
      <w:marLeft w:val="0"/>
      <w:marRight w:val="0"/>
      <w:marTop w:val="0"/>
      <w:marBottom w:val="0"/>
      <w:divBdr>
        <w:top w:val="none" w:sz="0" w:space="0" w:color="auto"/>
        <w:left w:val="none" w:sz="0" w:space="0" w:color="auto"/>
        <w:bottom w:val="none" w:sz="0" w:space="0" w:color="auto"/>
        <w:right w:val="none" w:sz="0" w:space="0" w:color="auto"/>
      </w:divBdr>
    </w:div>
    <w:div w:id="2081250363">
      <w:bodyDiv w:val="1"/>
      <w:marLeft w:val="0"/>
      <w:marRight w:val="0"/>
      <w:marTop w:val="0"/>
      <w:marBottom w:val="0"/>
      <w:divBdr>
        <w:top w:val="none" w:sz="0" w:space="0" w:color="auto"/>
        <w:left w:val="none" w:sz="0" w:space="0" w:color="auto"/>
        <w:bottom w:val="none" w:sz="0" w:space="0" w:color="auto"/>
        <w:right w:val="none" w:sz="0" w:space="0" w:color="auto"/>
      </w:divBdr>
    </w:div>
    <w:div w:id="2086224993">
      <w:bodyDiv w:val="1"/>
      <w:marLeft w:val="0"/>
      <w:marRight w:val="0"/>
      <w:marTop w:val="0"/>
      <w:marBottom w:val="0"/>
      <w:divBdr>
        <w:top w:val="none" w:sz="0" w:space="0" w:color="auto"/>
        <w:left w:val="none" w:sz="0" w:space="0" w:color="auto"/>
        <w:bottom w:val="none" w:sz="0" w:space="0" w:color="auto"/>
        <w:right w:val="none" w:sz="0" w:space="0" w:color="auto"/>
      </w:divBdr>
    </w:div>
    <w:div w:id="2098674931">
      <w:bodyDiv w:val="1"/>
      <w:marLeft w:val="0"/>
      <w:marRight w:val="0"/>
      <w:marTop w:val="0"/>
      <w:marBottom w:val="0"/>
      <w:divBdr>
        <w:top w:val="none" w:sz="0" w:space="0" w:color="auto"/>
        <w:left w:val="none" w:sz="0" w:space="0" w:color="auto"/>
        <w:bottom w:val="none" w:sz="0" w:space="0" w:color="auto"/>
        <w:right w:val="none" w:sz="0" w:space="0" w:color="auto"/>
      </w:divBdr>
    </w:div>
    <w:div w:id="213860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314C45C043542542AB2B73EDA07B5E77" ma:contentTypeVersion="13" ma:contentTypeDescription="Crie um novo documento." ma:contentTypeScope="" ma:versionID="7926c78080098d3ccc619d767fe04073">
  <xsd:schema xmlns:xsd="http://www.w3.org/2001/XMLSchema" xmlns:xs="http://www.w3.org/2001/XMLSchema" xmlns:p="http://schemas.microsoft.com/office/2006/metadata/properties" xmlns:ns3="bed2c816-a78e-40a7-81a5-447a4756e0f4" targetNamespace="http://schemas.microsoft.com/office/2006/metadata/properties" ma:root="true" ma:fieldsID="1a0329a093a255002edfa504d81fb6e2" ns3:_="">
    <xsd:import namespace="bed2c816-a78e-40a7-81a5-447a4756e0f4"/>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_activity"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d2c816-a78e-40a7-81a5-447a4756e0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Location" ma:index="17" nillable="true" ma:displayName="Location" ma:indexed="true" ma:internalName="MediaServiceLocatio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ed2c816-a78e-40a7-81a5-447a4756e0f4" xsi:nil="true"/>
  </documentManagement>
</p:properties>
</file>

<file path=customXml/itemProps1.xml><?xml version="1.0" encoding="utf-8"?>
<ds:datastoreItem xmlns:ds="http://schemas.openxmlformats.org/officeDocument/2006/customXml" ds:itemID="{84F8B743-4B64-4867-9B22-561E021F1CB8}">
  <ds:schemaRefs>
    <ds:schemaRef ds:uri="http://schemas.openxmlformats.org/officeDocument/2006/bibliography"/>
  </ds:schemaRefs>
</ds:datastoreItem>
</file>

<file path=customXml/itemProps2.xml><?xml version="1.0" encoding="utf-8"?>
<ds:datastoreItem xmlns:ds="http://schemas.openxmlformats.org/officeDocument/2006/customXml" ds:itemID="{5B51744F-93CD-4DDA-B0A3-3376E90C1B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d2c816-a78e-40a7-81a5-447a4756e0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0E84F5-C4C8-4515-AD53-D318ACA93F0A}">
  <ds:schemaRefs>
    <ds:schemaRef ds:uri="http://schemas.microsoft.com/sharepoint/v3/contenttype/forms"/>
  </ds:schemaRefs>
</ds:datastoreItem>
</file>

<file path=customXml/itemProps4.xml><?xml version="1.0" encoding="utf-8"?>
<ds:datastoreItem xmlns:ds="http://schemas.openxmlformats.org/officeDocument/2006/customXml" ds:itemID="{A61CEECB-D4CA-49F7-892F-282A09823808}">
  <ds:schemaRefs>
    <ds:schemaRef ds:uri="http://schemas.microsoft.com/office/2006/metadata/properties"/>
    <ds:schemaRef ds:uri="http://schemas.microsoft.com/office/infopath/2007/PartnerControls"/>
    <ds:schemaRef ds:uri="bed2c816-a78e-40a7-81a5-447a4756e0f4"/>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11</Pages>
  <Words>2793</Words>
  <Characters>15084</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elton marinho</dc:creator>
  <cp:keywords/>
  <dc:description/>
  <cp:lastModifiedBy>elton marinho</cp:lastModifiedBy>
  <cp:revision>7</cp:revision>
  <cp:lastPrinted>2025-06-20T15:45:00Z</cp:lastPrinted>
  <dcterms:created xsi:type="dcterms:W3CDTF">2025-06-26T21:17:00Z</dcterms:created>
  <dcterms:modified xsi:type="dcterms:W3CDTF">2025-08-30T12:46:00Z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id="dbzBShqn"/&gt;&lt;style id="http://www.zotero.org/styles/universidade-federal-de-pernambuco-abnt" hasBibliography="1" bibliographyStyleHasBeenSet="1"/&gt;&lt;prefs&gt;&lt;pref name="fieldType" value="Field"/&gt;&lt;/pre</vt:lpwstr>
  </property>
  <property fmtid="{D5CDD505-2E9C-101B-9397-08002B2CF9AE}" pid="3" name="ZOTERO_PREF_2">
    <vt:lpwstr>fs&gt;&lt;/data&gt;</vt:lpwstr>
  </property>
  <property fmtid="{D5CDD505-2E9C-101B-9397-08002B2CF9AE}" pid="4" name="ContentTypeId">
    <vt:lpwstr>0x010100314C45C043542542AB2B73EDA07B5E77</vt:lpwstr>
  </property>
</Properties>
</file>