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360" w:lineRule="auto"/>
        <w:rPr>
          <w:rFonts w:ascii="Arial" w:cs="Arial" w:eastAsia="Arial" w:hAnsi="Arial"/>
          <w:b w:val="1"/>
        </w:rPr>
      </w:pPr>
      <w:r w:rsidDel="00000000" w:rsidR="00000000" w:rsidRPr="00000000">
        <w:rPr>
          <w:rFonts w:ascii="Arial" w:cs="Arial" w:eastAsia="Arial" w:hAnsi="Arial"/>
          <w:b w:val="1"/>
          <w:rtl w:val="0"/>
        </w:rPr>
        <w:t xml:space="preserve">CDH Subsystem Trade Studies</w:t>
      </w:r>
    </w:p>
    <w:p w:rsidR="00000000" w:rsidDel="00000000" w:rsidP="00000000" w:rsidRDefault="00000000" w:rsidRPr="00000000" w14:paraId="00000002">
      <w:pPr>
        <w:spacing w:after="280" w:before="280" w:line="360" w:lineRule="auto"/>
        <w:rPr>
          <w:rFonts w:ascii="Arial" w:cs="Arial" w:eastAsia="Arial" w:hAnsi="Arial"/>
        </w:rPr>
      </w:pPr>
      <w:r w:rsidDel="00000000" w:rsidR="00000000" w:rsidRPr="00000000">
        <w:rPr>
          <w:rFonts w:ascii="Arial" w:cs="Arial" w:eastAsia="Arial" w:hAnsi="Arial"/>
          <w:rtl w:val="0"/>
        </w:rPr>
        <w:t xml:space="preserve">The Command and Data Handling (CDH) subsystem serves as the backbone of any spacecraft, ensuring the ability to manage operations, process commands, and communicate effectively with mission control. For this design, four key components were evaluated: Command Processing Unit, Communication Interfaces (I2C, UART, CAN), Data Storage (Radiation-Hardened Memory), and Redundant Systems. Each component underwent a thorough assessment based on criteria such as cost, risk, performance, and complexity, enabling informed decisions for a reliable and efficient subsystem.</w:t>
      </w:r>
    </w:p>
    <w:p w:rsidR="00000000" w:rsidDel="00000000" w:rsidP="00000000" w:rsidRDefault="00000000" w:rsidRPr="00000000" w14:paraId="00000003">
      <w:pPr>
        <w:spacing w:after="280" w:before="280" w:line="36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before="240" w:line="360" w:lineRule="auto"/>
        <w:rPr>
          <w:rFonts w:ascii="Arial" w:cs="Arial" w:eastAsia="Arial" w:hAnsi="Arial"/>
          <w:b w:val="1"/>
          <w:i w:val="0"/>
          <w:color w:val="000000"/>
          <w:sz w:val="22"/>
          <w:szCs w:val="22"/>
        </w:rPr>
      </w:pPr>
      <w:bookmarkStart w:colFirst="0" w:colLast="0" w:name="_mugt5jlcwnzz" w:id="0"/>
      <w:bookmarkEnd w:id="0"/>
      <w:r w:rsidDel="00000000" w:rsidR="00000000" w:rsidRPr="00000000">
        <w:rPr>
          <w:rFonts w:ascii="Arial" w:cs="Arial" w:eastAsia="Arial" w:hAnsi="Arial"/>
          <w:b w:val="1"/>
          <w:i w:val="0"/>
          <w:color w:val="000000"/>
          <w:sz w:val="22"/>
          <w:szCs w:val="22"/>
          <w:rtl w:val="0"/>
        </w:rPr>
        <w:t xml:space="preserve">1. Command Processing Unit Trade Study</w:t>
      </w:r>
    </w:p>
    <w:p w:rsidR="00000000" w:rsidDel="00000000" w:rsidP="00000000" w:rsidRDefault="00000000" w:rsidRPr="00000000" w14:paraId="00000005">
      <w:pPr>
        <w:spacing w:after="240" w:before="240" w:line="360" w:lineRule="auto"/>
        <w:rPr/>
      </w:pPr>
      <w:r w:rsidDel="00000000" w:rsidR="00000000" w:rsidRPr="00000000">
        <w:rPr>
          <w:rFonts w:ascii="Arial" w:cs="Arial" w:eastAsia="Arial" w:hAnsi="Arial"/>
          <w:rtl w:val="0"/>
        </w:rPr>
        <w:t xml:space="preserve">The Command Processing Unit (CPU) is responsible for executing spacecraft commands and ensuring synchronization between subsystems. The three options considered were the RAD750, LEON-3, and Space Cube processors.The cost estimate was calculated based on the complexity and reliability needs of the mission. The selected RAD750 processor was valued at $5,234,897.56, with an estimated mass of 1.2 kg. The trade study evaluated these CPUs based on four criteria: cost, risk, performance, and complexity.</w:t>
        <w:br w:type="textWrapping"/>
      </w:r>
      <w:r w:rsidDel="00000000" w:rsidR="00000000" w:rsidRPr="00000000">
        <w:rPr>
          <w:rtl w:val="0"/>
        </w:rPr>
      </w:r>
    </w:p>
    <w:p w:rsidR="00000000" w:rsidDel="00000000" w:rsidP="00000000" w:rsidRDefault="00000000" w:rsidRPr="00000000" w14:paraId="00000006">
      <w:pPr>
        <w:spacing w:after="240" w:before="240" w:line="360" w:lineRule="auto"/>
        <w:rPr>
          <w:rFonts w:ascii="Arial" w:cs="Arial" w:eastAsia="Arial" w:hAnsi="Arial"/>
        </w:rPr>
      </w:pPr>
      <w:r w:rsidDel="00000000" w:rsidR="00000000" w:rsidRPr="00000000">
        <w:rPr>
          <w:rFonts w:ascii="Arial" w:cs="Arial" w:eastAsia="Arial" w:hAnsi="Arial"/>
          <w:rtl w:val="0"/>
        </w:rPr>
        <w:t xml:space="preserve"> The RAD750 scored the highest overall, primarily due to its strong performance in terms of risk and reliability. </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Developed by BAE Systems, it is a radiation-hardened processor and has been used in over 200 spacecraft, including NASA's Mars rovers . Its proven track record made it the top choice for missions requiring durability in harsh space environments. While the LEON-3 offers a cost-effective solution and is commonly used in ESA missions , its lower radiation tolerance and higher risk score placed it behind the RAD750. The Space Cube was the most advanced in terms of performance, offering superior data processing speeds, but its higher cost and unproven flight history made it less desirable. </w:t>
      </w:r>
      <w:r w:rsidDel="00000000" w:rsidR="00000000" w:rsidRPr="00000000">
        <w:rPr>
          <w:rFonts w:ascii="Arial" w:cs="Arial" w:eastAsia="Arial" w:hAnsi="Arial"/>
          <w:vertAlign w:val="superscript"/>
        </w:rPr>
        <w:footnoteReference w:customMarkFollows="0" w:id="1"/>
      </w:r>
      <w:r w:rsidDel="00000000" w:rsidR="00000000" w:rsidRPr="00000000">
        <w:rPr>
          <w:rFonts w:ascii="Arial" w:cs="Arial" w:eastAsia="Arial" w:hAnsi="Arial"/>
          <w:i w:val="1"/>
          <w:rtl w:val="0"/>
        </w:rPr>
        <w:t xml:space="preserve">The RAD750, a radiation-hardened processor developed by BAE Systems, has been used in over 200 spacecraft, including NASA’s Mars rovers (Good 2020).</w:t>
      </w:r>
      <w:r w:rsidDel="00000000" w:rsidR="00000000" w:rsidRPr="00000000">
        <w:rPr>
          <w:rFonts w:ascii="Arial" w:cs="Arial" w:eastAsia="Arial" w:hAnsi="Arial"/>
          <w:rtl w:val="0"/>
        </w:rPr>
        <w:t xml:space="preserve"> This connects the claim about the processor to the source.</w:t>
      </w:r>
    </w:p>
    <w:p w:rsidR="00000000" w:rsidDel="00000000" w:rsidP="00000000" w:rsidRDefault="00000000" w:rsidRPr="00000000" w14:paraId="00000007">
      <w:pPr>
        <w:spacing w:after="240" w:before="240" w:line="360" w:lineRule="auto"/>
        <w:rPr>
          <w:rFonts w:ascii="Arial" w:cs="Arial" w:eastAsia="Arial" w:hAnsi="Arial"/>
        </w:rPr>
      </w:pPr>
      <w:r w:rsidDel="00000000" w:rsidR="00000000" w:rsidRPr="00000000">
        <w:rPr>
          <w:rFonts w:ascii="Arial" w:cs="Arial" w:eastAsia="Arial" w:hAnsi="Arial"/>
          <w:rtl w:val="0"/>
        </w:rPr>
        <w:t xml:space="preserve">The weighting was influenced by mission priorities: risk (35%) was the most critical, given the harsh radiation conditions of space, followed by performance (30%) to ensure mission objectives could be met in real time. Cost (20%) and complexity (15%) were secondary considerations but still influenced the decision to select the RAD750, which offered the best balance of reliability and performance.</w:t>
      </w:r>
    </w:p>
    <w:p w:rsidR="00000000" w:rsidDel="00000000" w:rsidP="00000000" w:rsidRDefault="00000000" w:rsidRPr="00000000" w14:paraId="00000008">
      <w:pPr>
        <w:spacing w:after="280" w:before="280" w:line="36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before="240" w:line="360" w:lineRule="auto"/>
        <w:rPr>
          <w:rFonts w:ascii="Arial" w:cs="Arial" w:eastAsia="Arial" w:hAnsi="Arial"/>
          <w:b w:val="1"/>
          <w:i w:val="0"/>
          <w:color w:val="000000"/>
          <w:sz w:val="22"/>
          <w:szCs w:val="22"/>
        </w:rPr>
      </w:pPr>
      <w:bookmarkStart w:colFirst="0" w:colLast="0" w:name="_yb1suga45u7" w:id="1"/>
      <w:bookmarkEnd w:id="1"/>
      <w:r w:rsidDel="00000000" w:rsidR="00000000" w:rsidRPr="00000000">
        <w:rPr>
          <w:rtl w:val="0"/>
        </w:rPr>
      </w:r>
    </w:p>
    <w:p w:rsidR="00000000" w:rsidDel="00000000" w:rsidP="00000000" w:rsidRDefault="00000000" w:rsidRPr="00000000" w14:paraId="0000000A">
      <w:pPr>
        <w:spacing w:after="240" w:before="240" w:line="360" w:lineRule="auto"/>
        <w:rPr>
          <w:rFonts w:ascii="Arial" w:cs="Arial" w:eastAsia="Arial" w:hAnsi="Arial"/>
        </w:rPr>
      </w:pPr>
      <w:r w:rsidDel="00000000" w:rsidR="00000000" w:rsidRPr="00000000">
        <w:rPr>
          <w:rtl w:val="0"/>
        </w:rPr>
      </w:r>
    </w:p>
    <w:tbl>
      <w:tblPr>
        <w:tblStyle w:val="Table1"/>
        <w:tblpPr w:leftFromText="180" w:rightFromText="180" w:topFromText="0" w:bottomFromText="0" w:vertAnchor="page" w:horzAnchor="margin" w:tblpX="-840" w:tblpY="6600"/>
        <w:tblW w:w="10455.0" w:type="dxa"/>
        <w:jc w:val="left"/>
        <w:tblLayout w:type="fixed"/>
        <w:tblLook w:val="0400"/>
      </w:tblPr>
      <w:tblGrid>
        <w:gridCol w:w="1350"/>
        <w:gridCol w:w="2385"/>
        <w:gridCol w:w="1770"/>
        <w:gridCol w:w="1035"/>
        <w:gridCol w:w="1050"/>
        <w:gridCol w:w="1380"/>
        <w:gridCol w:w="1485"/>
        <w:tblGridChange w:id="0">
          <w:tblGrid>
            <w:gridCol w:w="1350"/>
            <w:gridCol w:w="2385"/>
            <w:gridCol w:w="1770"/>
            <w:gridCol w:w="1035"/>
            <w:gridCol w:w="1050"/>
            <w:gridCol w:w="1380"/>
            <w:gridCol w:w="1485"/>
          </w:tblGrid>
        </w:tblGridChange>
      </w:tblGrid>
      <w:tr>
        <w:trPr>
          <w:cantSplit w:val="0"/>
          <w:trHeight w:val="930" w:hRule="atLeast"/>
          <w:tblHeader w:val="0"/>
        </w:trPr>
        <w:tc>
          <w:tcPr>
            <w:gridSpan w:val="7"/>
            <w:tcBorders>
              <w:top w:color="000000" w:space="0" w:sz="6" w:val="single"/>
              <w:left w:color="000000" w:space="0" w:sz="6" w:val="single"/>
              <w:bottom w:color="000000" w:space="0" w:sz="6" w:val="single"/>
              <w:right w:color="000000" w:space="0" w:sz="6" w:val="single"/>
            </w:tcBorders>
            <w:shd w:fill="999999" w:val="clear"/>
            <w:tcMar>
              <w:left w:w="45.0" w:type="dxa"/>
              <w:right w:w="45.0" w:type="dxa"/>
            </w:tcMar>
            <w:vAlign w:val="center"/>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t xml:space="preserve">Command Processing Unit Trade Study</w:t>
            </w:r>
            <w:r w:rsidDel="00000000" w:rsidR="00000000" w:rsidRPr="00000000">
              <w:rPr>
                <w:rtl w:val="0"/>
              </w:rPr>
            </w:r>
          </w:p>
        </w:tc>
      </w:tr>
      <w:tr>
        <w:trPr>
          <w:cantSplit w:val="0"/>
          <w:trHeight w:val="1462" w:hRule="atLeast"/>
          <w:tblHeader w:val="0"/>
        </w:trPr>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12">
            <w:pPr>
              <w:jc w:val="center"/>
              <w:rPr>
                <w:rFonts w:ascii="Arial" w:cs="Arial" w:eastAsia="Arial" w:hAnsi="Arial"/>
                <w:b w:val="1"/>
              </w:rPr>
            </w:pPr>
            <w:r w:rsidDel="00000000" w:rsidR="00000000" w:rsidRPr="00000000">
              <w:rPr>
                <w:rFonts w:ascii="Arial" w:cs="Arial" w:eastAsia="Arial" w:hAnsi="Arial"/>
                <w:b w:val="1"/>
                <w:rtl w:val="0"/>
              </w:rPr>
              <w:t xml:space="preserve">Criteria </w:t>
            </w:r>
          </w:p>
        </w:tc>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13">
            <w:pPr>
              <w:jc w:val="center"/>
              <w:rPr>
                <w:rFonts w:ascii="Arial" w:cs="Arial" w:eastAsia="Arial" w:hAnsi="Arial"/>
                <w:b w:val="1"/>
              </w:rPr>
            </w:pPr>
            <w:r w:rsidDel="00000000" w:rsidR="00000000" w:rsidRPr="00000000">
              <w:rPr>
                <w:rFonts w:ascii="Arial" w:cs="Arial" w:eastAsia="Arial" w:hAnsi="Arial"/>
                <w:b w:val="1"/>
                <w:rtl w:val="0"/>
              </w:rPr>
              <w:t xml:space="preserve">Explanation </w:t>
            </w:r>
          </w:p>
        </w:tc>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14">
            <w:pPr>
              <w:jc w:val="center"/>
              <w:rPr>
                <w:rFonts w:ascii="Arial" w:cs="Arial" w:eastAsia="Arial" w:hAnsi="Arial"/>
                <w:b w:val="1"/>
              </w:rPr>
            </w:pPr>
            <w:r w:rsidDel="00000000" w:rsidR="00000000" w:rsidRPr="00000000">
              <w:rPr>
                <w:b w:val="1"/>
                <w:rtl w:val="0"/>
              </w:rPr>
              <w:t xml:space="preserve">Grade</w:t>
            </w:r>
            <w:r w:rsidDel="00000000" w:rsidR="00000000" w:rsidRPr="00000000">
              <w:rPr>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15">
            <w:pPr>
              <w:jc w:val="center"/>
              <w:rPr>
                <w:rFonts w:ascii="Arial" w:cs="Arial" w:eastAsia="Arial" w:hAnsi="Arial"/>
                <w:b w:val="1"/>
              </w:rPr>
            </w:pPr>
            <w:r w:rsidDel="00000000" w:rsidR="00000000" w:rsidRPr="00000000">
              <w:rPr>
                <w:rFonts w:ascii="Arial" w:cs="Arial" w:eastAsia="Arial" w:hAnsi="Arial"/>
                <w:b w:val="1"/>
                <w:rtl w:val="0"/>
              </w:rPr>
              <w:t xml:space="preserve">Weight </w:t>
            </w:r>
          </w:p>
        </w:tc>
        <w:tc>
          <w:tcPr>
            <w:tcBorders>
              <w:top w:color="000000" w:space="0" w:sz="6" w:val="single"/>
              <w:left w:color="000000" w:space="0" w:sz="6" w:val="single"/>
              <w:bottom w:color="000000" w:space="0" w:sz="6" w:val="single"/>
              <w:right w:color="000000" w:space="0" w:sz="6" w:val="single"/>
            </w:tcBorders>
            <w:shd w:fill="a4c2f4" w:val="clear"/>
            <w:tcMar>
              <w:left w:w="45.0" w:type="dxa"/>
              <w:right w:w="45.0" w:type="dxa"/>
            </w:tcMar>
            <w:vAlign w:val="center"/>
          </w:tcPr>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b w:val="1"/>
                <w:rtl w:val="0"/>
              </w:rPr>
              <w:t xml:space="preserve">RAD750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left w:w="45.0" w:type="dxa"/>
              <w:right w:w="45.0" w:type="dxa"/>
            </w:tcMar>
            <w:vAlign w:val="center"/>
          </w:tcPr>
          <w:p w:rsidR="00000000" w:rsidDel="00000000" w:rsidP="00000000" w:rsidRDefault="00000000" w:rsidRPr="00000000" w14:paraId="00000017">
            <w:pPr>
              <w:jc w:val="center"/>
              <w:rPr>
                <w:rFonts w:ascii="Arial" w:cs="Arial" w:eastAsia="Arial" w:hAnsi="Arial"/>
                <w:b w:val="1"/>
                <w:sz w:val="28"/>
                <w:szCs w:val="28"/>
              </w:rPr>
            </w:pPr>
            <w:r w:rsidDel="00000000" w:rsidR="00000000" w:rsidRPr="00000000">
              <w:rPr>
                <w:b w:val="1"/>
                <w:rtl w:val="0"/>
              </w:rPr>
              <w:t xml:space="preserve">LEON-3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left w:w="45.0" w:type="dxa"/>
              <w:right w:w="45.0" w:type="dxa"/>
            </w:tcMar>
            <w:vAlign w:val="center"/>
          </w:tcPr>
          <w:p w:rsidR="00000000" w:rsidDel="00000000" w:rsidP="00000000" w:rsidRDefault="00000000" w:rsidRPr="00000000" w14:paraId="00000018">
            <w:pPr>
              <w:jc w:val="center"/>
              <w:rPr>
                <w:rFonts w:ascii="Arial" w:cs="Arial" w:eastAsia="Arial" w:hAnsi="Arial"/>
                <w:b w:val="1"/>
                <w:sz w:val="28"/>
                <w:szCs w:val="28"/>
              </w:rPr>
            </w:pPr>
            <w:r w:rsidDel="00000000" w:rsidR="00000000" w:rsidRPr="00000000">
              <w:rPr>
                <w:b w:val="1"/>
                <w:rtl w:val="0"/>
              </w:rPr>
              <w:t xml:space="preserve">Space Cube</w:t>
            </w:r>
            <w:r w:rsidDel="00000000" w:rsidR="00000000" w:rsidRPr="00000000">
              <w:rPr>
                <w:rtl w:val="0"/>
              </w:rPr>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Overall cost of the command processing unit.</w:t>
            </w:r>
          </w:p>
          <w:p w:rsidR="00000000" w:rsidDel="00000000" w:rsidP="00000000" w:rsidRDefault="00000000" w:rsidRPr="00000000" w14:paraId="000000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total cost should not exceed $300M.Total cost of the CPU unit. Lower cost is preferred to remain within budget.</w:t>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01C">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1D">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1E">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1F">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associated with potential failures and impact on mission success.</w:t>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026">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27">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28">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29">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Performance</w:t>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Ability to meet processing requirements (1 second  command execution).Processing speed and ability to handle complex commands efficiently.</w:t>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031">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32">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33">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34">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 of integration and operational usage within the spacecraft.Ease of integration with other subsystems.</w:t>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03B">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3C">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3D">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3E">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rHeight w:val="279"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4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TOTALS:</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4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34a853" w:val="clear"/>
            <w:tcMar>
              <w:left w:w="45.0" w:type="dxa"/>
              <w:right w:w="45.0" w:type="dxa"/>
            </w:tcMar>
            <w:vAlign w:val="center"/>
          </w:tcPr>
          <w:p w:rsidR="00000000" w:rsidDel="00000000" w:rsidP="00000000" w:rsidRDefault="00000000" w:rsidRPr="00000000" w14:paraId="00000047">
            <w:pPr>
              <w:jc w:val="center"/>
              <w:rPr>
                <w:rFonts w:ascii="Arial" w:cs="Arial" w:eastAsia="Arial" w:hAnsi="Arial"/>
                <w:sz w:val="20"/>
                <w:szCs w:val="20"/>
              </w:rPr>
            </w:pPr>
            <w:commentRangeStart w:id="0"/>
            <w:commentRangeStart w:id="1"/>
            <w:r w:rsidDel="00000000" w:rsidR="00000000" w:rsidRPr="00000000">
              <w:rPr>
                <w:rFonts w:ascii="Arial" w:cs="Arial" w:eastAsia="Arial" w:hAnsi="Arial"/>
                <w:sz w:val="20"/>
                <w:szCs w:val="20"/>
                <w:rtl w:val="0"/>
              </w:rPr>
              <w:t xml:space="preserve">78.00%</w:t>
            </w:r>
          </w:p>
        </w:tc>
        <w:tc>
          <w:tcPr>
            <w:tcBorders>
              <w:top w:color="000000" w:space="0" w:sz="6" w:val="single"/>
              <w:left w:color="000000" w:space="0" w:sz="6" w:val="single"/>
              <w:bottom w:color="000000" w:space="0" w:sz="6" w:val="single"/>
              <w:right w:color="000000" w:space="0" w:sz="6" w:val="single"/>
            </w:tcBorders>
            <w:shd w:fill="34a853" w:val="clear"/>
            <w:tcMar>
              <w:left w:w="45.0" w:type="dxa"/>
              <w:right w:w="45.0" w:type="dxa"/>
            </w:tcMar>
            <w:vAlign w:val="center"/>
          </w:tcPr>
          <w:p w:rsidR="00000000" w:rsidDel="00000000" w:rsidP="00000000" w:rsidRDefault="00000000" w:rsidRPr="00000000" w14:paraId="0000004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70.50%</w:t>
            </w:r>
          </w:p>
        </w:tc>
        <w:tc>
          <w:tcPr>
            <w:tcBorders>
              <w:top w:color="000000" w:space="0" w:sz="6" w:val="single"/>
              <w:left w:color="000000" w:space="0" w:sz="6" w:val="single"/>
              <w:bottom w:color="000000" w:space="0" w:sz="6" w:val="single"/>
              <w:right w:color="000000" w:space="0" w:sz="6" w:val="single"/>
            </w:tcBorders>
            <w:shd w:fill="ea4335" w:val="clear"/>
            <w:tcMar>
              <w:left w:w="45.0" w:type="dxa"/>
              <w:right w:w="45.0" w:type="dxa"/>
            </w:tcMar>
            <w:vAlign w:val="center"/>
          </w:tcPr>
          <w:p w:rsidR="00000000" w:rsidDel="00000000" w:rsidP="00000000" w:rsidRDefault="00000000" w:rsidRPr="00000000" w14:paraId="0000004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68.00%</w:t>
            </w:r>
          </w:p>
        </w:tc>
      </w:tr>
    </w:tbl>
    <w:p w:rsidR="00000000" w:rsidDel="00000000" w:rsidP="00000000" w:rsidRDefault="00000000" w:rsidRPr="00000000" w14:paraId="0000004A">
      <w:pPr>
        <w:spacing w:after="240" w:before="240" w:line="360" w:lineRule="auto"/>
        <w:rPr>
          <w:rFonts w:ascii="Arial" w:cs="Arial" w:eastAsia="Arial" w:hAnsi="Arial"/>
          <w:b w:val="1"/>
          <w:i w:val="0"/>
          <w:color w:val="000000"/>
          <w:sz w:val="22"/>
          <w:szCs w:val="22"/>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pStyle w:val="Heading4"/>
        <w:keepNext w:val="0"/>
        <w:keepLines w:val="0"/>
        <w:spacing w:before="240" w:line="360" w:lineRule="auto"/>
        <w:rPr>
          <w:rFonts w:ascii="Arial" w:cs="Arial" w:eastAsia="Arial" w:hAnsi="Arial"/>
          <w:b w:val="1"/>
          <w:i w:val="0"/>
          <w:color w:val="000000"/>
          <w:sz w:val="22"/>
          <w:szCs w:val="22"/>
        </w:rPr>
      </w:pPr>
      <w:bookmarkStart w:colFirst="0" w:colLast="0" w:name="_goubjmaqgcpv" w:id="2"/>
      <w:bookmarkEnd w:id="2"/>
      <w:r w:rsidDel="00000000" w:rsidR="00000000" w:rsidRPr="00000000">
        <w:rPr>
          <w:rtl w:val="0"/>
        </w:rPr>
      </w:r>
    </w:p>
    <w:p w:rsidR="00000000" w:rsidDel="00000000" w:rsidP="00000000" w:rsidRDefault="00000000" w:rsidRPr="00000000" w14:paraId="0000004C">
      <w:pPr>
        <w:pStyle w:val="Heading4"/>
        <w:keepNext w:val="0"/>
        <w:keepLines w:val="0"/>
        <w:spacing w:before="240" w:line="360" w:lineRule="auto"/>
        <w:rPr>
          <w:rFonts w:ascii="Arial" w:cs="Arial" w:eastAsia="Arial" w:hAnsi="Arial"/>
          <w:b w:val="1"/>
          <w:i w:val="0"/>
          <w:color w:val="000000"/>
          <w:sz w:val="22"/>
          <w:szCs w:val="22"/>
        </w:rPr>
      </w:pPr>
      <w:bookmarkStart w:colFirst="0" w:colLast="0" w:name="_9ng61hn0xxve" w:id="3"/>
      <w:bookmarkEnd w:id="3"/>
      <w:r w:rsidDel="00000000" w:rsidR="00000000" w:rsidRPr="00000000">
        <w:rPr>
          <w:rFonts w:ascii="Arial" w:cs="Arial" w:eastAsia="Arial" w:hAnsi="Arial"/>
          <w:b w:val="1"/>
          <w:i w:val="0"/>
          <w:color w:val="000000"/>
          <w:sz w:val="22"/>
          <w:szCs w:val="22"/>
          <w:rtl w:val="0"/>
        </w:rPr>
        <w:t xml:space="preserve">2. Communication Interfaces Trade Study</w:t>
      </w:r>
    </w:p>
    <w:p w:rsidR="00000000" w:rsidDel="00000000" w:rsidP="00000000" w:rsidRDefault="00000000" w:rsidRPr="00000000" w14:paraId="0000004D">
      <w:pPr>
        <w:spacing w:after="240" w:before="240" w:line="360" w:lineRule="auto"/>
        <w:rPr>
          <w:rFonts w:ascii="Arial" w:cs="Arial" w:eastAsia="Arial" w:hAnsi="Arial"/>
        </w:rPr>
      </w:pPr>
      <w:r w:rsidDel="00000000" w:rsidR="00000000" w:rsidRPr="00000000">
        <w:rPr>
          <w:rFonts w:ascii="Arial" w:cs="Arial" w:eastAsia="Arial" w:hAnsi="Arial"/>
          <w:rtl w:val="0"/>
        </w:rPr>
        <w:t xml:space="preserve">Communication interfaces enable data transfer between different subsystems within the spacecraft. The protocols evaluated were I2C (Inter-Integrated Circuit), UART (Universal Asynchronous Receiver-Transmitter), and CAN (Controller Area Network).The selected CAN protocol cost was $3,749,820.33.</w:t>
      </w:r>
    </w:p>
    <w:tbl>
      <w:tblPr>
        <w:tblStyle w:val="Table2"/>
        <w:tblpPr w:leftFromText="180" w:rightFromText="180" w:topFromText="0" w:bottomFromText="0" w:vertAnchor="text" w:horzAnchor="text" w:tblpX="-66.66666666666657" w:tblpY="319"/>
        <w:tblW w:w="10005.0" w:type="dxa"/>
        <w:jc w:val="left"/>
        <w:tblLayout w:type="fixed"/>
        <w:tblLook w:val="0400"/>
      </w:tblPr>
      <w:tblGrid>
        <w:gridCol w:w="1350"/>
        <w:gridCol w:w="2325"/>
        <w:gridCol w:w="1470"/>
        <w:gridCol w:w="1245"/>
        <w:gridCol w:w="1245"/>
        <w:gridCol w:w="1276.6666666666679"/>
        <w:gridCol w:w="1093.3333333333321"/>
        <w:tblGridChange w:id="0">
          <w:tblGrid>
            <w:gridCol w:w="1350"/>
            <w:gridCol w:w="2325"/>
            <w:gridCol w:w="1470"/>
            <w:gridCol w:w="1245"/>
            <w:gridCol w:w="1245"/>
            <w:gridCol w:w="1276.6666666666679"/>
            <w:gridCol w:w="1093.3333333333321"/>
          </w:tblGrid>
        </w:tblGridChange>
      </w:tblGrid>
      <w:tr>
        <w:trPr>
          <w:cantSplit w:val="0"/>
          <w:trHeight w:val="1110" w:hRule="atLeast"/>
          <w:tblHeader w:val="0"/>
        </w:trPr>
        <w:tc>
          <w:tcPr>
            <w:gridSpan w:val="7"/>
            <w:tcBorders>
              <w:top w:color="000000" w:space="0" w:sz="6" w:val="single"/>
              <w:left w:color="000000" w:space="0" w:sz="6" w:val="single"/>
              <w:bottom w:color="000000" w:space="0" w:sz="6" w:val="single"/>
              <w:right w:color="000000" w:space="0" w:sz="6" w:val="single"/>
            </w:tcBorders>
            <w:shd w:fill="999999" w:val="clear"/>
            <w:tcMar>
              <w:top w:w="0.0" w:type="dxa"/>
              <w:left w:w="45.0" w:type="dxa"/>
              <w:bottom w:w="0.0" w:type="dxa"/>
              <w:right w:w="45.0" w:type="dxa"/>
            </w:tcMar>
            <w:vAlign w:val="center"/>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t xml:space="preserve">Communication Interfaces (I2C, UART, CAN) Trade Study</w:t>
            </w:r>
            <w:r w:rsidDel="00000000" w:rsidR="00000000" w:rsidRPr="00000000">
              <w:rPr>
                <w:rtl w:val="0"/>
              </w:rPr>
            </w:r>
          </w:p>
        </w:tc>
      </w:tr>
      <w:tr>
        <w:trPr>
          <w:cantSplit w:val="0"/>
          <w:trHeight w:val="2192" w:hRule="atLeast"/>
          <w:tblHeader w:val="0"/>
        </w:trPr>
        <w:tc>
          <w:tcPr>
            <w:tcBorders>
              <w:top w:color="cccccc" w:space="0" w:sz="6" w:val="single"/>
              <w:left w:color="000000"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55">
            <w:pPr>
              <w:jc w:val="center"/>
              <w:rPr>
                <w:rFonts w:ascii="Arial" w:cs="Arial" w:eastAsia="Arial" w:hAnsi="Arial"/>
                <w:b w:val="1"/>
              </w:rPr>
            </w:pPr>
            <w:r w:rsidDel="00000000" w:rsidR="00000000" w:rsidRPr="00000000">
              <w:rPr>
                <w:rFonts w:ascii="Arial" w:cs="Arial" w:eastAsia="Arial" w:hAnsi="Arial"/>
                <w:b w:val="1"/>
                <w:rtl w:val="0"/>
              </w:rPr>
              <w:t xml:space="preserve">Criteria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56">
            <w:pPr>
              <w:jc w:val="center"/>
              <w:rPr>
                <w:rFonts w:ascii="Arial" w:cs="Arial" w:eastAsia="Arial" w:hAnsi="Arial"/>
                <w:b w:val="1"/>
              </w:rPr>
            </w:pPr>
            <w:r w:rsidDel="00000000" w:rsidR="00000000" w:rsidRPr="00000000">
              <w:rPr>
                <w:rFonts w:ascii="Arial" w:cs="Arial" w:eastAsia="Arial" w:hAnsi="Arial"/>
                <w:b w:val="1"/>
                <w:rtl w:val="0"/>
              </w:rPr>
              <w:t xml:space="preserve">Explanation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57">
            <w:pPr>
              <w:jc w:val="center"/>
              <w:rPr>
                <w:rFonts w:ascii="Arial" w:cs="Arial" w:eastAsia="Arial" w:hAnsi="Arial"/>
                <w:b w:val="1"/>
              </w:rPr>
            </w:pPr>
            <w:r w:rsidDel="00000000" w:rsidR="00000000" w:rsidRPr="00000000">
              <w:rPr>
                <w:b w:val="1"/>
                <w:rtl w:val="0"/>
              </w:rPr>
              <w:t xml:space="preserve">Grade</w:t>
            </w:r>
            <w:r w:rsidDel="00000000" w:rsidR="00000000" w:rsidRPr="00000000">
              <w:rPr>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58">
            <w:pPr>
              <w:jc w:val="center"/>
              <w:rPr>
                <w:rFonts w:ascii="Arial" w:cs="Arial" w:eastAsia="Arial" w:hAnsi="Arial"/>
                <w:b w:val="1"/>
              </w:rPr>
            </w:pPr>
            <w:r w:rsidDel="00000000" w:rsidR="00000000" w:rsidRPr="00000000">
              <w:rPr>
                <w:rFonts w:ascii="Arial" w:cs="Arial" w:eastAsia="Arial" w:hAnsi="Arial"/>
                <w:b w:val="1"/>
                <w:rtl w:val="0"/>
              </w:rPr>
              <w:t xml:space="preserve">Weight </w:t>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59">
            <w:pPr>
              <w:jc w:val="center"/>
              <w:rPr>
                <w:rFonts w:ascii="Arial" w:cs="Arial" w:eastAsia="Arial" w:hAnsi="Arial"/>
                <w:b w:val="1"/>
                <w:sz w:val="28"/>
                <w:szCs w:val="28"/>
              </w:rPr>
            </w:pPr>
            <w:r w:rsidDel="00000000" w:rsidR="00000000" w:rsidRPr="00000000">
              <w:rPr>
                <w:b w:val="1"/>
                <w:rtl w:val="0"/>
              </w:rPr>
              <w:t xml:space="preserve">I2C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5A">
            <w:pPr>
              <w:jc w:val="center"/>
              <w:rPr>
                <w:rFonts w:ascii="Arial" w:cs="Arial" w:eastAsia="Arial" w:hAnsi="Arial"/>
                <w:b w:val="1"/>
                <w:sz w:val="28"/>
                <w:szCs w:val="28"/>
              </w:rPr>
            </w:pPr>
            <w:r w:rsidDel="00000000" w:rsidR="00000000" w:rsidRPr="00000000">
              <w:rPr>
                <w:b w:val="1"/>
                <w:rtl w:val="0"/>
              </w:rPr>
              <w:t xml:space="preserve">UART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5B">
            <w:pPr>
              <w:jc w:val="center"/>
              <w:rPr>
                <w:rFonts w:ascii="Arial" w:cs="Arial" w:eastAsia="Arial" w:hAnsi="Arial"/>
                <w:b w:val="1"/>
                <w:sz w:val="28"/>
                <w:szCs w:val="28"/>
              </w:rPr>
            </w:pPr>
            <w:r w:rsidDel="00000000" w:rsidR="00000000" w:rsidRPr="00000000">
              <w:rPr>
                <w:b w:val="1"/>
                <w:rtl w:val="0"/>
              </w:rPr>
              <w:t xml:space="preserve">CAN</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5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5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Overall cost of the communication interface.Total cost of the communication protocol implementation.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5E">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5F">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60">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associated with potential communication failures and data loss.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68">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69">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6A">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6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Ability to meet data transfer requirements and latency constraints.Data transfer rate and the ability to meet latency requirements for spacecraft operations.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72">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73">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74">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75">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7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 of integration and operational usage within the spacecraft. Ease of implementation and compatibility with other subsystems.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7C">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7D">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7E">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7F">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478.8964843749977"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4">
            <w:pPr>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8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shd w:fill="34a853" w:val="clear"/>
            <w:tcMar>
              <w:top w:w="0.0" w:type="dxa"/>
              <w:left w:w="45.0" w:type="dxa"/>
              <w:bottom w:w="0.0" w:type="dxa"/>
              <w:right w:w="45.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commentRangeStart w:id="2"/>
            <w:commentRangeStart w:id="3"/>
            <w:r w:rsidDel="00000000" w:rsidR="00000000" w:rsidRPr="00000000">
              <w:rPr>
                <w:rtl w:val="0"/>
              </w:rPr>
            </w:r>
          </w:p>
          <w:tbl>
            <w:tblPr>
              <w:tblStyle w:val="Table3"/>
              <w:tblW w:w="107.0" w:type="dxa"/>
              <w:jc w:val="left"/>
              <w:tblInd w:w="2.0" w:type="dxa"/>
              <w:tblLayout w:type="fixed"/>
              <w:tblLook w:val="0400"/>
            </w:tblPr>
            <w:tblGrid>
              <w:gridCol w:w="107"/>
              <w:tblGridChange w:id="0">
                <w:tblGrid>
                  <w:gridCol w:w="107"/>
                </w:tblGrid>
              </w:tblGridChange>
            </w:tblGrid>
            <w:tr>
              <w:trPr>
                <w:cantSplit w:val="0"/>
                <w:trHeight w:val="13" w:hRule="atLeast"/>
                <w:tblHeader w:val="0"/>
              </w:trPr>
              <w:tc>
                <w:tcPr>
                  <w:vAlign w:val="center"/>
                </w:tcPr>
                <w:p w:rsidR="00000000" w:rsidDel="00000000" w:rsidP="00000000" w:rsidRDefault="00000000" w:rsidRPr="00000000" w14:paraId="00000089">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4"/>
              <w:tblW w:w="739.0" w:type="dxa"/>
              <w:jc w:val="left"/>
              <w:tblInd w:w="2.0" w:type="dxa"/>
              <w:tblLayout w:type="fixed"/>
              <w:tblLook w:val="0400"/>
            </w:tblPr>
            <w:tblGrid>
              <w:gridCol w:w="739"/>
              <w:tblGridChange w:id="0">
                <w:tblGrid>
                  <w:gridCol w:w="739"/>
                </w:tblGrid>
              </w:tblGridChange>
            </w:tblGrid>
            <w:tr>
              <w:trPr>
                <w:cantSplit w:val="0"/>
                <w:trHeight w:val="240" w:hRule="atLeast"/>
                <w:tblHeader w:val="0"/>
              </w:trPr>
              <w:tc>
                <w:tcPr>
                  <w:vAlign w:val="center"/>
                </w:tcPr>
                <w:p w:rsidR="00000000" w:rsidDel="00000000" w:rsidP="00000000" w:rsidRDefault="00000000" w:rsidRPr="00000000" w14:paraId="0000008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70.00%</w:t>
                  </w:r>
                </w:p>
              </w:tc>
            </w:tr>
          </w:tbl>
          <w:p w:rsidR="00000000" w:rsidDel="00000000" w:rsidP="00000000" w:rsidRDefault="00000000" w:rsidRPr="00000000" w14:paraId="0000008C">
            <w:pPr>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0.0" w:type="dxa"/>
              <w:left w:w="45.0" w:type="dxa"/>
              <w:bottom w:w="0.0" w:type="dxa"/>
              <w:right w:w="45.0" w:type="dxa"/>
            </w:tcMar>
            <w:vAlign w:val="center"/>
          </w:tcPr>
          <w:p w:rsidR="00000000" w:rsidDel="00000000" w:rsidP="00000000" w:rsidRDefault="00000000" w:rsidRPr="00000000" w14:paraId="0000008D">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67.00%</w:t>
            </w:r>
          </w:p>
        </w:tc>
        <w:tc>
          <w:tcPr>
            <w:tcBorders>
              <w:top w:color="cccccc" w:space="0" w:sz="6" w:val="single"/>
              <w:left w:color="cccccc" w:space="0" w:sz="6" w:val="single"/>
              <w:bottom w:color="000000" w:space="0" w:sz="6" w:val="single"/>
              <w:right w:color="000000" w:space="0" w:sz="6" w:val="single"/>
            </w:tcBorders>
            <w:shd w:fill="ea4335" w:val="clear"/>
            <w:tcMar>
              <w:top w:w="0.0" w:type="dxa"/>
              <w:left w:w="45.0" w:type="dxa"/>
              <w:bottom w:w="0.0" w:type="dxa"/>
              <w:right w:w="45.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5"/>
              <w:tblW w:w="107.0" w:type="dxa"/>
              <w:jc w:val="left"/>
              <w:tblInd w:w="2.0" w:type="dxa"/>
              <w:tblLayout w:type="fixed"/>
              <w:tblLook w:val="0400"/>
            </w:tblPr>
            <w:tblGrid>
              <w:gridCol w:w="107"/>
              <w:tblGridChange w:id="0">
                <w:tblGrid>
                  <w:gridCol w:w="107"/>
                </w:tblGrid>
              </w:tblGridChange>
            </w:tblGrid>
            <w:tr>
              <w:trPr>
                <w:cantSplit w:val="0"/>
                <w:trHeight w:val="13" w:hRule="atLeast"/>
                <w:tblHeader w:val="0"/>
              </w:trPr>
              <w:tc>
                <w:tcPr>
                  <w:vAlign w:val="center"/>
                </w:tcPr>
                <w:p w:rsidR="00000000" w:rsidDel="00000000" w:rsidP="00000000" w:rsidRDefault="00000000" w:rsidRPr="00000000" w14:paraId="00000091">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6"/>
              <w:tblW w:w="739.0" w:type="dxa"/>
              <w:jc w:val="left"/>
              <w:tblInd w:w="2.0" w:type="dxa"/>
              <w:tblLayout w:type="fixed"/>
              <w:tblLook w:val="0400"/>
            </w:tblPr>
            <w:tblGrid>
              <w:gridCol w:w="739"/>
              <w:tblGridChange w:id="0">
                <w:tblGrid>
                  <w:gridCol w:w="739"/>
                </w:tblGrid>
              </w:tblGridChange>
            </w:tblGrid>
            <w:tr>
              <w:trPr>
                <w:cantSplit w:val="0"/>
                <w:trHeight w:val="240" w:hRule="atLeast"/>
                <w:tblHeader w:val="0"/>
              </w:trPr>
              <w:tc>
                <w:tcPr>
                  <w:vAlign w:val="center"/>
                </w:tcPr>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74.50%</w:t>
                  </w:r>
                  <w:r w:rsidDel="00000000" w:rsidR="00000000" w:rsidRPr="00000000">
                    <w:rPr>
                      <w:rtl w:val="0"/>
                    </w:rPr>
                  </w:r>
                </w:p>
              </w:tc>
            </w:tr>
          </w:tbl>
          <w:p w:rsidR="00000000" w:rsidDel="00000000" w:rsidP="00000000" w:rsidRDefault="00000000" w:rsidRPr="00000000" w14:paraId="00000094">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5">
      <w:pPr>
        <w:spacing w:after="240" w:before="240" w:line="360" w:lineRule="auto"/>
        <w:ind w:left="0" w:firstLine="0"/>
        <w:rPr>
          <w:rFonts w:ascii="Arial" w:cs="Arial" w:eastAsia="Arial" w:hAnsi="Arial"/>
          <w:b w:val="1"/>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6">
      <w:pPr>
        <w:spacing w:after="240" w:before="240" w:line="360" w:lineRule="auto"/>
        <w:ind w:left="0" w:firstLine="0"/>
        <w:rPr>
          <w:rFonts w:ascii="Arial" w:cs="Arial" w:eastAsia="Arial" w:hAnsi="Arial"/>
        </w:rPr>
      </w:pPr>
      <w:r w:rsidDel="00000000" w:rsidR="00000000" w:rsidRPr="00000000">
        <w:rPr>
          <w:rFonts w:ascii="Arial" w:cs="Arial" w:eastAsia="Arial" w:hAnsi="Arial"/>
          <w:rtl w:val="0"/>
        </w:rPr>
        <w:t xml:space="preserve">The CAN protocol emerged as the top choice due to its robustness and high fault tolerance, scoring 9 in risk. CAN is widely used in automotive and aerospace applications, where reliability and fault tolerance are paramount . Its ability to handle multiple devices while ensuring error detection and correction made it an ideal choice for space missions where communication must be fail-safe.</w:t>
        <w:br w:type="textWrapping"/>
        <w:t xml:space="preserve">I2C, while more cost-effective and simpler to integrate (rated 8 in cost and complexity), scored lower in terms of risk and performance. It is typically used for shorter-range communication between multiple devices on a single bus but may struggle in high-speed or long-range communications . UART, known for its simplicity and moderate performance, lacked the robustness needed for fault-tolerant communication in space, placing it third.</w:t>
        <w:br w:type="textWrapping"/>
        <w:t xml:space="preserve">The weighting for risk (35%) and performance (30%) was prioritized, given the need for reliable data transfer in critical spacecraft operations. Cost (20%) and complexity (15%) were considered secondary, as the robustness and reliability of the communication protocol were deemed more important for mission success.</w:t>
      </w:r>
    </w:p>
    <w:p w:rsidR="00000000" w:rsidDel="00000000" w:rsidP="00000000" w:rsidRDefault="00000000" w:rsidRPr="00000000" w14:paraId="00000097">
      <w:pPr>
        <w:spacing w:after="280" w:before="280" w:line="36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4"/>
        <w:keepNext w:val="0"/>
        <w:keepLines w:val="0"/>
        <w:spacing w:before="240" w:line="360" w:lineRule="auto"/>
        <w:rPr>
          <w:rFonts w:ascii="Arial" w:cs="Arial" w:eastAsia="Arial" w:hAnsi="Arial"/>
          <w:b w:val="1"/>
          <w:i w:val="0"/>
          <w:color w:val="000000"/>
          <w:sz w:val="22"/>
          <w:szCs w:val="22"/>
        </w:rPr>
      </w:pPr>
      <w:bookmarkStart w:colFirst="0" w:colLast="0" w:name="_cbjnz81f2n5d" w:id="4"/>
      <w:bookmarkEnd w:id="4"/>
      <w:r w:rsidDel="00000000" w:rsidR="00000000" w:rsidRPr="00000000">
        <w:rPr>
          <w:rFonts w:ascii="Arial" w:cs="Arial" w:eastAsia="Arial" w:hAnsi="Arial"/>
          <w:b w:val="1"/>
          <w:i w:val="0"/>
          <w:color w:val="000000"/>
          <w:sz w:val="22"/>
          <w:szCs w:val="22"/>
          <w:rtl w:val="0"/>
        </w:rPr>
        <w:t xml:space="preserve">3. Data Storage Trade Study</w:t>
      </w:r>
    </w:p>
    <w:p w:rsidR="00000000" w:rsidDel="00000000" w:rsidP="00000000" w:rsidRDefault="00000000" w:rsidRPr="00000000" w14:paraId="00000099">
      <w:pPr>
        <w:spacing w:after="240" w:before="240" w:line="360" w:lineRule="auto"/>
        <w:rPr>
          <w:rFonts w:ascii="Arial" w:cs="Arial" w:eastAsia="Arial" w:hAnsi="Arial"/>
        </w:rPr>
      </w:pPr>
      <w:r w:rsidDel="00000000" w:rsidR="00000000" w:rsidRPr="00000000">
        <w:rPr>
          <w:rFonts w:ascii="Arial" w:cs="Arial" w:eastAsia="Arial" w:hAnsi="Arial"/>
          <w:rtl w:val="0"/>
        </w:rPr>
        <w:t xml:space="preserve">Reliable data storage is vital for spacecraft to handle mission-critical data. The memory options evaluated included Flash Memory, SRAM, and EEPROM. The selected SRAM memory, which provides enhanced radiation tolerance, was valued at $4,982,154.89.</w:t>
      </w:r>
    </w:p>
    <w:p w:rsidR="00000000" w:rsidDel="00000000" w:rsidP="00000000" w:rsidRDefault="00000000" w:rsidRPr="00000000" w14:paraId="0000009A">
      <w:pPr>
        <w:spacing w:after="240" w:before="240" w:line="360" w:lineRule="auto"/>
        <w:rPr>
          <w:rFonts w:ascii="Arial" w:cs="Arial" w:eastAsia="Arial" w:hAnsi="Arial"/>
        </w:rPr>
      </w:pPr>
      <w:r w:rsidDel="00000000" w:rsidR="00000000" w:rsidRPr="00000000">
        <w:rPr>
          <w:rtl w:val="0"/>
        </w:rPr>
      </w:r>
    </w:p>
    <w:tbl>
      <w:tblPr>
        <w:tblStyle w:val="Table7"/>
        <w:tblpPr w:leftFromText="180" w:rightFromText="180" w:topFromText="0" w:bottomFromText="0" w:vertAnchor="text" w:horzAnchor="text" w:tblpX="-16.666666666666714" w:tblpY="125"/>
        <w:tblW w:w="9855.0" w:type="dxa"/>
        <w:jc w:val="left"/>
        <w:tblLayout w:type="fixed"/>
        <w:tblLook w:val="0400"/>
      </w:tblPr>
      <w:tblGrid>
        <w:gridCol w:w="1290"/>
        <w:gridCol w:w="1980"/>
        <w:gridCol w:w="1095"/>
        <w:gridCol w:w="1035"/>
        <w:gridCol w:w="1680"/>
        <w:gridCol w:w="1443.3333333333344"/>
        <w:gridCol w:w="1331.6666666666656"/>
        <w:tblGridChange w:id="0">
          <w:tblGrid>
            <w:gridCol w:w="1290"/>
            <w:gridCol w:w="1980"/>
            <w:gridCol w:w="1095"/>
            <w:gridCol w:w="1035"/>
            <w:gridCol w:w="1680"/>
            <w:gridCol w:w="1443.3333333333344"/>
            <w:gridCol w:w="1331.6666666666656"/>
          </w:tblGrid>
        </w:tblGridChange>
      </w:tblGrid>
      <w:tr>
        <w:trPr>
          <w:cantSplit w:val="0"/>
          <w:trHeight w:val="975" w:hRule="atLeast"/>
          <w:tblHeader w:val="0"/>
        </w:trPr>
        <w:tc>
          <w:tcPr>
            <w:gridSpan w:val="7"/>
            <w:tcBorders>
              <w:top w:color="000000" w:space="0" w:sz="6" w:val="single"/>
              <w:left w:color="000000" w:space="0" w:sz="6" w:val="single"/>
              <w:bottom w:color="000000" w:space="0" w:sz="6" w:val="single"/>
              <w:right w:color="000000" w:space="0" w:sz="6" w:val="single"/>
            </w:tcBorders>
            <w:shd w:fill="999999" w:val="clear"/>
            <w:tcMar>
              <w:top w:w="0.0" w:type="dxa"/>
              <w:left w:w="45.0" w:type="dxa"/>
              <w:bottom w:w="0.0" w:type="dxa"/>
              <w:right w:w="45.0" w:type="dxa"/>
            </w:tcMar>
            <w:vAlign w:val="center"/>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t xml:space="preserve">Data Storage (Radiation-Hardened Memory) Trade Study</w:t>
            </w:r>
            <w:r w:rsidDel="00000000" w:rsidR="00000000" w:rsidRPr="00000000">
              <w:rPr>
                <w:rtl w:val="0"/>
              </w:rPr>
            </w:r>
          </w:p>
        </w:tc>
      </w:tr>
      <w:tr>
        <w:trPr>
          <w:cantSplit w:val="0"/>
          <w:trHeight w:val="1112" w:hRule="atLeast"/>
          <w:tblHeader w:val="0"/>
        </w:trPr>
        <w:tc>
          <w:tcPr>
            <w:tcBorders>
              <w:top w:color="cccccc" w:space="0" w:sz="6" w:val="single"/>
              <w:left w:color="000000"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A2">
            <w:pPr>
              <w:jc w:val="center"/>
              <w:rPr>
                <w:rFonts w:ascii="Arial" w:cs="Arial" w:eastAsia="Arial" w:hAnsi="Arial"/>
                <w:b w:val="1"/>
              </w:rPr>
            </w:pPr>
            <w:r w:rsidDel="00000000" w:rsidR="00000000" w:rsidRPr="00000000">
              <w:rPr>
                <w:rFonts w:ascii="Arial" w:cs="Arial" w:eastAsia="Arial" w:hAnsi="Arial"/>
                <w:b w:val="1"/>
                <w:rtl w:val="0"/>
              </w:rPr>
              <w:t xml:space="preserve">Criteria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A3">
            <w:pPr>
              <w:jc w:val="center"/>
              <w:rPr>
                <w:rFonts w:ascii="Arial" w:cs="Arial" w:eastAsia="Arial" w:hAnsi="Arial"/>
                <w:b w:val="1"/>
              </w:rPr>
            </w:pPr>
            <w:r w:rsidDel="00000000" w:rsidR="00000000" w:rsidRPr="00000000">
              <w:rPr>
                <w:rFonts w:ascii="Arial" w:cs="Arial" w:eastAsia="Arial" w:hAnsi="Arial"/>
                <w:b w:val="1"/>
                <w:rtl w:val="0"/>
              </w:rPr>
              <w:t xml:space="preserve">Explanation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A4">
            <w:pPr>
              <w:jc w:val="center"/>
              <w:rPr>
                <w:rFonts w:ascii="Arial" w:cs="Arial" w:eastAsia="Arial" w:hAnsi="Arial"/>
                <w:b w:val="1"/>
              </w:rPr>
            </w:pPr>
            <w:r w:rsidDel="00000000" w:rsidR="00000000" w:rsidRPr="00000000">
              <w:rPr>
                <w:b w:val="1"/>
                <w:rtl w:val="0"/>
              </w:rPr>
              <w:t xml:space="preserve">Grade</w:t>
            </w:r>
            <w:r w:rsidDel="00000000" w:rsidR="00000000" w:rsidRPr="00000000">
              <w:rPr>
                <w:rtl w:val="0"/>
              </w:rPr>
              <w:t xml:space="preserve"> </w:t>
            </w:r>
            <w:r w:rsidDel="00000000" w:rsidR="00000000" w:rsidRPr="00000000">
              <w:rPr>
                <w:rFonts w:ascii="Arial" w:cs="Arial" w:eastAsia="Arial" w:hAnsi="Arial"/>
                <w:b w:val="1"/>
                <w:rtl w:val="0"/>
              </w:rPr>
              <w:t xml:space="preserve"> </w:t>
            </w:r>
          </w:p>
        </w:tc>
        <w:tc>
          <w:tcPr>
            <w:tcBorders>
              <w:top w:color="cccccc" w:space="0" w:sz="6" w:val="single"/>
              <w:left w:color="cccccc" w:space="0" w:sz="6" w:val="single"/>
              <w:bottom w:color="000000" w:space="0" w:sz="6" w:val="single"/>
              <w:right w:color="000000" w:space="0" w:sz="6" w:val="single"/>
            </w:tcBorders>
            <w:shd w:fill="cccccc" w:val="clear"/>
            <w:tcMar>
              <w:top w:w="0.0" w:type="dxa"/>
              <w:left w:w="45.0" w:type="dxa"/>
              <w:bottom w:w="0.0" w:type="dxa"/>
              <w:right w:w="45.0" w:type="dxa"/>
            </w:tcMar>
            <w:vAlign w:val="center"/>
          </w:tcPr>
          <w:p w:rsidR="00000000" w:rsidDel="00000000" w:rsidP="00000000" w:rsidRDefault="00000000" w:rsidRPr="00000000" w14:paraId="000000A5">
            <w:pPr>
              <w:jc w:val="center"/>
              <w:rPr>
                <w:rFonts w:ascii="Arial" w:cs="Arial" w:eastAsia="Arial" w:hAnsi="Arial"/>
                <w:b w:val="1"/>
              </w:rPr>
            </w:pPr>
            <w:r w:rsidDel="00000000" w:rsidR="00000000" w:rsidRPr="00000000">
              <w:rPr>
                <w:rFonts w:ascii="Arial" w:cs="Arial" w:eastAsia="Arial" w:hAnsi="Arial"/>
                <w:b w:val="1"/>
                <w:rtl w:val="0"/>
              </w:rPr>
              <w:t xml:space="preserve">Weight </w:t>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A6">
            <w:pPr>
              <w:jc w:val="center"/>
              <w:rPr>
                <w:rFonts w:ascii="Arial" w:cs="Arial" w:eastAsia="Arial" w:hAnsi="Arial"/>
                <w:b w:val="1"/>
                <w:sz w:val="28"/>
                <w:szCs w:val="28"/>
              </w:rPr>
            </w:pPr>
            <w:r w:rsidDel="00000000" w:rsidR="00000000" w:rsidRPr="00000000">
              <w:rPr>
                <w:b w:val="1"/>
                <w:rtl w:val="0"/>
              </w:rPr>
              <w:t xml:space="preserve">Flash Memory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A7">
            <w:pPr>
              <w:jc w:val="center"/>
              <w:rPr>
                <w:rFonts w:ascii="Arial" w:cs="Arial" w:eastAsia="Arial" w:hAnsi="Arial"/>
                <w:b w:val="1"/>
                <w:sz w:val="28"/>
                <w:szCs w:val="28"/>
              </w:rPr>
            </w:pPr>
            <w:r w:rsidDel="00000000" w:rsidR="00000000" w:rsidRPr="00000000">
              <w:rPr>
                <w:b w:val="1"/>
                <w:rtl w:val="0"/>
              </w:rPr>
              <w:t xml:space="preserve">SRAM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0.0" w:type="dxa"/>
              <w:left w:w="45.0" w:type="dxa"/>
              <w:bottom w:w="0.0" w:type="dxa"/>
              <w:right w:w="45.0" w:type="dxa"/>
            </w:tcMar>
            <w:vAlign w:val="center"/>
          </w:tcPr>
          <w:p w:rsidR="00000000" w:rsidDel="00000000" w:rsidP="00000000" w:rsidRDefault="00000000" w:rsidRPr="00000000" w14:paraId="000000A8">
            <w:pPr>
              <w:jc w:val="center"/>
              <w:rPr>
                <w:rFonts w:ascii="Arial" w:cs="Arial" w:eastAsia="Arial" w:hAnsi="Arial"/>
                <w:b w:val="1"/>
                <w:sz w:val="28"/>
                <w:szCs w:val="28"/>
              </w:rPr>
            </w:pPr>
            <w:r w:rsidDel="00000000" w:rsidR="00000000" w:rsidRPr="00000000">
              <w:rPr>
                <w:b w:val="1"/>
                <w:rtl w:val="0"/>
              </w:rPr>
              <w:t xml:space="preserve">EEPROM</w:t>
            </w:r>
            <w:r w:rsidDel="00000000" w:rsidR="00000000" w:rsidRPr="00000000">
              <w:rPr>
                <w:rtl w:val="0"/>
              </w:rPr>
            </w:r>
          </w:p>
        </w:tc>
      </w:tr>
      <w:tr>
        <w:trPr>
          <w:cantSplit w:val="0"/>
          <w:trHeight w:val="1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A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8"/>
              <w:tblW w:w="108.0" w:type="dxa"/>
              <w:jc w:val="left"/>
              <w:tblInd w:w="2.0" w:type="dxa"/>
              <w:tblLayout w:type="fixed"/>
              <w:tblLook w:val="0400"/>
            </w:tblPr>
            <w:tblGrid>
              <w:gridCol w:w="108"/>
              <w:tblGridChange w:id="0">
                <w:tblGrid>
                  <w:gridCol w:w="108"/>
                </w:tblGrid>
              </w:tblGridChange>
            </w:tblGrid>
            <w:tr>
              <w:trPr>
                <w:cantSplit w:val="0"/>
                <w:trHeight w:val="6" w:hRule="atLeast"/>
                <w:tblHeader w:val="0"/>
              </w:trPr>
              <w:tc>
                <w:tcPr>
                  <w:vAlign w:val="center"/>
                </w:tcPr>
                <w:p w:rsidR="00000000" w:rsidDel="00000000" w:rsidP="00000000" w:rsidRDefault="00000000" w:rsidRPr="00000000" w14:paraId="000000AB">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9"/>
              <w:tblW w:w="2143.0" w:type="dxa"/>
              <w:jc w:val="left"/>
              <w:tblInd w:w="2.0" w:type="dxa"/>
              <w:tblLayout w:type="fixed"/>
              <w:tblLook w:val="0400"/>
            </w:tblPr>
            <w:tblGrid>
              <w:gridCol w:w="2143"/>
              <w:tblGridChange w:id="0">
                <w:tblGrid>
                  <w:gridCol w:w="2143"/>
                </w:tblGrid>
              </w:tblGridChange>
            </w:tblGrid>
            <w:tr>
              <w:trPr>
                <w:cantSplit w:val="0"/>
                <w:trHeight w:val="352" w:hRule="atLeast"/>
                <w:tblHeader w:val="0"/>
              </w:trPr>
              <w:tc>
                <w:tcPr>
                  <w:vAlign w:val="center"/>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Overall cost of the radiation-hardened memory solution.</w:t>
                  </w:r>
                </w:p>
              </w:tc>
            </w:tr>
          </w:tbl>
          <w:p w:rsidR="00000000" w:rsidDel="00000000" w:rsidP="00000000" w:rsidRDefault="00000000" w:rsidRPr="00000000" w14:paraId="000000AE">
            <w:pPr>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AF">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B0">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B1">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B2">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rHeight w:val="1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associated with data loss and memory corruption due to radiation.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B9">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BA">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BB">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BC">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B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cantSplit w:val="0"/>
          <w:trHeight w:val="152"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Ability to store and retrieve data reliably in harsh conditions. </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C3">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C4">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C5">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C6">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604.863281249999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 of integration and usage in the spacecraft system. Ease of integration with the overall system.</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5.0" w:type="dxa"/>
              <w:bottom w:w="0.0" w:type="dxa"/>
              <w:right w:w="45.0" w:type="dxa"/>
            </w:tcMar>
            <w:vAlign w:val="center"/>
          </w:tcPr>
          <w:p w:rsidR="00000000" w:rsidDel="00000000" w:rsidP="00000000" w:rsidRDefault="00000000" w:rsidRPr="00000000" w14:paraId="000000CD">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CE">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CF">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D0">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619.9804687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5">
            <w:pPr>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shd w:fill="34a853" w:val="clear"/>
            <w:tcMar>
              <w:top w:w="0.0" w:type="dxa"/>
              <w:left w:w="45.0" w:type="dxa"/>
              <w:bottom w:w="0.0" w:type="dxa"/>
              <w:right w:w="45.0" w:type="dxa"/>
            </w:tcMar>
            <w:vAlign w:val="center"/>
          </w:tcPr>
          <w:p w:rsidR="00000000" w:rsidDel="00000000" w:rsidP="00000000" w:rsidRDefault="00000000" w:rsidRPr="00000000" w14:paraId="000000D9">
            <w:pPr>
              <w:jc w:val="center"/>
              <w:rPr>
                <w:rFonts w:ascii="Arial" w:cs="Arial" w:eastAsia="Arial" w:hAnsi="Arial"/>
                <w:sz w:val="20"/>
                <w:szCs w:val="20"/>
              </w:rPr>
            </w:pPr>
            <w:commentRangeStart w:id="4"/>
            <w:r w:rsidDel="00000000" w:rsidR="00000000" w:rsidRPr="00000000">
              <w:rPr>
                <w:rFonts w:ascii="Arial" w:cs="Arial" w:eastAsia="Arial" w:hAnsi="Arial"/>
                <w:sz w:val="20"/>
                <w:szCs w:val="20"/>
                <w:rtl w:val="0"/>
              </w:rPr>
              <w:t xml:space="preserve">67.50%</w:t>
            </w:r>
          </w:p>
        </w:tc>
        <w:tc>
          <w:tcPr>
            <w:tcBorders>
              <w:top w:color="cccccc" w:space="0" w:sz="6" w:val="single"/>
              <w:left w:color="cccccc" w:space="0" w:sz="6" w:val="single"/>
              <w:bottom w:color="000000" w:space="0" w:sz="6" w:val="single"/>
              <w:right w:color="000000" w:space="0" w:sz="6" w:val="single"/>
            </w:tcBorders>
            <w:shd w:fill="34a853" w:val="clear"/>
            <w:tcMar>
              <w:top w:w="0.0" w:type="dxa"/>
              <w:left w:w="45.0" w:type="dxa"/>
              <w:bottom w:w="0.0" w:type="dxa"/>
              <w:right w:w="45.0" w:type="dxa"/>
            </w:tcMar>
            <w:vAlign w:val="center"/>
          </w:tcPr>
          <w:p w:rsidR="00000000" w:rsidDel="00000000" w:rsidP="00000000" w:rsidRDefault="00000000" w:rsidRPr="00000000" w14:paraId="000000D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75.00%</w:t>
            </w:r>
          </w:p>
        </w:tc>
        <w:tc>
          <w:tcPr>
            <w:tcBorders>
              <w:top w:color="cccccc" w:space="0" w:sz="6" w:val="single"/>
              <w:left w:color="cccccc" w:space="0" w:sz="6" w:val="single"/>
              <w:bottom w:color="000000" w:space="0" w:sz="6" w:val="single"/>
              <w:right w:color="000000" w:space="0" w:sz="6" w:val="single"/>
            </w:tcBorders>
            <w:shd w:fill="ea4335" w:val="clear"/>
            <w:tcMar>
              <w:top w:w="0.0" w:type="dxa"/>
              <w:left w:w="45.0" w:type="dxa"/>
              <w:bottom w:w="0.0" w:type="dxa"/>
              <w:right w:w="45.0" w:type="dxa"/>
            </w:tcMar>
            <w:vAlign w:val="center"/>
          </w:tcPr>
          <w:p w:rsidR="00000000" w:rsidDel="00000000" w:rsidP="00000000" w:rsidRDefault="00000000" w:rsidRPr="00000000" w14:paraId="000000D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67.50%</w:t>
            </w:r>
          </w:p>
        </w:tc>
      </w:tr>
    </w:tbl>
    <w:p w:rsidR="00000000" w:rsidDel="00000000" w:rsidP="00000000" w:rsidRDefault="00000000" w:rsidRPr="00000000" w14:paraId="000000DC">
      <w:pPr>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DD">
      <w:pPr>
        <w:spacing w:after="240" w:before="240" w:line="360" w:lineRule="auto"/>
        <w:rPr>
          <w:rFonts w:ascii="Arial" w:cs="Arial" w:eastAsia="Arial" w:hAnsi="Arial"/>
        </w:rPr>
      </w:pPr>
      <w:r w:rsidDel="00000000" w:rsidR="00000000" w:rsidRPr="00000000">
        <w:rPr>
          <w:rFonts w:ascii="Arial" w:cs="Arial" w:eastAsia="Arial" w:hAnsi="Arial"/>
          <w:rtl w:val="0"/>
        </w:rPr>
        <w:t xml:space="preserve">SRAM (Static Random-Access Memory) was selected due to its high radiation tolerance and ability to store data in real-time applications . It scored 9 in risk, reflecting its resilience in space environments, making it ideal for long-duration missions. Although it is more expensive than other options, its performance (7) and complexity (7) were acceptable, and its reliability outweighed the cost concerns.</w:t>
      </w:r>
    </w:p>
    <w:p w:rsidR="00000000" w:rsidDel="00000000" w:rsidP="00000000" w:rsidRDefault="00000000" w:rsidRPr="00000000" w14:paraId="000000DE">
      <w:pPr>
        <w:spacing w:after="240" w:before="240" w:line="360" w:lineRule="auto"/>
        <w:rPr>
          <w:rFonts w:ascii="Arial" w:cs="Arial" w:eastAsia="Arial" w:hAnsi="Arial"/>
        </w:rPr>
      </w:pPr>
      <w:r w:rsidDel="00000000" w:rsidR="00000000" w:rsidRPr="00000000">
        <w:rPr>
          <w:rFonts w:ascii="Arial" w:cs="Arial" w:eastAsia="Arial" w:hAnsi="Arial"/>
          <w:rtl w:val="0"/>
        </w:rPr>
        <w:t xml:space="preserve">Flash Memory, while offering high storage capacity at a lower cost (7 in cost), posed significant risks in terms of radiation vulnerability (5 in risk). EEPROM (Electrically Erasable Programmable Read-Only Memory) offered a compromise between cost and risk but lacked the speed required for real-time data processing (scored 6 in performance). Ultimately, SRAM's superior radiation resistance and real-time capabilities made it the preferred choice for the mission.</w:t>
      </w:r>
    </w:p>
    <w:p w:rsidR="00000000" w:rsidDel="00000000" w:rsidP="00000000" w:rsidRDefault="00000000" w:rsidRPr="00000000" w14:paraId="000000DF">
      <w:pPr>
        <w:spacing w:after="240" w:before="240" w:line="360" w:lineRule="auto"/>
        <w:rPr>
          <w:rFonts w:ascii="Arial" w:cs="Arial" w:eastAsia="Arial" w:hAnsi="Arial"/>
        </w:rPr>
      </w:pPr>
      <w:r w:rsidDel="00000000" w:rsidR="00000000" w:rsidRPr="00000000">
        <w:rPr>
          <w:rFonts w:ascii="Arial" w:cs="Arial" w:eastAsia="Arial" w:hAnsi="Arial"/>
          <w:rtl w:val="0"/>
        </w:rPr>
        <w:t xml:space="preserve">Given the harsh conditions of space, risk (35%) was weighted heavily, followed by performance (30%) to ensure the storage solution could handle mission-critical data efficiently. Cost (20%) and complexity (15%) were secondary considerations, as reliability and data integrity were the primary concerns.</w:t>
      </w:r>
    </w:p>
    <w:p w:rsidR="00000000" w:rsidDel="00000000" w:rsidP="00000000" w:rsidRDefault="00000000" w:rsidRPr="00000000" w14:paraId="000000E0">
      <w:pPr>
        <w:spacing w:after="280" w:before="280" w:line="360"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4"/>
        <w:keepNext w:val="0"/>
        <w:keepLines w:val="0"/>
        <w:spacing w:before="240" w:line="360" w:lineRule="auto"/>
        <w:rPr>
          <w:rFonts w:ascii="Arial" w:cs="Arial" w:eastAsia="Arial" w:hAnsi="Arial"/>
          <w:b w:val="1"/>
          <w:i w:val="0"/>
          <w:color w:val="000000"/>
          <w:sz w:val="22"/>
          <w:szCs w:val="22"/>
        </w:rPr>
      </w:pPr>
      <w:bookmarkStart w:colFirst="0" w:colLast="0" w:name="_4971cnuz5lfx" w:id="5"/>
      <w:bookmarkEnd w:id="5"/>
      <w:r w:rsidDel="00000000" w:rsidR="00000000" w:rsidRPr="00000000">
        <w:rPr>
          <w:rtl w:val="0"/>
        </w:rPr>
      </w:r>
    </w:p>
    <w:p w:rsidR="00000000" w:rsidDel="00000000" w:rsidP="00000000" w:rsidRDefault="00000000" w:rsidRPr="00000000" w14:paraId="000000E2">
      <w:pPr>
        <w:pStyle w:val="Heading4"/>
        <w:keepNext w:val="0"/>
        <w:keepLines w:val="0"/>
        <w:spacing w:before="240" w:line="360" w:lineRule="auto"/>
        <w:rPr>
          <w:rFonts w:ascii="Arial" w:cs="Arial" w:eastAsia="Arial" w:hAnsi="Arial"/>
          <w:b w:val="1"/>
          <w:i w:val="0"/>
          <w:color w:val="000000"/>
          <w:sz w:val="22"/>
          <w:szCs w:val="22"/>
        </w:rPr>
      </w:pPr>
      <w:bookmarkStart w:colFirst="0" w:colLast="0" w:name="_3ik2t2xa1n7s" w:id="6"/>
      <w:bookmarkEnd w:id="6"/>
      <w:r w:rsidDel="00000000" w:rsidR="00000000" w:rsidRPr="00000000">
        <w:rPr>
          <w:rFonts w:ascii="Arial" w:cs="Arial" w:eastAsia="Arial" w:hAnsi="Arial"/>
          <w:b w:val="1"/>
          <w:i w:val="0"/>
          <w:color w:val="000000"/>
          <w:sz w:val="22"/>
          <w:szCs w:val="22"/>
          <w:rtl w:val="0"/>
        </w:rPr>
        <w:t xml:space="preserve">4. Redundant Systems Trade Study</w:t>
      </w:r>
    </w:p>
    <w:p w:rsidR="00000000" w:rsidDel="00000000" w:rsidP="00000000" w:rsidRDefault="00000000" w:rsidRPr="00000000" w14:paraId="000000E3">
      <w:pPr>
        <w:spacing w:after="240" w:before="240" w:line="360" w:lineRule="auto"/>
        <w:rPr>
          <w:rFonts w:ascii="Arial" w:cs="Arial" w:eastAsia="Arial" w:hAnsi="Arial"/>
        </w:rPr>
      </w:pPr>
      <w:r w:rsidDel="00000000" w:rsidR="00000000" w:rsidRPr="00000000">
        <w:rPr>
          <w:rFonts w:ascii="Arial" w:cs="Arial" w:eastAsia="Arial" w:hAnsi="Arial"/>
          <w:rtl w:val="0"/>
        </w:rPr>
        <w:t xml:space="preserve">Redundant systems are essential to ensure mission success in the event of hardware failures. The chosen Active Redundancy system was estimated at $6,063,474.12. Three options were analyzed: Active Redundancy, Standby Redundancy, and No Redundancy.</w:t>
      </w:r>
    </w:p>
    <w:p w:rsidR="00000000" w:rsidDel="00000000" w:rsidP="00000000" w:rsidRDefault="00000000" w:rsidRPr="00000000" w14:paraId="000000E4">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E5">
      <w:pPr>
        <w:spacing w:after="240" w:before="240" w:line="360" w:lineRule="auto"/>
        <w:rPr>
          <w:rFonts w:ascii="Arial" w:cs="Arial" w:eastAsia="Arial" w:hAnsi="Arial"/>
        </w:rPr>
      </w:pPr>
      <w:r w:rsidDel="00000000" w:rsidR="00000000" w:rsidRPr="00000000">
        <w:rPr>
          <w:rtl w:val="0"/>
        </w:rPr>
      </w:r>
    </w:p>
    <w:tbl>
      <w:tblPr>
        <w:tblStyle w:val="Table10"/>
        <w:tblpPr w:leftFromText="180" w:rightFromText="180" w:topFromText="0" w:bottomFromText="0" w:vertAnchor="text" w:horzAnchor="text" w:tblpX="-795" w:tblpY="0"/>
        <w:tblW w:w="11295.0" w:type="dxa"/>
        <w:jc w:val="left"/>
        <w:tblLayout w:type="fixed"/>
        <w:tblLook w:val="0400"/>
      </w:tblPr>
      <w:tblGrid>
        <w:gridCol w:w="1635"/>
        <w:gridCol w:w="2130"/>
        <w:gridCol w:w="1155"/>
        <w:gridCol w:w="1110"/>
        <w:gridCol w:w="1796.6666666666656"/>
        <w:gridCol w:w="1773.3333333333344"/>
        <w:gridCol w:w="1695"/>
        <w:tblGridChange w:id="0">
          <w:tblGrid>
            <w:gridCol w:w="1635"/>
            <w:gridCol w:w="2130"/>
            <w:gridCol w:w="1155"/>
            <w:gridCol w:w="1110"/>
            <w:gridCol w:w="1796.6666666666656"/>
            <w:gridCol w:w="1773.3333333333344"/>
            <w:gridCol w:w="1695"/>
          </w:tblGrid>
        </w:tblGridChange>
      </w:tblGrid>
      <w:tr>
        <w:trPr>
          <w:cantSplit w:val="0"/>
          <w:trHeight w:val="680.9765625" w:hRule="atLeast"/>
          <w:tblHeader w:val="0"/>
        </w:trPr>
        <w:tc>
          <w:tcPr>
            <w:gridSpan w:val="7"/>
            <w:tcBorders>
              <w:top w:color="000000" w:space="0" w:sz="6" w:val="single"/>
              <w:left w:color="000000" w:space="0" w:sz="6" w:val="single"/>
              <w:bottom w:color="000000" w:space="0" w:sz="6" w:val="single"/>
              <w:right w:color="000000" w:space="0" w:sz="6" w:val="single"/>
            </w:tcBorders>
            <w:shd w:fill="999999" w:val="clear"/>
            <w:tcMar>
              <w:left w:w="45.0" w:type="dxa"/>
              <w:right w:w="45.0" w:type="dxa"/>
            </w:tcMar>
            <w:vAlign w:val="center"/>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t xml:space="preserve">Redundant Systems Trade Study</w:t>
            </w:r>
            <w:r w:rsidDel="00000000" w:rsidR="00000000" w:rsidRPr="00000000">
              <w:rPr>
                <w:rtl w:val="0"/>
              </w:rPr>
            </w:r>
          </w:p>
        </w:tc>
      </w:tr>
      <w:tr>
        <w:trPr>
          <w:cantSplit w:val="0"/>
          <w:trHeight w:val="1112" w:hRule="atLeast"/>
          <w:tblHeader w:val="0"/>
        </w:trPr>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ED">
            <w:pPr>
              <w:jc w:val="center"/>
              <w:rPr>
                <w:rFonts w:ascii="Arial" w:cs="Arial" w:eastAsia="Arial" w:hAnsi="Arial"/>
                <w:b w:val="1"/>
              </w:rPr>
            </w:pPr>
            <w:r w:rsidDel="00000000" w:rsidR="00000000" w:rsidRPr="00000000">
              <w:rPr>
                <w:rFonts w:ascii="Arial" w:cs="Arial" w:eastAsia="Arial" w:hAnsi="Arial"/>
                <w:b w:val="1"/>
                <w:rtl w:val="0"/>
              </w:rPr>
              <w:t xml:space="preserve">Criteria </w:t>
            </w:r>
          </w:p>
        </w:tc>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EE">
            <w:pPr>
              <w:jc w:val="center"/>
              <w:rPr>
                <w:rFonts w:ascii="Arial" w:cs="Arial" w:eastAsia="Arial" w:hAnsi="Arial"/>
                <w:b w:val="1"/>
              </w:rPr>
            </w:pPr>
            <w:r w:rsidDel="00000000" w:rsidR="00000000" w:rsidRPr="00000000">
              <w:rPr>
                <w:rFonts w:ascii="Arial" w:cs="Arial" w:eastAsia="Arial" w:hAnsi="Arial"/>
                <w:b w:val="1"/>
                <w:rtl w:val="0"/>
              </w:rPr>
              <w:t xml:space="preserve">Explanation </w:t>
            </w:r>
          </w:p>
        </w:tc>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EF">
            <w:pPr>
              <w:jc w:val="center"/>
              <w:rPr>
                <w:rFonts w:ascii="Arial" w:cs="Arial" w:eastAsia="Arial" w:hAnsi="Arial"/>
                <w:b w:val="1"/>
              </w:rPr>
            </w:pPr>
            <w:r w:rsidDel="00000000" w:rsidR="00000000" w:rsidRPr="00000000">
              <w:rPr>
                <w:b w:val="1"/>
                <w:rtl w:val="0"/>
              </w:rPr>
              <w:t xml:space="preserve">Grade</w:t>
            </w:r>
            <w:r w:rsidDel="00000000" w:rsidR="00000000" w:rsidRPr="00000000">
              <w:rPr>
                <w:rtl w:val="0"/>
              </w:rPr>
              <w:t xml:space="preserve"> </w:t>
            </w:r>
            <w:r w:rsidDel="00000000" w:rsidR="00000000" w:rsidRPr="00000000">
              <w:rPr>
                <w:rFonts w:ascii="Arial" w:cs="Arial" w:eastAsia="Arial" w:hAnsi="Arial"/>
                <w:b w:val="1"/>
                <w:rtl w:val="0"/>
              </w:rPr>
              <w:t xml:space="preserve"> </w:t>
            </w:r>
          </w:p>
        </w:tc>
        <w:tc>
          <w:tcPr>
            <w:tcBorders>
              <w:top w:color="000000" w:space="0" w:sz="6" w:val="single"/>
              <w:left w:color="000000" w:space="0" w:sz="6" w:val="single"/>
              <w:bottom w:color="000000" w:space="0" w:sz="6" w:val="single"/>
              <w:right w:color="000000" w:space="0" w:sz="6" w:val="single"/>
            </w:tcBorders>
            <w:shd w:fill="cccccc" w:val="clear"/>
            <w:tcMar>
              <w:left w:w="45.0" w:type="dxa"/>
              <w:right w:w="45.0" w:type="dxa"/>
            </w:tcMar>
            <w:vAlign w:val="center"/>
          </w:tcPr>
          <w:p w:rsidR="00000000" w:rsidDel="00000000" w:rsidP="00000000" w:rsidRDefault="00000000" w:rsidRPr="00000000" w14:paraId="000000F0">
            <w:pPr>
              <w:jc w:val="center"/>
              <w:rPr>
                <w:rFonts w:ascii="Arial" w:cs="Arial" w:eastAsia="Arial" w:hAnsi="Arial"/>
                <w:b w:val="1"/>
              </w:rPr>
            </w:pPr>
            <w:r w:rsidDel="00000000" w:rsidR="00000000" w:rsidRPr="00000000">
              <w:rPr>
                <w:rFonts w:ascii="Arial" w:cs="Arial" w:eastAsia="Arial" w:hAnsi="Arial"/>
                <w:b w:val="1"/>
                <w:rtl w:val="0"/>
              </w:rPr>
              <w:t xml:space="preserve">Weight </w:t>
            </w:r>
          </w:p>
        </w:tc>
        <w:tc>
          <w:tcPr>
            <w:tcBorders>
              <w:top w:color="000000" w:space="0" w:sz="6" w:val="single"/>
              <w:left w:color="000000" w:space="0" w:sz="6" w:val="single"/>
              <w:bottom w:color="000000" w:space="0" w:sz="6" w:val="single"/>
              <w:right w:color="000000" w:space="0" w:sz="6" w:val="single"/>
            </w:tcBorders>
            <w:shd w:fill="a4c2f4" w:val="clear"/>
            <w:tcMar>
              <w:left w:w="45.0" w:type="dxa"/>
              <w:right w:w="45.0" w:type="dxa"/>
            </w:tcMar>
            <w:vAlign w:val="center"/>
          </w:tcPr>
          <w:p w:rsidR="00000000" w:rsidDel="00000000" w:rsidP="00000000" w:rsidRDefault="00000000" w:rsidRPr="00000000" w14:paraId="000000F1">
            <w:pPr>
              <w:jc w:val="center"/>
              <w:rPr>
                <w:rFonts w:ascii="Arial" w:cs="Arial" w:eastAsia="Arial" w:hAnsi="Arial"/>
                <w:b w:val="1"/>
                <w:sz w:val="28"/>
                <w:szCs w:val="28"/>
              </w:rPr>
            </w:pPr>
            <w:r w:rsidDel="00000000" w:rsidR="00000000" w:rsidRPr="00000000">
              <w:rPr>
                <w:b w:val="1"/>
                <w:rtl w:val="0"/>
              </w:rPr>
              <w:t xml:space="preserve">Active Redundancy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left w:w="45.0" w:type="dxa"/>
              <w:right w:w="45.0" w:type="dxa"/>
            </w:tcMar>
            <w:vAlign w:val="center"/>
          </w:tcPr>
          <w:p w:rsidR="00000000" w:rsidDel="00000000" w:rsidP="00000000" w:rsidRDefault="00000000" w:rsidRPr="00000000" w14:paraId="000000F2">
            <w:pPr>
              <w:jc w:val="center"/>
              <w:rPr>
                <w:rFonts w:ascii="Arial" w:cs="Arial" w:eastAsia="Arial" w:hAnsi="Arial"/>
                <w:b w:val="1"/>
                <w:sz w:val="28"/>
                <w:szCs w:val="28"/>
              </w:rPr>
            </w:pPr>
            <w:r w:rsidDel="00000000" w:rsidR="00000000" w:rsidRPr="00000000">
              <w:rPr>
                <w:b w:val="1"/>
                <w:rtl w:val="0"/>
              </w:rPr>
              <w:t xml:space="preserve">Standby Redundancy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4c2f4" w:val="clear"/>
            <w:tcMar>
              <w:left w:w="45.0" w:type="dxa"/>
              <w:right w:w="45.0" w:type="dxa"/>
            </w:tcMar>
            <w:vAlign w:val="center"/>
          </w:tcPr>
          <w:p w:rsidR="00000000" w:rsidDel="00000000" w:rsidP="00000000" w:rsidRDefault="00000000" w:rsidRPr="00000000" w14:paraId="000000F3">
            <w:pPr>
              <w:jc w:val="center"/>
              <w:rPr>
                <w:rFonts w:ascii="Arial" w:cs="Arial" w:eastAsia="Arial" w:hAnsi="Arial"/>
                <w:b w:val="1"/>
                <w:sz w:val="28"/>
                <w:szCs w:val="28"/>
              </w:rPr>
            </w:pPr>
            <w:r w:rsidDel="00000000" w:rsidR="00000000" w:rsidRPr="00000000">
              <w:rPr>
                <w:b w:val="1"/>
                <w:rtl w:val="0"/>
              </w:rPr>
              <w:t xml:space="preserve">No Redundancy</w:t>
            </w:r>
            <w:r w:rsidDel="00000000" w:rsidR="00000000" w:rsidRPr="00000000">
              <w:rPr>
                <w:rtl w:val="0"/>
              </w:rPr>
            </w:r>
          </w:p>
        </w:tc>
      </w:tr>
      <w:tr>
        <w:trPr>
          <w:cantSplit w:val="0"/>
          <w:trHeight w:val="152"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F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F5">
            <w:pPr>
              <w:widowControl w:val="0"/>
              <w:spacing w:line="276" w:lineRule="auto"/>
              <w:rPr>
                <w:rFonts w:ascii="Arial" w:cs="Arial" w:eastAsia="Arial" w:hAnsi="Arial"/>
                <w:sz w:val="20"/>
                <w:szCs w:val="20"/>
              </w:rPr>
            </w:pPr>
            <w:r w:rsidDel="00000000" w:rsidR="00000000" w:rsidRPr="00000000">
              <w:rPr>
                <w:rtl w:val="0"/>
              </w:rPr>
            </w:r>
          </w:p>
          <w:tbl>
            <w:tblPr>
              <w:tblStyle w:val="Table11"/>
              <w:tblW w:w="108.0" w:type="dxa"/>
              <w:jc w:val="left"/>
              <w:tblInd w:w="2.0" w:type="dxa"/>
              <w:tblLayout w:type="fixed"/>
              <w:tblLook w:val="0400"/>
            </w:tblPr>
            <w:tblGrid>
              <w:gridCol w:w="108"/>
              <w:tblGridChange w:id="0">
                <w:tblGrid>
                  <w:gridCol w:w="108"/>
                </w:tblGrid>
              </w:tblGridChange>
            </w:tblGrid>
            <w:tr>
              <w:trPr>
                <w:cantSplit w:val="0"/>
                <w:trHeight w:val="6" w:hRule="atLeast"/>
                <w:tblHeader w:val="0"/>
              </w:trPr>
              <w:tc>
                <w:tcPr>
                  <w:vAlign w:val="center"/>
                </w:tcPr>
                <w:p w:rsidR="00000000" w:rsidDel="00000000" w:rsidP="00000000" w:rsidRDefault="00000000" w:rsidRPr="00000000" w14:paraId="000000F6">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7">
            <w:pPr>
              <w:widowControl w:val="0"/>
              <w:spacing w:line="276" w:lineRule="auto"/>
              <w:rPr>
                <w:rFonts w:ascii="Arial" w:cs="Arial" w:eastAsia="Arial" w:hAnsi="Arial"/>
                <w:sz w:val="20"/>
                <w:szCs w:val="20"/>
              </w:rPr>
            </w:pPr>
            <w:r w:rsidDel="00000000" w:rsidR="00000000" w:rsidRPr="00000000">
              <w:rPr>
                <w:rtl w:val="0"/>
              </w:rPr>
            </w:r>
          </w:p>
          <w:tbl>
            <w:tblPr>
              <w:tblStyle w:val="Table12"/>
              <w:tblW w:w="2143.0" w:type="dxa"/>
              <w:jc w:val="left"/>
              <w:tblInd w:w="2.0" w:type="dxa"/>
              <w:tblLayout w:type="fixed"/>
              <w:tblLook w:val="0400"/>
            </w:tblPr>
            <w:tblGrid>
              <w:gridCol w:w="2143"/>
              <w:tblGridChange w:id="0">
                <w:tblGrid>
                  <w:gridCol w:w="2143"/>
                </w:tblGrid>
              </w:tblGridChange>
            </w:tblGrid>
            <w:tr>
              <w:trPr>
                <w:cantSplit w:val="0"/>
                <w:trHeight w:val="352" w:hRule="atLeast"/>
                <w:tblHeader w:val="0"/>
              </w:trPr>
              <w:tc>
                <w:tcPr>
                  <w:vAlign w:val="center"/>
                </w:tcPr>
                <w:p w:rsidR="00000000" w:rsidDel="00000000" w:rsidP="00000000" w:rsidRDefault="00000000" w:rsidRPr="00000000" w14:paraId="000000F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Overall cost of implementing redundancy systems.</w:t>
                  </w:r>
                </w:p>
              </w:tc>
            </w:tr>
          </w:tbl>
          <w:p w:rsidR="00000000" w:rsidDel="00000000" w:rsidP="00000000" w:rsidRDefault="00000000" w:rsidRPr="00000000" w14:paraId="000000F9">
            <w:pPr>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0FA">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0FB">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0FC">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0FD">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F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0F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0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0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cantSplit w:val="0"/>
          <w:trHeight w:val="152"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0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0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Risk associated with potential failures of redundant systems.</w:t>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104">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105">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106">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107">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0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0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152"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0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Performance</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0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Effectiveness in maintaining operation during failures of primary systems.</w:t>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10E">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10F">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110">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111">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1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1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152"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1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Complexity of integrating redundancy systems into existing spacecraft architecture.</w:t>
            </w:r>
          </w:p>
        </w:tc>
        <w:tc>
          <w:tcPr>
            <w:tcBorders>
              <w:top w:color="000000" w:space="0" w:sz="6" w:val="single"/>
              <w:left w:color="000000" w:space="0" w:sz="6" w:val="single"/>
              <w:bottom w:color="000000" w:space="0" w:sz="6" w:val="single"/>
              <w:right w:color="000000" w:space="0" w:sz="6" w:val="single"/>
            </w:tcBorders>
            <w:shd w:fill="ffffff" w:val="clear"/>
            <w:tcMar>
              <w:left w:w="45.0" w:type="dxa"/>
              <w:right w:w="45.0" w:type="dxa"/>
            </w:tcMar>
            <w:vAlign w:val="center"/>
          </w:tcPr>
          <w:p w:rsidR="00000000" w:rsidDel="00000000" w:rsidP="00000000" w:rsidRDefault="00000000" w:rsidRPr="00000000" w14:paraId="00000118">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10 = high,</w:t>
            </w:r>
          </w:p>
          <w:p w:rsidR="00000000" w:rsidDel="00000000" w:rsidP="00000000" w:rsidRDefault="00000000" w:rsidRPr="00000000" w14:paraId="00000119">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 medium</w:t>
            </w:r>
          </w:p>
          <w:p w:rsidR="00000000" w:rsidDel="00000000" w:rsidP="00000000" w:rsidRDefault="00000000" w:rsidRPr="00000000" w14:paraId="0000011A">
            <w:pPr>
              <w:widowControl w:val="0"/>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 = low</w:t>
            </w:r>
          </w:p>
          <w:p w:rsidR="00000000" w:rsidDel="00000000" w:rsidP="00000000" w:rsidRDefault="00000000" w:rsidRPr="00000000" w14:paraId="0000011B">
            <w:pPr>
              <w:widowControl w:val="0"/>
              <w:spacing w:line="276" w:lineRule="auto"/>
              <w:rPr>
                <w:rFonts w:ascii="Arial" w:cs="Arial" w:eastAsia="Arial" w:hAnsi="Arial"/>
                <w:sz w:val="20"/>
                <w:szCs w:val="20"/>
              </w:rPr>
            </w:pPr>
            <w:r w:rsidDel="00000000" w:rsidR="00000000" w:rsidRPr="00000000">
              <w:rPr>
                <w:rFonts w:ascii="Roboto" w:cs="Roboto" w:eastAsia="Roboto" w:hAnsi="Roboto"/>
                <w:sz w:val="18"/>
                <w:szCs w:val="18"/>
                <w:rtl w:val="0"/>
              </w:rPr>
              <w:t xml:space="preserve">0 = 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cantSplit w:val="0"/>
          <w:trHeight w:val="214.98046875" w:hRule="atLeast"/>
          <w:tblHeader w:val="0"/>
        </w:trPr>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20">
            <w:pPr>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2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2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TOTALS:</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center"/>
          </w:tcPr>
          <w:p w:rsidR="00000000" w:rsidDel="00000000" w:rsidP="00000000" w:rsidRDefault="00000000" w:rsidRPr="00000000" w14:paraId="0000012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34a853" w:val="clear"/>
            <w:tcMar>
              <w:left w:w="45.0" w:type="dxa"/>
              <w:right w:w="45.0" w:type="dxa"/>
            </w:tcMar>
            <w:vAlign w:val="center"/>
          </w:tcPr>
          <w:p w:rsidR="00000000" w:rsidDel="00000000" w:rsidP="00000000" w:rsidRDefault="00000000" w:rsidRPr="00000000" w14:paraId="000001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4a853" w:val="clear"/>
            <w:tcMar>
              <w:left w:w="45.0" w:type="dxa"/>
              <w:right w:w="45.0" w:type="dxa"/>
            </w:tcMar>
            <w:vAlign w:val="center"/>
          </w:tcPr>
          <w:p w:rsidR="00000000" w:rsidDel="00000000" w:rsidP="00000000" w:rsidRDefault="00000000" w:rsidRPr="00000000" w14:paraId="000001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4335" w:val="clear"/>
            <w:tcMar>
              <w:left w:w="45.0" w:type="dxa"/>
              <w:right w:w="45.0" w:type="dxa"/>
            </w:tcMar>
            <w:vAlign w:val="center"/>
          </w:tcPr>
          <w:p w:rsidR="00000000" w:rsidDel="00000000" w:rsidP="00000000" w:rsidRDefault="00000000" w:rsidRPr="00000000" w14:paraId="000001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47%</w:t>
            </w:r>
            <w:r w:rsidDel="00000000" w:rsidR="00000000" w:rsidRPr="00000000">
              <w:rPr>
                <w:rtl w:val="0"/>
              </w:rPr>
            </w:r>
          </w:p>
        </w:tc>
      </w:tr>
    </w:tbl>
    <w:p w:rsidR="00000000" w:rsidDel="00000000" w:rsidP="00000000" w:rsidRDefault="00000000" w:rsidRPr="00000000" w14:paraId="00000127">
      <w:pPr>
        <w:rPr>
          <w:rFonts w:ascii="Arial" w:cs="Arial" w:eastAsia="Arial" w:hAnsi="Arial"/>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after="240" w:before="240" w:line="360" w:lineRule="auto"/>
        <w:rPr>
          <w:rFonts w:ascii="Arial" w:cs="Arial" w:eastAsia="Arial" w:hAnsi="Arial"/>
        </w:rPr>
      </w:pPr>
      <w:r w:rsidDel="00000000" w:rsidR="00000000" w:rsidRPr="00000000">
        <w:rPr>
          <w:rFonts w:ascii="Arial" w:cs="Arial" w:eastAsia="Arial" w:hAnsi="Arial"/>
          <w:rtl w:val="0"/>
        </w:rPr>
        <w:t xml:space="preserve">Active Redundancy was selected as it offers the highest reliability (scoring 9 in both risk and performance). Active redundancy means that all systems run simultaneously, ensuring that a backup system can immediately take over in the event of failure, which is crucial for long-term space missions where maintenance and repairs are not feasible. Although it comes with higher costs and complexity (scoring 4 in both), the ability to avoid mission-critical failures justifies the investment. For example, in NASA missions, redundancy is often prioritized to ensure uninterrupted operation of essential systems. </w:t>
      </w:r>
      <w:r w:rsidDel="00000000" w:rsidR="00000000" w:rsidRPr="00000000">
        <w:rPr>
          <w:rFonts w:ascii="Arial" w:cs="Arial" w:eastAsia="Arial" w:hAnsi="Arial"/>
          <w:vertAlign w:val="superscript"/>
        </w:rPr>
        <w:footnoteReference w:customMarkFollows="0" w:id="2"/>
      </w:r>
      <w:r w:rsidDel="00000000" w:rsidR="00000000" w:rsidRPr="00000000">
        <w:rPr>
          <w:rFonts w:ascii="Arial" w:cs="Arial" w:eastAsia="Arial" w:hAnsi="Arial"/>
          <w:i w:val="1"/>
          <w:rtl w:val="0"/>
        </w:rPr>
        <w:t xml:space="preserve">According to the NASA Systems Engineering Handbook, redundancy is critical for mission success, particularly for long-duration or high-risk missions (Jackson 2018). </w:t>
      </w:r>
      <w:r w:rsidDel="00000000" w:rsidR="00000000" w:rsidRPr="00000000">
        <w:rPr>
          <w:rFonts w:ascii="Arial" w:cs="Arial" w:eastAsia="Arial" w:hAnsi="Arial"/>
          <w:rtl w:val="0"/>
        </w:rPr>
        <w:t xml:space="preserve">Given the mission's high stakes, active redundancy was deemed the best approach to safeguard the spacecraft against hardware failures and ensure operational longevity. This explains why active redundancy was selected in the trade study, emphasizing its importance despite its higher costs and complexity.</w:t>
      </w:r>
    </w:p>
    <w:p w:rsidR="00000000" w:rsidDel="00000000" w:rsidP="00000000" w:rsidRDefault="00000000" w:rsidRPr="00000000" w14:paraId="0000012A">
      <w:pPr>
        <w:spacing w:after="240" w:before="240"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B">
      <w:pPr>
        <w:spacing w:after="240" w:before="240" w:line="360" w:lineRule="auto"/>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of Findings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trade studies conducted for the Command and Data Handling subsystem revealed a thoughtful and balanced approach to meeting the mission's stringent requirements. Each selected component was carefully evaluated to ensure optimal performance, reliability, and cost-effectiveness. The RAD750 was chosen as the Command Processing Unit due to its proven reliability in demanding space environments. For communication interfaces, I2C emerged as the best option, offering a practical balance of simplicity and cost savings while maintaining effective data transfer. In terms of data storage, SRAM was favored for its capability to handle real-time data processing, ensuring the system can respond swiftly to mission demands. Lastly, the decision to implement Active Redundancy underscores a commitment to mission reliability, ensuring that critical operations can continue seamlessly even in the event of hardware failures. Together, these selections provide a robust foundation for the CDH subsystem, capable of withstanding the challenges of space exploration.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139">
      <w:pPr>
        <w:spacing w:line="48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rPr>
      </w:pPr>
      <w:hyperlink r:id="rId9">
        <w:r w:rsidDel="00000000" w:rsidR="00000000" w:rsidRPr="00000000">
          <w:rPr>
            <w:shd w:fill="auto" w:val="clear"/>
            <w:vertAlign w:val="baseline"/>
            <w:rtl w:val="0"/>
          </w:rPr>
          <w:t xml:space="preserve">Good, Andrew. “Two Rovers to Roll on Mars Again,” 2020. https://www.nasa.gov/solar-system/two-rovers-to-roll-on-mars-again-curiosity-and-mars-2020/.</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rPr>
      </w:pPr>
      <w:hyperlink r:id="rId10">
        <w:r w:rsidDel="00000000" w:rsidR="00000000" w:rsidRPr="00000000">
          <w:rPr>
            <w:shd w:fill="auto" w:val="clear"/>
            <w:vertAlign w:val="baseline"/>
            <w:rtl w:val="0"/>
          </w:rPr>
          <w:t xml:space="preserve">Jackson, Robert. “NASA Systems Engineering Handbook.” NASA, 2018. https://www.nasa.gov/wp-content/uploads/2018/09/nasa_systems_engineering_handbook_0.pdf.</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rPr>
      </w:pPr>
      <w:hyperlink r:id="rId11">
        <w:r w:rsidDel="00000000" w:rsidR="00000000" w:rsidRPr="00000000">
          <w:rPr>
            <w:shd w:fill="auto" w:val="clear"/>
            <w:vertAlign w:val="baseline"/>
            <w:rtl w:val="0"/>
          </w:rPr>
          <w:t xml:space="preserve">Mankins, John. “Blue Canyon Technologies.” L’Space NASA, 1995. https://www.bluecanyontech.com/services.</w:t>
        </w:r>
      </w:hyperlink>
      <w:r w:rsidDel="00000000" w:rsidR="00000000" w:rsidRPr="00000000">
        <w:rPr>
          <w:rtl w:val="0"/>
        </w:rPr>
      </w:r>
    </w:p>
    <w:p w:rsidR="00000000" w:rsidDel="00000000" w:rsidP="00000000" w:rsidRDefault="00000000" w:rsidRPr="00000000" w14:paraId="0000013D">
      <w:pPr>
        <w:rPr>
          <w:rFonts w:ascii="Arial" w:cs="Arial" w:eastAsia="Arial" w:hAnsi="Arial"/>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line="480" w:lineRule="auto"/>
        <w:ind w:left="720"/>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an Nguyen" w:id="2" w:date="2024-10-27T13:58:16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values should be 70.00%, 67.00%, and 74.50% given the values, grade, and weight ratio.</w:t>
      </w:r>
    </w:p>
  </w:comment>
  <w:comment w:author="Elton Mathew" w:id="3" w:date="2024-10-27T20:25:06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Sean Nguyen" w:id="4" w:date="2024-10-27T14:01:15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values should be 67.50%, 75.00%, and 67.50% given the values, grade, and weight ratio.</w:t>
      </w:r>
    </w:p>
  </w:comment>
  <w:comment w:author="Sean Nguyen" w:id="0" w:date="2024-10-27T13:54:10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values should be 78.00%, 70.50%, and 68.00% given the values, grade, and weight ratio.</w:t>
      </w:r>
    </w:p>
  </w:comment>
  <w:comment w:author="Elton Mathew" w:id="1" w:date="2024-10-27T20:24:14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14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shd w:fill="auto" w:val="clear"/>
            <w:vertAlign w:val="baseline"/>
            <w:rtl w:val="0"/>
          </w:rPr>
          <w:t xml:space="preserve">Good, “The Eyes and Ears.”</w:t>
        </w:r>
      </w:hyperlink>
      <w:r w:rsidDel="00000000" w:rsidR="00000000" w:rsidRPr="00000000">
        <w:rPr>
          <w:rtl w:val="0"/>
        </w:rPr>
      </w:r>
    </w:p>
  </w:footnote>
  <w:footnote w:id="2">
    <w:p w:rsidR="00000000" w:rsidDel="00000000" w:rsidP="00000000" w:rsidRDefault="00000000" w:rsidRPr="00000000" w14:paraId="0000014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sz w:val="20"/>
            <w:szCs w:val="20"/>
            <w:shd w:fill="auto" w:val="clear"/>
            <w:vertAlign w:val="baseline"/>
            <w:rtl w:val="0"/>
          </w:rPr>
          <w:t xml:space="preserve">Jackson, “NASA Systems Engineering Handbook.”</w:t>
        </w:r>
      </w:hyperlink>
      <w:r w:rsidDel="00000000" w:rsidR="00000000" w:rsidRPr="00000000">
        <w:rPr>
          <w:rtl w:val="0"/>
        </w:rPr>
      </w:r>
    </w:p>
  </w:footnote>
  <w:footnote w:id="0">
    <w:p w:rsidR="00000000" w:rsidDel="00000000" w:rsidP="00000000" w:rsidRDefault="00000000" w:rsidRPr="00000000" w14:paraId="0000014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sz w:val="20"/>
            <w:szCs w:val="20"/>
            <w:shd w:fill="auto" w:val="clear"/>
            <w:vertAlign w:val="baseline"/>
            <w:rtl w:val="0"/>
          </w:rPr>
          <w:t xml:space="preserve">Mankins, “Technology Readiness Levels.”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zotero.org/google-docs/?GD1WXc" TargetMode="External"/><Relationship Id="rId10" Type="http://schemas.openxmlformats.org/officeDocument/2006/relationships/hyperlink" Target="https://www.zotero.org/google-docs/?GD1WXc" TargetMode="External"/><Relationship Id="rId9" Type="http://schemas.openxmlformats.org/officeDocument/2006/relationships/hyperlink" Target="https://www.zotero.org/google-docs/?GD1WXc"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zotero.org/google-docs/?m0cSfT" TargetMode="External"/><Relationship Id="rId2" Type="http://schemas.openxmlformats.org/officeDocument/2006/relationships/hyperlink" Target="https://www.zotero.org/google-docs/?NqD9VJ" TargetMode="External"/><Relationship Id="rId3" Type="http://schemas.openxmlformats.org/officeDocument/2006/relationships/hyperlink" Target="https://www.zotero.org/google-docs/?hCbf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SourceType>DocumentFromInternetSite</b:SourceType>
    <b:Day>12</b:Day>
    <b:DayAccessed>22</b:DayAccessed>
    <b:Month>September</b:Month>
    <b:MonthAccessed>October</b:MonthAccessed>
    <b:ShortTitle>CHD</b:ShortTitle>
    <b:Title>NASA</b:Title>
    <b:URL>https://www.nasa.gov/wp-content/uploads/2018/09/nasa_systems_engineering_handbook_0.pdf</b:URL>
    <b:InternetSiteTitle>NASA Systems Engineering Handbook</b:InternetSiteTitle>
    <b:Year>2018</b:Year>
    <b:YearAccessed>2024</b:YearAccessed>
    <b:Gdcea>{"AccessedType":"Website"}</b:Gdcea>
    <b:Author>
      <b:Author>
        <b:NameList>
          <b:Person>
            <b:First>Robert</b:First>
            <b:Middle>S</b:Middle>
            <b:Last>Jackson</b:Last>
          </b:Person>
        </b:NameList>
      </b:Author>
    </b:Author>
  </b:Source>
  <b:Source>
    <b:Tag>source2</b:Tag>
    <b:SourceType>DocumentFromInternetSite</b:SourceType>
    <b:Day>20</b:Day>
    <b:DayAccessed>22</b:DayAccessed>
    <b:Month>May</b:Month>
    <b:MonthAccessed>October</b:MonthAccessed>
    <b:ShortTitle>NASA Rover</b:ShortTitle>
    <b:Title>Two Rovers to Roll on Mars Again</b:Title>
    <b:URL>https://www.nasa.gov/solar-system/two-rovers-to-roll-on-mars-again-curiosity-and-mars-2020/</b:URL>
    <b:InternetSiteTitle>The Eyes and Ears</b:InternetSiteTitle>
    <b:Year>2020</b:Year>
    <b:YearAccessed>2024</b:YearAccessed>
    <b:Gdcea>{"AccessedType":"Website"}</b:Gdcea>
    <b:Author>
      <b:Author>
        <b:NameList>
          <b:Person>
            <b:First>Andrew</b:First>
            <b:Last>Good</b:Last>
          </b:Person>
        </b:NameList>
      </b:Author>
    </b:Author>
  </b:Source>
  <b:Source>
    <b:Tag>source3</b:Tag>
    <b:SourceType>DocumentFromInternetSite</b:SourceType>
    <b:Day>6</b:Day>
    <b:DayAccessed>22</b:DayAccessed>
    <b:Month>April</b:Month>
    <b:MonthAccessed>October</b:MonthAccessed>
    <b:ShortTitle>White Paper</b:ShortTitle>
    <b:Title>Blue Canyon Technologies</b:Title>
    <b:URL>https://www.bluecanyontech.com/services.</b:URL>
    <b:InternetSiteTitle>Technology readiness levels</b:InternetSiteTitle>
    <b:Year>1995</b:Year>
    <b:YearAccessed>2024</b:YearAccessed>
    <b:Gdcea>{"AccessedType":"Website"}</b:Gdcea>
    <b:Author>
      <b:Author>
        <b:NameList>
          <b:Person>
            <b:First>Mankins</b:First>
            <b:Middle>C</b:Middle>
            <b:Last>John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