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Análise de Vendas – Meganium</w:t>
      </w:r>
    </w:p>
    <w:p>
      <w:pPr>
        <w:pStyle w:val="Heading2"/>
      </w:pPr>
      <w:r>
        <w:t>1. Análise por Faixa Etária</w:t>
      </w:r>
    </w:p>
    <w:p>
      <w:r>
        <w:t>O gráfico “Quantidade de Produtos Comprados por Idade” mostrou variação relevante no comportamento de compra conforme a idade dos consumidores:</w:t>
        <w:br/>
        <w:t>- As faixas etárias entre 25 e 40 anos concentraram o maior volume de compras.</w:t>
        <w:br/>
        <w:t>- O produto mais comprado por essas faixas foi o "NEW MEGANIUM RG 40XXV", o que sugere uma forte aceitação entre consumidores economicamente ativos.</w:t>
        <w:br/>
        <w:t>- Faixas etárias acima de 50 anos mostraram uma queda nas compras, indicando possível desinteresse ou menor familiaridade com os canais de venda utilizados.</w:t>
      </w:r>
    </w:p>
    <w:p>
      <w:pPr>
        <w:pStyle w:val="Heading2"/>
      </w:pPr>
      <w:r>
        <w:t>2. Volume de Compras por País (Estado)</w:t>
      </w:r>
    </w:p>
    <w:p>
      <w:r>
        <w:t>O gráfico de barras sobre o volume de compras por país (estado) evidenciou os seguintes pontos:</w:t>
        <w:br/>
        <w:t>- Brasil e Estados Unidos lideram em quantidade de pedidos, sugerindo uma atuação forte da marca nestes mercados.</w:t>
        <w:br/>
        <w:t>- Países como Canadá e Espanha apresentaram menor volume de compras, o que pode indicar oportunidades de expansão ou necessidade de campanhas de marketing locais.</w:t>
      </w:r>
    </w:p>
    <w:p>
      <w:pPr>
        <w:pStyle w:val="Heading2"/>
      </w:pPr>
      <w:r>
        <w:t>3. Receita Gerada por País (Estado)</w:t>
      </w:r>
    </w:p>
    <w:p>
      <w:r>
        <w:t>Em termos de receita total, o gráfico mostrou que:</w:t>
        <w:br/>
        <w:t>- Embora o Brasil lidere em volume, os Estados Unidos geram uma receita próxima ou superior, sugerindo que o ticket médio é mais alto neste mercado.</w:t>
        <w:br/>
        <w:t>- Isso pode estar ligado à compra de unidades com valor agregado maior ou menor sensibilidade a preço.</w:t>
        <w:br/>
        <w:t>- Mercados com baixa receita relativa podem ser foco de campanhas promocionais para incentivar o volume e aumentar a penetração.</w:t>
      </w:r>
    </w:p>
    <w:p>
      <w:pPr>
        <w:pStyle w:val="Heading2"/>
      </w:pPr>
      <w:r>
        <w:t>4. Distribuição Geral de Receita</w:t>
      </w:r>
    </w:p>
    <w:p>
      <w:r>
        <w:t>O gráfico de pizza revelou:</w:t>
        <w:br/>
        <w:t>- A receita está concentrada em poucos países, com dois ou três mercados dominando mais de 70% das vendas.</w:t>
        <w:br/>
        <w:t>- Isso mostra dependência de poucos mercados e reforça a importância de diversificar a base de clientes geograficamente para reduzir riscos.</w:t>
      </w:r>
    </w:p>
    <w:p>
      <w:pPr>
        <w:pStyle w:val="Heading2"/>
      </w:pPr>
      <w:r>
        <w:t>Conclusões e Recomendações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Fato Observado</w:t>
            </w:r>
          </w:p>
        </w:tc>
        <w:tc>
          <w:tcPr>
            <w:tcW w:type="dxa" w:w="2880"/>
          </w:tcPr>
          <w:p>
            <w:r>
              <w:t>Implicação</w:t>
            </w:r>
          </w:p>
        </w:tc>
        <w:tc>
          <w:tcPr>
            <w:tcW w:type="dxa" w:w="2880"/>
          </w:tcPr>
          <w:p>
            <w:r>
              <w:t>Ação Recomendada</w:t>
            </w:r>
          </w:p>
        </w:tc>
      </w:tr>
      <w:tr>
        <w:tc>
          <w:tcPr>
            <w:tcW w:type="dxa" w:w="2880"/>
          </w:tcPr>
          <w:p>
            <w:r>
              <w:t>Compradores com 25-40 anos são maioria</w:t>
            </w:r>
          </w:p>
        </w:tc>
        <w:tc>
          <w:tcPr>
            <w:tcW w:type="dxa" w:w="2880"/>
          </w:tcPr>
          <w:p>
            <w:r>
              <w:t>Alto potencial de fidelização</w:t>
            </w:r>
          </w:p>
        </w:tc>
        <w:tc>
          <w:tcPr>
            <w:tcW w:type="dxa" w:w="2880"/>
          </w:tcPr>
          <w:p>
            <w:r>
              <w:t>Campanhas direcionadas a essa faixa</w:t>
            </w:r>
          </w:p>
        </w:tc>
      </w:tr>
      <w:tr>
        <w:tc>
          <w:tcPr>
            <w:tcW w:type="dxa" w:w="2880"/>
          </w:tcPr>
          <w:p>
            <w:r>
              <w:t>Estados Unidos têm maior ticket médio</w:t>
            </w:r>
          </w:p>
        </w:tc>
        <w:tc>
          <w:tcPr>
            <w:tcW w:type="dxa" w:w="2880"/>
          </w:tcPr>
          <w:p>
            <w:r>
              <w:t>Maior poder aquisitivo</w:t>
            </w:r>
          </w:p>
        </w:tc>
        <w:tc>
          <w:tcPr>
            <w:tcW w:type="dxa" w:w="2880"/>
          </w:tcPr>
          <w:p>
            <w:r>
              <w:t>Lançar produtos premium nesse mercado</w:t>
            </w:r>
          </w:p>
        </w:tc>
      </w:tr>
      <w:tr>
        <w:tc>
          <w:tcPr>
            <w:tcW w:type="dxa" w:w="2880"/>
          </w:tcPr>
          <w:p>
            <w:r>
              <w:t>Concentração de receita em poucos países</w:t>
            </w:r>
          </w:p>
        </w:tc>
        <w:tc>
          <w:tcPr>
            <w:tcW w:type="dxa" w:w="2880"/>
          </w:tcPr>
          <w:p>
            <w:r>
              <w:t>Risco de dependência</w:t>
            </w:r>
          </w:p>
        </w:tc>
        <w:tc>
          <w:tcPr>
            <w:tcW w:type="dxa" w:w="2880"/>
          </w:tcPr>
          <w:p>
            <w:r>
              <w:t>Investir em novos mercados com ações locais</w:t>
            </w:r>
          </w:p>
        </w:tc>
      </w:tr>
      <w:tr>
        <w:tc>
          <w:tcPr>
            <w:tcW w:type="dxa" w:w="2880"/>
          </w:tcPr>
          <w:p>
            <w:r>
              <w:t>Produto "NEW MEGANIUM RG 40XXV" é campeão de vendas</w:t>
            </w:r>
          </w:p>
        </w:tc>
        <w:tc>
          <w:tcPr>
            <w:tcW w:type="dxa" w:w="2880"/>
          </w:tcPr>
          <w:p>
            <w:r>
              <w:t>Preferência consolidada</w:t>
            </w:r>
          </w:p>
        </w:tc>
        <w:tc>
          <w:tcPr>
            <w:tcW w:type="dxa" w:w="2880"/>
          </w:tcPr>
          <w:p>
            <w:r>
              <w:t>Usar como carro-chefe em campanhas e upsells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