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57512">
                              <w:rPr>
                                <w:lang w:val="pt-BR"/>
                              </w:rPr>
                              <w:t>SOL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57512">
                        <w:rPr>
                          <w:lang w:val="pt-BR"/>
                        </w:rPr>
                        <w:t>SOL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C49CF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00DD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C49CF">
              <w:rPr>
                <w:rFonts w:eastAsia="Times New Roman"/>
                <w:b/>
                <w:lang w:eastAsia="pt-BR"/>
              </w:rPr>
            </w:r>
            <w:r w:rsidR="00DC49CF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C49CF">
              <w:rPr>
                <w:rFonts w:eastAsia="Times New Roman"/>
                <w:b/>
                <w:lang w:eastAsia="pt-BR"/>
              </w:rPr>
            </w:r>
            <w:r w:rsidR="00DC49CF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C49CF">
              <w:rPr>
                <w:rFonts w:eastAsia="Times New Roman" w:cs="Tahoma"/>
                <w:b/>
                <w:lang w:eastAsia="pt-BR"/>
              </w:rPr>
            </w:r>
            <w:r w:rsidR="00DC49CF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C49CF">
              <w:rPr>
                <w:rFonts w:eastAsia="Times New Roman" w:cs="Tahoma"/>
                <w:b/>
                <w:lang w:eastAsia="pt-BR"/>
              </w:rPr>
            </w:r>
            <w:r w:rsidR="00DC49CF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C49CF">
              <w:rPr>
                <w:rFonts w:eastAsia="Times New Roman" w:cs="Tahoma"/>
                <w:b/>
                <w:lang w:eastAsia="pt-BR"/>
              </w:rPr>
            </w:r>
            <w:r w:rsidR="00DC49CF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ED2726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O Sistema de Suporte Online (SOL) é uma ferramenta para registro de incidentes, encaminhamentos e acompanhamento de demandas de clientes internos e externos para algumas áreas de empresa. É utiliza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do nas seguintes áreas da IMESP: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Tecnologia da informação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: Registro de ocorrências de problemas em ativos de TI, solicitações diversas;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SAC: 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Registro de incidências relacionadas ao cliente externo relativas aos nossos produtos e serviços, controle de SLA do </w:t>
            </w:r>
            <w:proofErr w:type="spellStart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Call</w:t>
            </w:r>
            <w:proofErr w:type="spellEnd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Center;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Ouvidoria: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Registro de reclamações subsidia informações para ser enviada para Secretaria de gestão </w:t>
            </w:r>
            <w:proofErr w:type="spellStart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publica</w:t>
            </w:r>
            <w:proofErr w:type="spellEnd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Infraestrutura: 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Registro e encaminhamento de solicitações relativas à manutenção Civil, elétrica, hidráulica, ar condicionado e Telefonia;</w:t>
            </w:r>
          </w:p>
          <w:p w:rsidR="00C57512" w:rsidRPr="001D0AEF" w:rsidRDefault="00C57512" w:rsidP="00C57512">
            <w:pPr>
              <w:pStyle w:val="PargrafodaLista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SOL deverá se integrar ao módulo de RH do Protheus, buscando informações específicas dos funcionários, a serem detalhadas no item 4 deste documento.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C57512" w:rsidRPr="00ED2726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6377" w:type="dxa"/>
              <w:tblInd w:w="189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3686"/>
            </w:tblGrid>
            <w:tr w:rsidR="00C57512" w:rsidRPr="00ED2726" w:rsidTr="001F0575">
              <w:trPr>
                <w:trHeight w:val="300"/>
              </w:trPr>
              <w:tc>
                <w:tcPr>
                  <w:tcW w:w="637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SOL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ASP 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IIS - Internet </w:t>
                  </w:r>
                  <w:proofErr w:type="spellStart"/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Information</w:t>
                  </w:r>
                  <w:proofErr w:type="spellEnd"/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Server </w:t>
                  </w:r>
                </w:p>
              </w:tc>
            </w:tr>
            <w:tr w:rsidR="00C57512" w:rsidRPr="00ED2726" w:rsidTr="001F0575">
              <w:trPr>
                <w:trHeight w:val="70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7 (32 e 64 bits)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Necessário que o Protheus disponibilize informações de RH para que o sistema SOL faça consultas.</w:t>
            </w:r>
          </w:p>
          <w:p w:rsidR="00C57512" w:rsidRPr="00562A91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As consultas servem para que sejam gerados chamados para os usuários dentro do SOL.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Protheus será server de Webservice e ficará aguardando o acionamento do método. Ou seja, o SOL acionará o Protheus quando necessário buscar as informações dos funcionários, detalhadas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F211A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Serão disponibilizados dados de RH para consultas pela SOL.</w:t>
            </w:r>
          </w:p>
          <w:p w:rsidR="006D0302" w:rsidRDefault="006D0302" w:rsidP="006D030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RA_XNCARGO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C57512" w:rsidRPr="0098295A" w:rsidTr="001F0575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6F157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1651F" w:rsidRDefault="00D1651F" w:rsidP="00D1651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D1651F" w:rsidRDefault="00D1651F" w:rsidP="00D1651F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212E1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1651F" w:rsidRDefault="00D1651F" w:rsidP="00D1651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superior do funcionário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IOGPEC04_REM.xsd e IOGPEC04_RET.xsd correspondentes a remessa e retorno da pesquisa:</w:t>
            </w:r>
          </w:p>
          <w:p w:rsidR="00D1651F" w:rsidRDefault="00D1651F" w:rsidP="00D1651F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C57512" w:rsidRPr="0070783E" w:rsidRDefault="00C57512" w:rsidP="0070783E">
      <w:pPr>
        <w:jc w:val="left"/>
        <w:rPr>
          <w:rFonts w:eastAsia="Times New Roman"/>
          <w:sz w:val="24"/>
          <w:szCs w:val="24"/>
          <w:lang w:eastAsia="pt-BR"/>
        </w:rPr>
      </w:pPr>
      <w:bookmarkStart w:id="12" w:name="_GoBack"/>
      <w:bookmarkEnd w:id="12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CF" w:rsidRDefault="00DC49CF" w:rsidP="00CA5701">
      <w:r>
        <w:separator/>
      </w:r>
    </w:p>
  </w:endnote>
  <w:endnote w:type="continuationSeparator" w:id="0">
    <w:p w:rsidR="00DC49CF" w:rsidRDefault="00DC49CF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1651F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1651F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1651F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1651F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CF" w:rsidRDefault="00DC49CF" w:rsidP="00CA5701">
      <w:r>
        <w:separator/>
      </w:r>
    </w:p>
  </w:footnote>
  <w:footnote w:type="continuationSeparator" w:id="0">
    <w:p w:rsidR="00DC49CF" w:rsidRDefault="00DC49CF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AD8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02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17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57512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51F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49CF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0DDA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83B9A-88DE-4A0F-9B85-433340CA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3725</TotalTime>
  <Pages>8</Pages>
  <Words>1485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9486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35</cp:revision>
  <cp:lastPrinted>2017-02-20T12:47:00Z</cp:lastPrinted>
  <dcterms:created xsi:type="dcterms:W3CDTF">2015-03-30T12:33:00Z</dcterms:created>
  <dcterms:modified xsi:type="dcterms:W3CDTF">2017-03-03T19:37:00Z</dcterms:modified>
</cp:coreProperties>
</file>