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A82489" w:rsidP="00A82489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</w:t>
                            </w:r>
                            <w:r w:rsidR="008A24E7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/01/2017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A82489" w:rsidP="00A82489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</w:t>
                      </w:r>
                      <w:r w:rsidR="008A24E7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</w:t>
                            </w:r>
                            <w:r w:rsidR="00A82489">
                              <w:rPr>
                                <w:lang w:val="pt-BR"/>
                              </w:rPr>
                              <w:t>Secretaria Geral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</w:t>
                      </w:r>
                      <w:r w:rsidR="00A82489">
                        <w:rPr>
                          <w:lang w:val="pt-BR"/>
                        </w:rPr>
                        <w:t>Secretaria Geral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" w:name="_Toc388516873"/>
      <w:bookmarkStart w:id="2" w:name="_Toc413744573"/>
      <w:bookmarkStart w:id="3" w:name="_Toc419222869"/>
      <w:bookmarkStart w:id="4" w:name="_Toc475087925"/>
      <w:r w:rsidRPr="00517D35">
        <w:t>Sumário</w:t>
      </w:r>
      <w:bookmarkEnd w:id="1"/>
      <w:bookmarkEnd w:id="2"/>
      <w:bookmarkEnd w:id="3"/>
      <w:bookmarkEnd w:id="4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DD6B1D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43433E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5" w:name="_Toc475087926"/>
      <w:r w:rsidRPr="00E83D12">
        <w:rPr>
          <w:lang w:val="pt-BR"/>
        </w:rPr>
        <w:lastRenderedPageBreak/>
        <w:t>Dados Gerais</w:t>
      </w:r>
      <w:bookmarkEnd w:id="5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6" w:name="_Toc475087927"/>
      <w:r w:rsidRPr="00E83D12">
        <w:rPr>
          <w:lang w:val="pt-BR"/>
        </w:rPr>
        <w:t>Dados da Personalização</w:t>
      </w:r>
      <w:bookmarkEnd w:id="6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DD6B1D">
              <w:rPr>
                <w:rFonts w:eastAsia="Times New Roman"/>
                <w:b/>
                <w:lang w:eastAsia="pt-BR"/>
              </w:rPr>
            </w:r>
            <w:r w:rsidR="00DD6B1D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DD6B1D">
              <w:rPr>
                <w:rFonts w:eastAsia="Times New Roman"/>
                <w:b/>
                <w:lang w:eastAsia="pt-BR"/>
              </w:rPr>
            </w:r>
            <w:r w:rsidR="00DD6B1D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D6B1D">
              <w:rPr>
                <w:rFonts w:eastAsia="Times New Roman" w:cs="Tahoma"/>
                <w:b/>
                <w:lang w:eastAsia="pt-BR"/>
              </w:rPr>
            </w:r>
            <w:r w:rsidR="00DD6B1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D6B1D">
              <w:rPr>
                <w:rFonts w:eastAsia="Times New Roman" w:cs="Tahoma"/>
                <w:b/>
                <w:lang w:eastAsia="pt-BR"/>
              </w:rPr>
            </w:r>
            <w:r w:rsidR="00DD6B1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DD6B1D">
              <w:rPr>
                <w:rFonts w:eastAsia="Times New Roman" w:cs="Tahoma"/>
                <w:b/>
                <w:lang w:eastAsia="pt-BR"/>
              </w:rPr>
            </w:r>
            <w:r w:rsidR="00DD6B1D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6746C9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Pr="00ED2726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Secretaria Geral c</w:t>
            </w:r>
            <w:r w:rsidRPr="00952019">
              <w:rPr>
                <w:rFonts w:eastAsia="Times New Roman" w:cs="Tahoma"/>
                <w:sz w:val="24"/>
                <w:szCs w:val="24"/>
                <w:lang w:eastAsia="pt-BR"/>
              </w:rPr>
              <w:t>ontrola o fluxo (workflow) dos documentos administrativos, como contratos 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ofícios dentro da</w:t>
            </w:r>
            <w:r w:rsidRPr="00952019">
              <w:rPr>
                <w:rFonts w:eastAsia="Times New Roman" w:cs="Tahoma"/>
                <w:sz w:val="24"/>
                <w:szCs w:val="24"/>
                <w:lang w:eastAsia="pt-BR"/>
              </w:rPr>
              <w:t xml:space="preserve"> IMESP.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A82489" w:rsidRPr="00ED2726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796" w:type="dxa"/>
              <w:tblInd w:w="84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5103"/>
            </w:tblGrid>
            <w:tr w:rsidR="00A82489" w:rsidRPr="00ED2726" w:rsidTr="00B0128F">
              <w:trPr>
                <w:trHeight w:val="300"/>
              </w:trPr>
              <w:tc>
                <w:tcPr>
                  <w:tcW w:w="77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Secretaria Geral</w:t>
                  </w:r>
                </w:p>
              </w:tc>
            </w:tr>
            <w:tr w:rsidR="00A82489" w:rsidRPr="00ED2726" w:rsidTr="00B0128F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952019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ASP .Net C#</w:t>
                  </w:r>
                </w:p>
              </w:tc>
            </w:tr>
            <w:tr w:rsidR="00A82489" w:rsidRPr="00ED2726" w:rsidTr="00B0128F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A82489" w:rsidRPr="00ED2726" w:rsidTr="00B0128F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A82489" w:rsidRPr="00ED2726" w:rsidTr="00B0128F">
              <w:trPr>
                <w:trHeight w:val="70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2489" w:rsidRPr="00ED2726" w:rsidRDefault="00A82489" w:rsidP="00A82489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Vista, Windows 7 (32 e 64bits)</w:t>
                  </w:r>
                </w:p>
              </w:tc>
            </w:tr>
          </w:tbl>
          <w:p w:rsidR="00A82489" w:rsidRDefault="00A82489" w:rsidP="00A8248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Pr="001D0AEF" w:rsidRDefault="00A82489" w:rsidP="00A8248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O sistema Secretaria Geral controla o fluxo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de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documentos dentro da IMESP, para isso é necessário que tenha acesso a informações do RH para definir funcionários responsáveis por determinados documentos. </w:t>
            </w:r>
          </w:p>
          <w:p w:rsidR="00A82489" w:rsidRDefault="00A82489" w:rsidP="00A82489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Desta forma, o Protheus será server de webservice e disponibilizará informações de RH, detalhadas no item 4 deste documento.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1" w:name="_Toc475087928"/>
            <w:r w:rsidRPr="008371FE">
              <w:rPr>
                <w:lang w:val="pt-BR"/>
              </w:rPr>
              <w:t>Especificação de Tabelas e Índices</w:t>
            </w:r>
            <w:bookmarkEnd w:id="11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211A7" w:rsidRPr="00F211A7" w:rsidRDefault="00F211A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8A24E7" w:rsidRDefault="008A24E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Serão disponibilizados dados de RH para consultas </w:t>
            </w:r>
            <w:r w:rsidR="00A82489">
              <w:rPr>
                <w:rFonts w:eastAsia="Times New Roman" w:cs="Tahoma"/>
                <w:sz w:val="24"/>
                <w:szCs w:val="24"/>
                <w:lang w:eastAsia="pt-BR"/>
              </w:rPr>
              <w:t>pela Secretaria Geral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.</w:t>
            </w:r>
          </w:p>
          <w:p w:rsidR="003F1DE8" w:rsidRDefault="003F1DE8" w:rsidP="003F1DE8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funcionários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IOGPEC01_RET.xsd correspondentes a remessa e retorno da pesquisa:</w:t>
            </w:r>
          </w:p>
          <w:p w:rsidR="009333AE" w:rsidRDefault="009333AE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RA_XNCARGO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5C7BFE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5C7BFE" w:rsidRPr="0098295A" w:rsidRDefault="005C7BFE" w:rsidP="005C7BFE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D35182" w:rsidRDefault="00D35182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98295A" w:rsidRDefault="0098295A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98295A" w:rsidRPr="0098295A" w:rsidTr="006746C9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6746C9" w:rsidRDefault="006746C9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7C6193" w:rsidRPr="006F1577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7C6193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</w:t>
            </w:r>
            <w:r w:rsidR="00A82489">
              <w:rPr>
                <w:rFonts w:eastAsia="Times New Roman" w:cs="Tahoma"/>
                <w:sz w:val="24"/>
                <w:szCs w:val="24"/>
                <w:lang w:eastAsia="pt-BR"/>
              </w:rPr>
              <w:t>SRE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BB0FE8" w:rsidRDefault="00BB0FE8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C3277" w:rsidRDefault="00CC3277" w:rsidP="00CC32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IOGPEC03_REM.xsd e IOGPEC03_RET.xsd correspondentes a remessa e retorno da pesquisa:</w:t>
            </w:r>
          </w:p>
          <w:p w:rsidR="00CC3277" w:rsidRDefault="00CC3277" w:rsidP="00CC327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8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212E1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CC3277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450BE0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450BE0" w:rsidRDefault="00450BE0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C3277" w:rsidRDefault="00CC3277" w:rsidP="00CC3277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superior do funcionário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IOGPEC04_REM.xsd e IOGPEC04_RET.xsd correspondentes a remessa e retorno da pesquisa:</w:t>
            </w:r>
          </w:p>
          <w:p w:rsidR="00CC3277" w:rsidRDefault="00CC3277" w:rsidP="00CC327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1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31"/>
              <w:gridCol w:w="1480"/>
              <w:gridCol w:w="672"/>
              <w:gridCol w:w="1225"/>
              <w:gridCol w:w="1152"/>
            </w:tblGrid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 - Superior</w:t>
                  </w:r>
                </w:p>
              </w:tc>
              <w:tc>
                <w:tcPr>
                  <w:tcW w:w="93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4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67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22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5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Filial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QB_FILRESP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gramStart"/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Matricula Responsável</w:t>
                  </w:r>
                  <w:proofErr w:type="gramEnd"/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QB_MATRESP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Responsável</w:t>
                  </w:r>
                </w:p>
              </w:tc>
              <w:tc>
                <w:tcPr>
                  <w:tcW w:w="93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67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E44F8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5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CC3277" w:rsidRPr="00DE44F8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9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4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6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2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3277" w:rsidRPr="00DE44F8" w:rsidRDefault="00CC3277" w:rsidP="00CC3277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</w:tbl>
          <w:p w:rsidR="004A36C1" w:rsidRDefault="004A36C1" w:rsidP="00A8248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Default="00A82489" w:rsidP="00A8248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82489" w:rsidRPr="0070783E" w:rsidRDefault="00A82489" w:rsidP="00A82489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DE44F8" w:rsidRPr="0070783E" w:rsidRDefault="00DE44F8" w:rsidP="0070783E">
      <w:pPr>
        <w:jc w:val="left"/>
        <w:rPr>
          <w:rFonts w:eastAsia="Times New Roman"/>
          <w:sz w:val="24"/>
          <w:szCs w:val="24"/>
          <w:lang w:eastAsia="pt-BR"/>
        </w:rPr>
      </w:pPr>
      <w:bookmarkStart w:id="12" w:name="_GoBack"/>
      <w:bookmarkEnd w:id="12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3" w:name="_Toc475087929"/>
            <w:r w:rsidRPr="006746C9">
              <w:rPr>
                <w:lang w:val="pt-BR"/>
              </w:rPr>
              <w:t>Especificação de Parâmetros</w:t>
            </w:r>
            <w:bookmarkEnd w:id="13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4" w:name="_Toc475087930"/>
            <w:r w:rsidRPr="006746C9">
              <w:rPr>
                <w:lang w:val="pt-BR"/>
              </w:rPr>
              <w:t>Critérios para Validação</w:t>
            </w:r>
            <w:bookmarkEnd w:id="14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5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5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6" w:name="_Toc475087932"/>
      <w:r w:rsidRPr="006746C9">
        <w:rPr>
          <w:lang w:val="pt-BR"/>
        </w:rPr>
        <w:t>Aprovação:</w:t>
      </w:r>
      <w:bookmarkEnd w:id="16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17" w:name="_Toc388516882"/>
            <w:bookmarkStart w:id="18" w:name="_Toc413744583"/>
            <w:bookmarkStart w:id="19" w:name="_Toc419222878"/>
            <w:bookmarkStart w:id="20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17"/>
            <w:bookmarkEnd w:id="18"/>
            <w:bookmarkEnd w:id="19"/>
            <w:bookmarkEnd w:id="20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1" w:name="_Toc388516883"/>
            <w:bookmarkStart w:id="22" w:name="_Toc413744584"/>
            <w:bookmarkStart w:id="23" w:name="_Toc419222879"/>
            <w:bookmarkStart w:id="24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1"/>
            <w:bookmarkEnd w:id="22"/>
            <w:bookmarkEnd w:id="23"/>
            <w:bookmarkEnd w:id="24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5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5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B1D" w:rsidRDefault="00DD6B1D" w:rsidP="00CA5701">
      <w:r>
        <w:separator/>
      </w:r>
    </w:p>
  </w:endnote>
  <w:endnote w:type="continuationSeparator" w:id="0">
    <w:p w:rsidR="00DD6B1D" w:rsidRDefault="00DD6B1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C3277">
                            <w:rPr>
                              <w:noProof/>
                              <w:sz w:val="20"/>
                              <w:szCs w:val="20"/>
                            </w:rPr>
                            <w:t>6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CC3277">
                      <w:rPr>
                        <w:noProof/>
                        <w:sz w:val="20"/>
                        <w:szCs w:val="20"/>
                      </w:rPr>
                      <w:t>6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C3277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CC3277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B1D" w:rsidRDefault="00DD6B1D" w:rsidP="00CA5701">
      <w:r>
        <w:separator/>
      </w:r>
    </w:p>
  </w:footnote>
  <w:footnote w:type="continuationSeparator" w:id="0">
    <w:p w:rsidR="00DD6B1D" w:rsidRDefault="00DD6B1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296B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DE8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433E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36C1"/>
    <w:rsid w:val="004A407D"/>
    <w:rsid w:val="004A4196"/>
    <w:rsid w:val="004A42EE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BFE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2489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170A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277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182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6B1D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4F8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00465-8EDF-407E-8A1B-7BD4D0ECB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3745</TotalTime>
  <Pages>8</Pages>
  <Words>1366</Words>
  <Characters>7379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8728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37</cp:revision>
  <cp:lastPrinted>2017-02-20T12:42:00Z</cp:lastPrinted>
  <dcterms:created xsi:type="dcterms:W3CDTF">2015-03-30T12:33:00Z</dcterms:created>
  <dcterms:modified xsi:type="dcterms:W3CDTF">2017-03-03T19:35:00Z</dcterms:modified>
</cp:coreProperties>
</file>