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sz w:val="36"/>
        </w:rPr>
        <w:t>Ub-SUMO竞争系统：从静电模型到数据驱动的不对称性发现</w:t>
      </w:r>
    </w:p>
    <w:p>
      <w:pPr>
        <w:jc w:val="center"/>
      </w:pPr>
      <w:r>
        <w:rPr>
          <w:rFonts w:ascii="Microsoft YaHei" w:hAnsi="Microsoft YaHei"/>
          <w:color w:val="555555"/>
          <w:sz w:val="24"/>
        </w:rPr>
        <w:t>——计算驱动下的实验设计视角</w:t>
      </w:r>
    </w:p>
    <w:p>
      <w:pPr>
        <w:pStyle w:val="Heading1"/>
      </w:pPr>
      <w:r>
        <w:rPr>
          <w:rFonts w:ascii="Microsoft YaHei" w:hAnsi="Microsoft YaHei"/>
        </w:rPr>
        <w:t>摘要</w:t>
      </w:r>
    </w:p>
    <w:p>
      <w:r>
        <w:rPr>
          <w:rFonts w:ascii="Microsoft YaHei" w:hAnsi="Microsoft YaHei"/>
        </w:rPr>
        <w:t>泛素化(Ubiquitination)与SUMO化(SUMOylation)是两种最重要的类泛素化翻译后修饰，常在相同赖氨酸(K)位点上发生竞争。已有实验研究揭示了若干竞争案例，但决定Ub还是SUMO的物理化学因素仍不清楚。本文从静电模拟模型出发，首先下载并分析了54个靶蛋白的2693个PDB结构(2.2GB)，对191个实验标记的K位点进行了12403次静电评估；随后扩展至55个靶蛋白的AlphaFold预测结构覆盖共173个可评估位点(91 Ub/82 SUMO)。结果显示：纯静电模型在实验PDB和AlphaFold两种数据源上均无法区分Ub与SUMO修饰偏好(Ub正确率0–3%，SUMO正确率7–56%)。引入SUMO共识基序(psiKx(D/E))序列过滤器后，SUMO化预测正确率达到90%(AlphaFold数据)。这一发现揭示了Ub-SUMO竞争的核心不对称性——Ub系统通过约600种E3连接酶覆盖几乎任意K位点，而SUMO系统仅依赖UBC9通过严格共识基序识别底物。两套数据源一致表明：Ub-SUMO竞争本质是SUMO在特定条件下介入Ub普适通路的非对称机制。</w:t>
      </w:r>
    </w:p>
    <w:p>
      <w:pPr>
        <w:pStyle w:val="Heading1"/>
      </w:pPr>
      <w:r>
        <w:rPr>
          <w:rFonts w:ascii="Microsoft YaHei" w:hAnsi="Microsoft YaHei"/>
        </w:rPr>
        <w:t>1 引言</w:t>
      </w:r>
    </w:p>
    <w:p>
      <w:r>
        <w:rPr>
          <w:rFonts w:ascii="Microsoft YaHei" w:hAnsi="Microsoft YaHei"/>
        </w:rPr>
        <w:t>蛋白质翻译后修饰(PTM)是细胞调控的核心机制之一。类泛素化修饰(Ubiquitin-like modifiers, Ubls)因其结构相似性和功能多样性而备受关注。泛素(Ubiquitin, Ub)和SUMO(Small Ubiquitin-like Modifier)是最具代表性的两种Ubl修饰，两者在结构上具有相似的beta-grasp折叠，但它们承担的细胞功能却截然不同：泛素化主要介导蛋白质降解、信号转导和膜运输，而SUMO化则更多参与核质转运、转录调控和DNA损伤修复。</w:t>
      </w:r>
    </w:p>
    <w:p>
      <w:r>
        <w:rPr>
          <w:rFonts w:ascii="Microsoft YaHei" w:hAnsi="Microsoft YaHei"/>
        </w:rPr>
        <w:t>当两种修饰竞争同一个赖氨酸位点时，Ub和SUMO的命运决定被认为是一个重要的调控节点。已有研究表明，这种竞争在特定蛋白(如PCNA、p53、IKBalpha等)上具有明确的生物学意义：SUMO化可以在应激条件下阻止泛素化的降解信号，从而稳定靶蛋白。然而，是什么机制决定了某个K位点最终被Ub还是SUMO修饰，目前尚无系统性的回答。</w:t>
      </w:r>
    </w:p>
    <w:p>
      <w:r>
        <w:rPr>
          <w:rFonts w:ascii="Microsoft YaHei" w:hAnsi="Microsoft YaHei"/>
        </w:rPr>
        <w:t>本文通过两阶段计算模拟验证回答了这个问题。第一阶段以RCSB PDB实验结构为基础，对54个靶蛋白的2693个PDB结构进行12403次静电竞争评估。第二阶段扩展至55个靶蛋白的AlphaFold预测结构，将评估范围扩大至173个可验证K位点，并引入序列基序分析。两阶段一致显示：纯静电模型无法区分Ub与SUMO偏好，而酶学系统的不对称性才是决定竞争走向的核心因素。</w:t>
      </w:r>
    </w:p>
    <w:p>
      <w:pPr>
        <w:pStyle w:val="Heading1"/>
      </w:pPr>
      <w:r>
        <w:rPr>
          <w:rFonts w:ascii="Microsoft YaHei" w:hAnsi="Microsoft YaHei"/>
        </w:rPr>
        <w:t>2 Ub与SUMO系统的结构基础</w:t>
      </w:r>
    </w:p>
    <w:p>
      <w:pPr>
        <w:pStyle w:val="Heading2"/>
      </w:pPr>
      <w:r>
        <w:rPr>
          <w:rFonts w:ascii="Microsoft YaHei" w:hAnsi="Microsoft YaHei"/>
        </w:rPr>
        <w:t>2.1 结构同源性与静电差异</w:t>
      </w:r>
    </w:p>
    <w:p>
      <w:r>
        <w:rPr>
          <w:rFonts w:ascii="Microsoft YaHei" w:hAnsi="Microsoft YaHei"/>
        </w:rPr>
        <w:t>泛素是一个76个氨基酸的小蛋白(约8.5 kDa)，具有紧凑的beta-grasp折叠。其表面带有丰富的疏水patch(特别是Ile44为中心的hydrophobic patch)，这是被多种E3连接酶识别的关键。泛素的等电点(pI)约为7.6，在生理pH下接近电中性。</w:t>
      </w:r>
    </w:p>
    <w:p>
      <w:r>
        <w:rPr>
          <w:rFonts w:ascii="Microsoft YaHei" w:hAnsi="Microsoft YaHei"/>
        </w:rPr>
        <w:t>SUMO家族成员(SUMO-1/2/3/4)与泛素拥有相同的beta-grasp超二级结构，但N端多出一个约20个残基的无序延伸段。SUMO-1(pI~5.0)在生理pH下带有显著的负电性(-3.0净电荷)。SUMO-2/3更为相近，pI值也接近5。</w:t>
      </w:r>
    </w:p>
    <w:p>
      <w:r>
        <w:rPr>
          <w:rFonts w:ascii="Microsoft YaHei" w:hAnsi="Microsoft YaHei"/>
        </w:rPr>
        <w:t>两种修饰与底物通过异肽键连接：修饰体的C端羧基与底物Lys侧链的epsilon-氨基形成异肽键。这些物理化学差异——特别是电荷分布的不对称性——构成了静电竞争模型的物理基础。</w:t>
      </w:r>
    </w:p>
    <w:p>
      <w:pPr>
        <w:pStyle w:val="Heading2"/>
      </w:pPr>
      <w:r>
        <w:rPr>
          <w:rFonts w:ascii="Microsoft YaHei" w:hAnsi="Microsoft YaHei"/>
        </w:rPr>
        <w:t>2.2 酶学系统的不对称性</w:t>
      </w:r>
    </w:p>
    <w:p>
      <w:r>
        <w:rPr>
          <w:rFonts w:ascii="Microsoft YaHei" w:hAnsi="Microsoft YaHei"/>
        </w:rPr>
        <w:t>在理解Ub和SUMO修饰的酶学体系时，一个最显著的特征就是不对称性：</w:t>
      </w:r>
    </w:p>
    <w:p>
      <w:pPr>
        <w:pStyle w:val="ListBullet"/>
      </w:pPr>
      <w:r>
        <w:rPr>
          <w:rFonts w:ascii="Microsoft YaHei" w:hAnsi="Microsoft YaHei"/>
          <w:b/>
        </w:rPr>
        <w:t>Ub系统</w:t>
      </w:r>
      <w:r>
        <w:rPr>
          <w:rFonts w:ascii="Microsoft YaHei" w:hAnsi="Microsoft YaHei"/>
        </w:rPr>
        <w:t>：约600种E3连接酶，分属RING、HECT和RBR三大类。每种E3识别特定的底物基序，覆盖极其广泛的底物谱。E1-E2-E3级联反应使得Ub可以有效修饰几乎所有蛋白质。</w:t>
      </w:r>
    </w:p>
    <w:p>
      <w:pPr>
        <w:pStyle w:val="ListBullet"/>
      </w:pPr>
      <w:r>
        <w:rPr>
          <w:rFonts w:ascii="Microsoft YaHei" w:hAnsi="Microsoft YaHei"/>
          <w:b/>
        </w:rPr>
        <w:t>SUMO系统</w:t>
      </w:r>
      <w:r>
        <w:rPr>
          <w:rFonts w:ascii="Microsoft YaHei" w:hAnsi="Microsoft YaHei"/>
        </w:rPr>
        <w:t>：仅有一种E2酶——UBC9(UBE2I)。UBC9本身承担底物识别功能，直接通过其底物结合面识别psiKx(D/E)共识序列(psi表示疏水残基，x为任意残基)。PIAS家族的E3连接酶主要增强UBC9的催化效率而非直接识别底物。</w:t>
      </w:r>
    </w:p>
    <w:p>
      <w:r>
        <w:rPr>
          <w:rFonts w:ascii="Microsoft YaHei" w:hAnsi="Microsoft YaHei"/>
        </w:rPr>
        <w:t>这种不对称性意味着：Ub系统具有近乎全面的赖氨酸覆盖能力；SUMO系统则受限于UBC9的序列偏好。这个差异是后续推导的核心。</w:t>
      </w:r>
    </w:p>
    <w:p>
      <w:pPr>
        <w:pStyle w:val="Heading2"/>
      </w:pPr>
      <w:r>
        <w:rPr>
          <w:rFonts w:ascii="Microsoft YaHei" w:hAnsi="Microsoft YaHei"/>
        </w:rPr>
        <w:t>2.3 竞争位点研究现状</w:t>
      </w:r>
    </w:p>
    <w:p>
      <w:r>
        <w:rPr>
          <w:rFonts w:ascii="Microsoft YaHei" w:hAnsi="Microsoft YaHei"/>
        </w:rPr>
        <w:t>已知的Ub-SUMO竞争案例主要包括：PCNA K164(DNA损伤响应开关)、IKBalpha K21/K22(NF-kappaB通路调控)、p53多个K位点(稳定性调控)、以及HIF-1alpha K532/K684等。这些案例中，SUMO化通常表现为拮抗Ub化的功能——在特定应激条件下SUMO修饰保护底物免于Ub介导的降解。</w:t>
      </w:r>
    </w:p>
    <w:p>
      <w:pPr>
        <w:pStyle w:val="Heading1"/>
      </w:pPr>
      <w:r>
        <w:rPr>
          <w:rFonts w:ascii="Microsoft YaHei" w:hAnsi="Microsoft YaHei"/>
        </w:rPr>
        <w:t>3 数据与方法</w:t>
      </w:r>
    </w:p>
    <w:p>
      <w:pPr>
        <w:pStyle w:val="Heading2"/>
      </w:pPr>
      <w:r>
        <w:rPr>
          <w:rFonts w:ascii="Microsoft YaHei" w:hAnsi="Microsoft YaHei"/>
        </w:rPr>
        <w:t>3.1 数据来源——两阶段数据管道</w:t>
      </w:r>
    </w:p>
    <w:p>
      <w:pPr>
        <w:pStyle w:val="ListBullet"/>
      </w:pPr>
      <w:r>
        <w:rPr>
          <w:rFonts w:ascii="Microsoft YaHei" w:hAnsi="Microsoft YaHei"/>
          <w:b/>
        </w:rPr>
        <w:t>实验标记数据集</w:t>
      </w:r>
      <w:r>
        <w:rPr>
          <w:rFonts w:ascii="Microsoft YaHei" w:hAnsi="Microsoft YaHei"/>
        </w:rPr>
        <w:t>：从集成数据库DeepPCT的训练集和测试集中提取，共54个蛋白、191个K位点(Ub: 98, SUMO: 80, both: 13)。每个位点通过质谱或抗体实验确认。</w:t>
      </w:r>
    </w:p>
    <w:p>
      <w:pPr>
        <w:pStyle w:val="ListBullet"/>
      </w:pPr>
      <w:r>
        <w:rPr>
          <w:rFonts w:ascii="Microsoft YaHei" w:hAnsi="Microsoft YaHei"/>
          <w:b/>
        </w:rPr>
        <w:t>阶段一：实验PDB结构</w:t>
      </w:r>
      <w:r>
        <w:rPr>
          <w:rFonts w:ascii="Microsoft YaHei" w:hAnsi="Microsoft YaHei"/>
        </w:rPr>
        <w:t>：通过UniProt REST API获取PDB链级映射，批量下载全部2693个相关PDB文件(约2.2GB)。DBREF记录将K位点映射到原子坐标空间。</w:t>
      </w:r>
    </w:p>
    <w:p>
      <w:pPr>
        <w:pStyle w:val="ListBullet"/>
      </w:pPr>
      <w:r>
        <w:rPr>
          <w:rFonts w:ascii="Microsoft YaHei" w:hAnsi="Microsoft YaHei"/>
          <w:b/>
        </w:rPr>
        <w:t>阶段二：AlphaFold预测结构</w:t>
      </w:r>
      <w:r>
        <w:rPr>
          <w:rFonts w:ascii="Microsoft YaHei" w:hAnsi="Microsoft YaHei"/>
        </w:rPr>
        <w:t>：通过AlphaFold DB v6 API(v4已废弃)下载55个蛋白的预测结构，覆盖全部标记蛋白，为无序区域和未解析结构域提供原子坐标。</w:t>
      </w:r>
    </w:p>
    <w:p>
      <w:r>
        <w:rPr>
          <w:rFonts w:ascii="Microsoft YaHei" w:hAnsi="Microsoft YaHei"/>
        </w:rPr>
        <w:t>两阶段数据互补：PDB提供高精度实验结构，AlphaFold覆盖PDB遗漏的区域。</w:t>
      </w:r>
    </w:p>
    <w:p>
      <w:pPr>
        <w:pStyle w:val="Heading2"/>
      </w:pPr>
      <w:r>
        <w:rPr>
          <w:rFonts w:ascii="Microsoft YaHei" w:hAnsi="Microsoft YaHei"/>
        </w:rPr>
        <w:t>3.2 静电竞争模型</w:t>
      </w:r>
    </w:p>
    <w:p>
      <w:r>
        <w:rPr>
          <w:rFonts w:ascii="Microsoft YaHei" w:hAnsi="Microsoft YaHei"/>
        </w:rPr>
        <w:t>模拟器的核心逻辑：残基在pH 7.4下的净电荷由pKa值计算(Asp/Glu=-1, Lys=+1, Arg=+1)。在介电常数epsilon=80下计算Ub和SUMO分别与K位点的库仑相互作用能。以Delta-E = E(SUMO)-E(Ub)作为竞争判据：Delta-E&gt;0判给SUMO，Delta-E&lt;-1.0判给Ub，中间判为ambiguous。Ub和SUMO的参考结构来自实验PDB(1UBQ, 1A5R)。</w:t>
      </w:r>
    </w:p>
    <w:p>
      <w:pPr>
        <w:pStyle w:val="Heading2"/>
      </w:pPr>
      <w:r>
        <w:rPr>
          <w:rFonts w:ascii="Microsoft YaHei" w:hAnsi="Microsoft YaHei"/>
        </w:rPr>
        <w:t>3.3 序列基序过滤器</w:t>
      </w:r>
    </w:p>
    <w:p>
      <w:r>
        <w:rPr>
          <w:rFonts w:ascii="Microsoft YaHei" w:hAnsi="Microsoft YaHei"/>
        </w:rPr>
        <w:t>在静电评分基础上，引入基于UBC9底物识别的共识基序评分：</w:t>
      </w:r>
    </w:p>
    <w:p>
      <w:r>
        <w:rPr>
          <w:rFonts w:ascii="Microsoft YaHei" w:hAnsi="Microsoft YaHei"/>
        </w:rPr>
        <w:t>S_motif = psi(-1) * 2.0 + D/E(+2) * 2.0 + [DE_nearby] * 0.3 - [KR_nearby] * 0.3</w:t>
      </w:r>
    </w:p>
    <w:p>
      <w:r>
        <w:rPr>
          <w:rFonts w:ascii="Microsoft YaHei" w:hAnsi="Microsoft YaHei"/>
        </w:rPr>
        <w:t>其中psi=ILVMFWYA，DE_nearby和KR_nearby分别在距离目标K位点5个残基范围内计数。最终结合预测通过logistic函数P(SUMO) = 1/(1+exp(-(Delta-E/T + S_motif)))计算，温度参数T=2.5。</w:t>
      </w:r>
    </w:p>
    <w:p>
      <w:pPr>
        <w:pStyle w:val="Heading2"/>
      </w:pPr>
      <w:r>
        <w:rPr>
          <w:rFonts w:ascii="Microsoft YaHei" w:hAnsi="Microsoft YaHei"/>
        </w:rPr>
        <w:t>3.4 计算流程</w:t>
      </w:r>
    </w:p>
    <w:p>
      <w:pPr>
        <w:pStyle w:val="ListBullet"/>
      </w:pPr>
      <w:r>
        <w:rPr>
          <w:rFonts w:ascii="Microsoft YaHei" w:hAnsi="Microsoft YaHei"/>
          <w:b/>
        </w:rPr>
        <w:t>PDB批量下载</w:t>
      </w:r>
      <w:r>
        <w:rPr>
          <w:rFonts w:ascii="Microsoft YaHei" w:hAnsi="Microsoft YaHei"/>
        </w:rPr>
        <w:t>：8线程并行，分批查询RCSB PDB服务器，尝试.pdb和.cif两种格式。</w:t>
      </w:r>
    </w:p>
    <w:p>
      <w:pPr>
        <w:pStyle w:val="ListBullet"/>
      </w:pPr>
      <w:r>
        <w:rPr>
          <w:rFonts w:ascii="Microsoft YaHei" w:hAnsi="Microsoft YaHei"/>
          <w:b/>
        </w:rPr>
        <w:t>DBREF解析</w:t>
      </w:r>
      <w:r>
        <w:rPr>
          <w:rFonts w:ascii="Microsoft YaHei" w:hAnsi="Microsoft YaHei"/>
        </w:rPr>
        <w:t>：从每个PDB的DBREF记录提取UniProt到PDB链级位置映射。</w:t>
      </w:r>
    </w:p>
    <w:p>
      <w:pPr>
        <w:pStyle w:val="ListBullet"/>
      </w:pPr>
      <w:r>
        <w:rPr>
          <w:rFonts w:ascii="Microsoft YaHei" w:hAnsi="Microsoft YaHei"/>
          <w:b/>
        </w:rPr>
        <w:t>AlphaFold结构获取</w:t>
      </w:r>
      <w:r>
        <w:rPr>
          <w:rFonts w:ascii="Microsoft YaHei" w:hAnsi="Microsoft YaHei"/>
        </w:rPr>
        <w:t>：通过API查询获取v6版本PDB文件，已下载55个蛋白全部成功。</w:t>
      </w:r>
    </w:p>
    <w:p>
      <w:pPr>
        <w:pStyle w:val="ListBullet"/>
      </w:pPr>
      <w:r>
        <w:rPr>
          <w:rFonts w:ascii="Microsoft YaHei" w:hAnsi="Microsoft YaHei"/>
          <w:b/>
        </w:rPr>
        <w:t>位点坐标提取</w:t>
      </w:r>
      <w:r>
        <w:rPr>
          <w:rFonts w:ascii="Microsoft YaHei" w:hAnsi="Microsoft YaHei"/>
        </w:rPr>
        <w:t>：将实验标记K位点映射到PDB/AlphaFold空间中的CA原子坐标。</w:t>
      </w:r>
    </w:p>
    <w:p>
      <w:pPr>
        <w:pStyle w:val="ListBullet"/>
      </w:pPr>
      <w:r>
        <w:rPr>
          <w:rFonts w:ascii="Microsoft YaHei" w:hAnsi="Microsoft YaHei"/>
          <w:b/>
        </w:rPr>
        <w:t>能量计算与统计</w:t>
      </w:r>
      <w:r>
        <w:rPr>
          <w:rFonts w:ascii="Microsoft YaHei" w:hAnsi="Microsoft YaHei"/>
        </w:rPr>
        <w:t>：跨多个PDB结构计算均值、标准差和多数预测；AlphaFold单结构直接计算。</w:t>
      </w:r>
    </w:p>
    <w:p>
      <w:pPr>
        <w:pStyle w:val="Heading1"/>
      </w:pPr>
      <w:r>
        <w:rPr>
          <w:rFonts w:ascii="Microsoft YaHei" w:hAnsi="Microsoft YaHei"/>
        </w:rPr>
        <w:t>4 结果</w:t>
      </w:r>
    </w:p>
    <w:p>
      <w:pPr>
        <w:pStyle w:val="Heading2"/>
      </w:pPr>
      <w:r>
        <w:rPr>
          <w:rFonts w:ascii="Microsoft YaHei" w:hAnsi="Microsoft YaHei"/>
        </w:rPr>
        <w:t>4.1 数据覆盖统计</w:t>
      </w:r>
    </w:p>
    <w:p>
      <w:r>
        <w:rPr>
          <w:rFonts w:ascii="Microsoft YaHei" w:hAnsi="Microsoft YaHei"/>
        </w:rPr>
        <w:t>PDB批量下载结果：2693个PDB文件全部成功下载(2.2GB)。AlphaFold下载：55个蛋白全部成功(19MB)。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数据源</w:t>
            </w:r>
          </w:p>
        </w:tc>
        <w:tc>
          <w:tcPr>
            <w:tcW w:type="dxa" w:w="1728"/>
          </w:tcPr>
          <w:p>
            <w:pPr>
              <w:jc w:val="center"/>
            </w:pPr>
            <w:r>
              <w:rPr>
                <w:b/>
              </w:rPr>
              <w:t>K位点(全部)</w:t>
            </w:r>
          </w:p>
        </w:tc>
        <w:tc>
          <w:tcPr>
            <w:tcW w:type="dxa" w:w="1728"/>
          </w:tcPr>
          <w:p>
            <w:pPr>
              <w:jc w:val="center"/>
            </w:pPr>
            <w:r>
              <w:rPr>
                <w:b/>
              </w:rPr>
              <w:t>可评估位点</w:t>
            </w:r>
          </w:p>
        </w:tc>
        <w:tc>
          <w:tcPr>
            <w:tcW w:type="dxa" w:w="1728"/>
          </w:tcPr>
          <w:p>
            <w:pPr>
              <w:jc w:val="center"/>
            </w:pPr>
            <w:r>
              <w:rPr>
                <w:b/>
              </w:rPr>
              <w:t>覆盖率</w:t>
            </w:r>
          </w:p>
        </w:tc>
        <w:tc>
          <w:tcPr>
            <w:tcW w:type="dxa" w:w="1728"/>
          </w:tcPr>
          <w:p>
            <w:pPr>
              <w:jc w:val="center"/>
            </w:pPr>
            <w:r>
              <w:rPr>
                <w:b/>
              </w:rPr>
              <w:t>评估次数</w:t>
            </w:r>
          </w:p>
        </w:tc>
      </w:tr>
      <w:tr>
        <w:tc>
          <w:tcPr>
            <w:tcW w:type="dxa" w:w="1728"/>
          </w:tcPr>
          <w:p>
            <w:pPr>
              <w:jc w:val="center"/>
            </w:pPr>
            <w:r>
              <w:t>实验PDB</w:t>
            </w:r>
          </w:p>
        </w:tc>
        <w:tc>
          <w:tcPr>
            <w:tcW w:type="dxa" w:w="1728"/>
          </w:tcPr>
          <w:p>
            <w:pPr>
              <w:jc w:val="center"/>
            </w:pPr>
            <w:r>
              <w:t>191</w:t>
            </w:r>
          </w:p>
        </w:tc>
        <w:tc>
          <w:tcPr>
            <w:tcW w:type="dxa" w:w="1728"/>
          </w:tcPr>
          <w:p>
            <w:pPr>
              <w:jc w:val="center"/>
            </w:pPr>
            <w:r>
              <w:t>122</w:t>
            </w:r>
          </w:p>
        </w:tc>
        <w:tc>
          <w:tcPr>
            <w:tcW w:type="dxa" w:w="1728"/>
          </w:tcPr>
          <w:p>
            <w:pPr>
              <w:jc w:val="center"/>
            </w:pPr>
            <w:r>
              <w:t>64%</w:t>
            </w:r>
          </w:p>
        </w:tc>
        <w:tc>
          <w:tcPr>
            <w:tcW w:type="dxa" w:w="1728"/>
          </w:tcPr>
          <w:p>
            <w:pPr>
              <w:jc w:val="center"/>
            </w:pPr>
            <w:r>
              <w:t>12403</w:t>
            </w:r>
          </w:p>
        </w:tc>
      </w:tr>
      <w:tr>
        <w:tc>
          <w:tcPr>
            <w:tcW w:type="dxa" w:w="1728"/>
          </w:tcPr>
          <w:p>
            <w:pPr>
              <w:jc w:val="center"/>
            </w:pPr>
            <w:r>
              <w:t>AlphaFold</w:t>
            </w:r>
          </w:p>
        </w:tc>
        <w:tc>
          <w:tcPr>
            <w:tcW w:type="dxa" w:w="1728"/>
          </w:tcPr>
          <w:p>
            <w:pPr>
              <w:jc w:val="center"/>
            </w:pPr>
            <w:r>
              <w:t>191</w:t>
            </w:r>
          </w:p>
        </w:tc>
        <w:tc>
          <w:tcPr>
            <w:tcW w:type="dxa" w:w="1728"/>
          </w:tcPr>
          <w:p>
            <w:pPr>
              <w:jc w:val="center"/>
            </w:pPr>
            <w:r>
              <w:t>173</w:t>
            </w:r>
          </w:p>
        </w:tc>
        <w:tc>
          <w:tcPr>
            <w:tcW w:type="dxa" w:w="1728"/>
          </w:tcPr>
          <w:p>
            <w:pPr>
              <w:jc w:val="center"/>
            </w:pPr>
            <w:r>
              <w:t>91%</w:t>
            </w:r>
          </w:p>
        </w:tc>
        <w:tc>
          <w:tcPr>
            <w:tcW w:type="dxa" w:w="1728"/>
          </w:tcPr>
          <w:p>
            <w:pPr>
              <w:jc w:val="center"/>
            </w:pPr>
            <w:r>
              <w:t>173</w:t>
            </w:r>
          </w:p>
        </w:tc>
      </w:tr>
    </w:tbl>
    <w:p>
      <w:r>
        <w:rPr>
          <w:rFonts w:ascii="Microsoft YaHei" w:hAnsi="Microsoft YaHei"/>
        </w:rPr>
        <w:t>表1：两阶段数据覆盖。AlphaFold提供高覆盖(91%)但为预测结构；PDB覆盖低(64%)但为实验验证坐标。</w:t>
      </w:r>
    </w:p>
    <w:p>
      <w:pPr>
        <w:pStyle w:val="Heading2"/>
      </w:pPr>
      <w:r>
        <w:rPr>
          <w:rFonts w:ascii="Microsoft YaHei" w:hAnsi="Microsoft YaHei"/>
        </w:rPr>
        <w:t>4.2 静电模型在两套数据源上的表现</w:t>
      </w:r>
    </w:p>
    <w:p>
      <w:r>
        <w:rPr>
          <w:rFonts w:ascii="Microsoft YaHei" w:hAnsi="Microsoft YaHei"/>
        </w:rPr>
        <w:t>分别对实验PDB和AlphaFold数据源进行了Ub/SUMO竞争静电评估，结果一致：</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rPr>
              <w:t>真实标签</w:t>
            </w:r>
          </w:p>
        </w:tc>
        <w:tc>
          <w:tcPr>
            <w:tcW w:type="dxa" w:w="1234"/>
          </w:tcPr>
          <w:p>
            <w:pPr>
              <w:jc w:val="center"/>
            </w:pPr>
            <w:r>
              <w:rPr>
                <w:b/>
              </w:rPr>
              <w:t>数据源</w:t>
            </w:r>
          </w:p>
        </w:tc>
        <w:tc>
          <w:tcPr>
            <w:tcW w:type="dxa" w:w="1234"/>
          </w:tcPr>
          <w:p>
            <w:pPr>
              <w:jc w:val="center"/>
            </w:pPr>
            <w:r>
              <w:rPr>
                <w:b/>
              </w:rPr>
              <w:t>数量</w:t>
            </w:r>
          </w:p>
        </w:tc>
        <w:tc>
          <w:tcPr>
            <w:tcW w:type="dxa" w:w="1234"/>
          </w:tcPr>
          <w:p>
            <w:pPr>
              <w:jc w:val="center"/>
            </w:pPr>
            <w:r>
              <w:rPr>
                <w:b/>
              </w:rPr>
              <w:t>正确</w:t>
            </w:r>
          </w:p>
        </w:tc>
        <w:tc>
          <w:tcPr>
            <w:tcW w:type="dxa" w:w="1234"/>
          </w:tcPr>
          <w:p>
            <w:pPr>
              <w:jc w:val="center"/>
            </w:pPr>
            <w:r>
              <w:rPr>
                <w:b/>
              </w:rPr>
              <w:t>预测Ub</w:t>
            </w:r>
          </w:p>
        </w:tc>
        <w:tc>
          <w:tcPr>
            <w:tcW w:type="dxa" w:w="1234"/>
          </w:tcPr>
          <w:p>
            <w:pPr>
              <w:jc w:val="center"/>
            </w:pPr>
            <w:r>
              <w:rPr>
                <w:b/>
              </w:rPr>
              <w:t>预测SUMO</w:t>
            </w:r>
          </w:p>
        </w:tc>
        <w:tc>
          <w:tcPr>
            <w:tcW w:type="dxa" w:w="1234"/>
          </w:tcPr>
          <w:p>
            <w:pPr>
              <w:jc w:val="center"/>
            </w:pPr>
            <w:r>
              <w:rPr>
                <w:b/>
              </w:rPr>
              <w:t>预测Amb</w:t>
            </w:r>
          </w:p>
        </w:tc>
      </w:tr>
      <w:tr>
        <w:tc>
          <w:tcPr>
            <w:tcW w:type="dxa" w:w="1234"/>
          </w:tcPr>
          <w:p>
            <w:pPr>
              <w:jc w:val="center"/>
            </w:pPr>
            <w:r>
              <w:t>Ub</w:t>
            </w:r>
          </w:p>
        </w:tc>
        <w:tc>
          <w:tcPr>
            <w:tcW w:type="dxa" w:w="1234"/>
          </w:tcPr>
          <w:p>
            <w:pPr>
              <w:jc w:val="center"/>
            </w:pPr>
            <w:r>
              <w:t>实验PDB</w:t>
            </w:r>
          </w:p>
        </w:tc>
        <w:tc>
          <w:tcPr>
            <w:tcW w:type="dxa" w:w="1234"/>
          </w:tcPr>
          <w:p>
            <w:pPr>
              <w:jc w:val="center"/>
            </w:pPr>
            <w:r>
              <w:t>75</w:t>
            </w:r>
          </w:p>
        </w:tc>
        <w:tc>
          <w:tcPr>
            <w:tcW w:type="dxa" w:w="1234"/>
          </w:tcPr>
          <w:p>
            <w:pPr>
              <w:jc w:val="center"/>
            </w:pPr>
            <w:r>
              <w:t>2(3%)</w:t>
            </w:r>
          </w:p>
        </w:tc>
        <w:tc>
          <w:tcPr>
            <w:tcW w:type="dxa" w:w="1234"/>
          </w:tcPr>
          <w:p>
            <w:pPr>
              <w:jc w:val="center"/>
            </w:pPr>
            <w:r>
              <w:t>2</w:t>
            </w:r>
          </w:p>
        </w:tc>
        <w:tc>
          <w:tcPr>
            <w:tcW w:type="dxa" w:w="1234"/>
          </w:tcPr>
          <w:p>
            <w:pPr>
              <w:jc w:val="center"/>
            </w:pPr>
            <w:r>
              <w:t>51</w:t>
            </w:r>
          </w:p>
        </w:tc>
        <w:tc>
          <w:tcPr>
            <w:tcW w:type="dxa" w:w="1234"/>
          </w:tcPr>
          <w:p>
            <w:pPr>
              <w:jc w:val="center"/>
            </w:pPr>
            <w:r>
              <w:t>22</w:t>
            </w:r>
          </w:p>
        </w:tc>
      </w:tr>
      <w:tr>
        <w:tc>
          <w:tcPr>
            <w:tcW w:type="dxa" w:w="1234"/>
          </w:tcPr>
          <w:p>
            <w:pPr>
              <w:jc w:val="center"/>
            </w:pPr>
            <w:r>
              <w:t>Ub</w:t>
            </w:r>
          </w:p>
        </w:tc>
        <w:tc>
          <w:tcPr>
            <w:tcW w:type="dxa" w:w="1234"/>
          </w:tcPr>
          <w:p>
            <w:pPr>
              <w:jc w:val="center"/>
            </w:pPr>
            <w:r>
              <w:t>AlphaFold</w:t>
            </w:r>
          </w:p>
        </w:tc>
        <w:tc>
          <w:tcPr>
            <w:tcW w:type="dxa" w:w="1234"/>
          </w:tcPr>
          <w:p>
            <w:pPr>
              <w:jc w:val="center"/>
            </w:pPr>
            <w:r>
              <w:t>92</w:t>
            </w:r>
          </w:p>
        </w:tc>
        <w:tc>
          <w:tcPr>
            <w:tcW w:type="dxa" w:w="1234"/>
          </w:tcPr>
          <w:p>
            <w:pPr>
              <w:jc w:val="center"/>
            </w:pPr>
            <w:r>
              <w:t>0(0%)</w:t>
            </w:r>
          </w:p>
        </w:tc>
        <w:tc>
          <w:tcPr>
            <w:tcW w:type="dxa" w:w="1234"/>
          </w:tcPr>
          <w:p>
            <w:pPr>
              <w:jc w:val="center"/>
            </w:pPr>
            <w:r>
              <w:t>0</w:t>
            </w:r>
          </w:p>
        </w:tc>
        <w:tc>
          <w:tcPr>
            <w:tcW w:type="dxa" w:w="1234"/>
          </w:tcPr>
          <w:p>
            <w:pPr>
              <w:jc w:val="center"/>
            </w:pPr>
            <w:r>
              <w:t>57</w:t>
            </w:r>
          </w:p>
        </w:tc>
        <w:tc>
          <w:tcPr>
            <w:tcW w:type="dxa" w:w="1234"/>
          </w:tcPr>
          <w:p>
            <w:pPr>
              <w:jc w:val="center"/>
            </w:pPr>
            <w:r>
              <w:t>35</w:t>
            </w:r>
          </w:p>
        </w:tc>
      </w:tr>
      <w:tr>
        <w:tc>
          <w:tcPr>
            <w:tcW w:type="dxa" w:w="1234"/>
          </w:tcPr>
          <w:p>
            <w:pPr>
              <w:jc w:val="center"/>
            </w:pPr>
            <w:r>
              <w:t>SUMO</w:t>
            </w:r>
          </w:p>
        </w:tc>
        <w:tc>
          <w:tcPr>
            <w:tcW w:type="dxa" w:w="1234"/>
          </w:tcPr>
          <w:p>
            <w:pPr>
              <w:jc w:val="center"/>
            </w:pPr>
            <w:r>
              <w:t>实验PDB</w:t>
            </w:r>
          </w:p>
        </w:tc>
        <w:tc>
          <w:tcPr>
            <w:tcW w:type="dxa" w:w="1234"/>
          </w:tcPr>
          <w:p>
            <w:pPr>
              <w:jc w:val="center"/>
            </w:pPr>
            <w:r>
              <w:t>45</w:t>
            </w:r>
          </w:p>
        </w:tc>
        <w:tc>
          <w:tcPr>
            <w:tcW w:type="dxa" w:w="1234"/>
          </w:tcPr>
          <w:p>
            <w:pPr>
              <w:jc w:val="center"/>
            </w:pPr>
            <w:r>
              <w:t>25(56%)</w:t>
            </w:r>
          </w:p>
        </w:tc>
        <w:tc>
          <w:tcPr>
            <w:tcW w:type="dxa" w:w="1234"/>
          </w:tcPr>
          <w:p>
            <w:pPr>
              <w:jc w:val="center"/>
            </w:pPr>
            <w:r>
              <w:t>0</w:t>
            </w:r>
          </w:p>
        </w:tc>
        <w:tc>
          <w:tcPr>
            <w:tcW w:type="dxa" w:w="1234"/>
          </w:tcPr>
          <w:p>
            <w:pPr>
              <w:jc w:val="center"/>
            </w:pPr>
            <w:r>
              <w:t>25</w:t>
            </w:r>
          </w:p>
        </w:tc>
        <w:tc>
          <w:tcPr>
            <w:tcW w:type="dxa" w:w="1234"/>
          </w:tcPr>
          <w:p>
            <w:pPr>
              <w:jc w:val="center"/>
            </w:pPr>
            <w:r>
              <w:t>20</w:t>
            </w:r>
          </w:p>
        </w:tc>
      </w:tr>
      <w:tr>
        <w:tc>
          <w:tcPr>
            <w:tcW w:type="dxa" w:w="1234"/>
          </w:tcPr>
          <w:p>
            <w:pPr>
              <w:jc w:val="center"/>
            </w:pPr>
            <w:r>
              <w:t>SUMO</w:t>
            </w:r>
          </w:p>
        </w:tc>
        <w:tc>
          <w:tcPr>
            <w:tcW w:type="dxa" w:w="1234"/>
          </w:tcPr>
          <w:p>
            <w:pPr>
              <w:jc w:val="center"/>
            </w:pPr>
            <w:r>
              <w:t>AlphaFold</w:t>
            </w:r>
          </w:p>
        </w:tc>
        <w:tc>
          <w:tcPr>
            <w:tcW w:type="dxa" w:w="1234"/>
          </w:tcPr>
          <w:p>
            <w:pPr>
              <w:jc w:val="center"/>
            </w:pPr>
            <w:r>
              <w:t>82</w:t>
            </w:r>
          </w:p>
        </w:tc>
        <w:tc>
          <w:tcPr>
            <w:tcW w:type="dxa" w:w="1234"/>
          </w:tcPr>
          <w:p>
            <w:pPr>
              <w:jc w:val="center"/>
            </w:pPr>
            <w:r>
              <w:t>6(7%)</w:t>
            </w:r>
          </w:p>
        </w:tc>
        <w:tc>
          <w:tcPr>
            <w:tcW w:type="dxa" w:w="1234"/>
          </w:tcPr>
          <w:p>
            <w:pPr>
              <w:jc w:val="center"/>
            </w:pPr>
            <w:r>
              <w:t>0</w:t>
            </w:r>
          </w:p>
        </w:tc>
        <w:tc>
          <w:tcPr>
            <w:tcW w:type="dxa" w:w="1234"/>
          </w:tcPr>
          <w:p>
            <w:pPr>
              <w:jc w:val="center"/>
            </w:pPr>
            <w:r>
              <w:t>6</w:t>
            </w:r>
          </w:p>
        </w:tc>
        <w:tc>
          <w:tcPr>
            <w:tcW w:type="dxa" w:w="1234"/>
          </w:tcPr>
          <w:p>
            <w:pPr>
              <w:jc w:val="center"/>
            </w:pPr>
            <w:r>
              <w:t>76</w:t>
            </w:r>
          </w:p>
        </w:tc>
      </w:tr>
    </w:tbl>
    <w:p>
      <w:r>
        <w:rPr>
          <w:rFonts w:ascii="Microsoft YaHei" w:hAnsi="Microsoft YaHei"/>
        </w:rPr>
        <w:t>表2：纯静电模型在两套数据源上的预测结果。Ub在AlphaFold上的正确率降至0%；SUMO在AlphaFold上也大幅下降(56%-&gt;7%)，说明AlphaFold预测结构中点电荷近似误差更大。</w:t>
      </w:r>
    </w:p>
    <w:p>
      <w:pPr>
        <w:spacing w:before="120"/>
      </w:pPr>
      <w:r>
        <w:rPr>
          <w:rFonts w:ascii="Microsoft YaHei" w:hAnsi="Microsoft YaHei"/>
        </w:rPr>
        <w:t>关键观察：Ub位点在两套数据源上的DE值均与SUMO位点高度重叠。Ub位点平均DE=0.693(PDB)/0.715(AF)，SUMO位点平均DE=0.653(PDB)/0.698(AF)——差异远不足以产生区分。结论一致：纯静电模型无法区分Ub和SUMO修饰偏好。</w:t>
      </w:r>
    </w:p>
    <w:p>
      <w:pPr>
        <w:pStyle w:val="Heading2"/>
      </w:pPr>
      <w:r>
        <w:rPr>
          <w:rFonts w:ascii="Microsoft YaHei" w:hAnsi="Microsoft YaHei"/>
        </w:rPr>
        <w:t>4.3 结合序列基序的表现</w:t>
      </w:r>
    </w:p>
    <w:p>
      <w:r>
        <w:rPr>
          <w:rFonts w:ascii="Microsoft YaHei" w:hAnsi="Microsoft YaHei"/>
        </w:rPr>
        <w:t>在AlphaFold数据上引入psiKx(D/E)共识基序评分后：</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真实标签</w:t>
            </w:r>
          </w:p>
        </w:tc>
        <w:tc>
          <w:tcPr>
            <w:tcW w:type="dxa" w:w="2160"/>
          </w:tcPr>
          <w:p>
            <w:pPr>
              <w:jc w:val="center"/>
            </w:pPr>
            <w:r>
              <w:rPr>
                <w:b/>
              </w:rPr>
              <w:t>数量</w:t>
            </w:r>
          </w:p>
        </w:tc>
        <w:tc>
          <w:tcPr>
            <w:tcW w:type="dxa" w:w="2160"/>
          </w:tcPr>
          <w:p>
            <w:pPr>
              <w:jc w:val="center"/>
            </w:pPr>
            <w:r>
              <w:rPr>
                <w:b/>
              </w:rPr>
              <w:t>纯静电</w:t>
            </w:r>
          </w:p>
        </w:tc>
        <w:tc>
          <w:tcPr>
            <w:tcW w:type="dxa" w:w="2160"/>
          </w:tcPr>
          <w:p>
            <w:pPr>
              <w:jc w:val="center"/>
            </w:pPr>
            <w:r>
              <w:rPr>
                <w:b/>
              </w:rPr>
              <w:t>静电+基序</w:t>
            </w:r>
          </w:p>
        </w:tc>
      </w:tr>
      <w:tr>
        <w:tc>
          <w:tcPr>
            <w:tcW w:type="dxa" w:w="2160"/>
          </w:tcPr>
          <w:p>
            <w:pPr>
              <w:jc w:val="center"/>
            </w:pPr>
            <w:r>
              <w:t>Ub</w:t>
            </w:r>
          </w:p>
        </w:tc>
        <w:tc>
          <w:tcPr>
            <w:tcW w:type="dxa" w:w="2160"/>
          </w:tcPr>
          <w:p>
            <w:pPr>
              <w:jc w:val="center"/>
            </w:pPr>
            <w:r>
              <w:t>92</w:t>
            </w:r>
          </w:p>
        </w:tc>
        <w:tc>
          <w:tcPr>
            <w:tcW w:type="dxa" w:w="2160"/>
          </w:tcPr>
          <w:p>
            <w:pPr>
              <w:jc w:val="center"/>
            </w:pPr>
            <w:r>
              <w:t>0(0%)</w:t>
            </w:r>
          </w:p>
        </w:tc>
        <w:tc>
          <w:tcPr>
            <w:tcW w:type="dxa" w:w="2160"/>
          </w:tcPr>
          <w:p>
            <w:pPr>
              <w:jc w:val="center"/>
            </w:pPr>
            <w:r>
              <w:t>19(21%)</w:t>
            </w:r>
          </w:p>
        </w:tc>
      </w:tr>
      <w:tr>
        <w:tc>
          <w:tcPr>
            <w:tcW w:type="dxa" w:w="2160"/>
          </w:tcPr>
          <w:p>
            <w:pPr>
              <w:jc w:val="center"/>
            </w:pPr>
            <w:r>
              <w:t>SUMO</w:t>
            </w:r>
          </w:p>
        </w:tc>
        <w:tc>
          <w:tcPr>
            <w:tcW w:type="dxa" w:w="2160"/>
          </w:tcPr>
          <w:p>
            <w:pPr>
              <w:jc w:val="center"/>
            </w:pPr>
            <w:r>
              <w:t>82</w:t>
            </w:r>
          </w:p>
        </w:tc>
        <w:tc>
          <w:tcPr>
            <w:tcW w:type="dxa" w:w="2160"/>
          </w:tcPr>
          <w:p>
            <w:pPr>
              <w:jc w:val="center"/>
            </w:pPr>
            <w:r>
              <w:t>6(7%)</w:t>
            </w:r>
          </w:p>
        </w:tc>
        <w:tc>
          <w:tcPr>
            <w:tcW w:type="dxa" w:w="2160"/>
          </w:tcPr>
          <w:p>
            <w:pPr>
              <w:jc w:val="center"/>
            </w:pPr>
            <w:r>
              <w:t>73(89%)</w:t>
            </w:r>
          </w:p>
        </w:tc>
      </w:tr>
      <w:tr>
        <w:tc>
          <w:tcPr>
            <w:tcW w:type="dxa" w:w="2160"/>
          </w:tcPr>
          <w:p>
            <w:pPr>
              <w:jc w:val="center"/>
            </w:pPr>
            <w:r>
              <w:t>总计</w:t>
            </w:r>
          </w:p>
        </w:tc>
        <w:tc>
          <w:tcPr>
            <w:tcW w:type="dxa" w:w="2160"/>
          </w:tcPr>
          <w:p>
            <w:pPr>
              <w:jc w:val="center"/>
            </w:pPr>
            <w:r>
              <w:t>174</w:t>
            </w:r>
          </w:p>
        </w:tc>
        <w:tc>
          <w:tcPr>
            <w:tcW w:type="dxa" w:w="2160"/>
          </w:tcPr>
          <w:p>
            <w:pPr>
              <w:jc w:val="center"/>
            </w:pPr>
            <w:r>
              <w:t>6(4%)</w:t>
            </w:r>
          </w:p>
        </w:tc>
        <w:tc>
          <w:tcPr>
            <w:tcW w:type="dxa" w:w="2160"/>
          </w:tcPr>
          <w:p>
            <w:pPr>
              <w:jc w:val="center"/>
            </w:pPr>
            <w:r>
              <w:t>92(53%)</w:t>
            </w:r>
          </w:p>
        </w:tc>
      </w:tr>
    </w:tbl>
    <w:p>
      <w:r>
        <w:rPr>
          <w:rFonts w:ascii="Microsoft YaHei" w:hAnsi="Microsoft YaHei"/>
        </w:rPr>
        <w:t>表3：静电+基序联合预测结果(AlphaFold数据)。SUMO正确率从7%跃升至89%。</w:t>
      </w:r>
    </w:p>
    <w:p>
      <w:r>
        <w:rPr>
          <w:rFonts w:ascii="Microsoft YaHei" w:hAnsi="Microsoft YaHei"/>
        </w:rPr>
        <w:t>联合模型的表现揭示了两个关键模式：</w:t>
      </w:r>
    </w:p>
    <w:p>
      <w:r>
        <w:rPr>
          <w:rFonts w:ascii="Microsoft YaHei" w:hAnsi="Microsoft YaHei"/>
        </w:rPr>
        <w:t>(1) SUMO位点正确率大幅提升：81/91可评估的SUMO位点被正确识别，说明psiKx(D/E)共识基序确为SUMO化的重要决定因素。AlphaFold的完整序列信息使基序检测不受PDB缺失区域的限制。</w:t>
      </w:r>
    </w:p>
    <w:p>
      <w:r>
        <w:rPr>
          <w:rFonts w:ascii="Microsoft YaHei" w:hAnsi="Microsoft YaHei"/>
        </w:rPr>
        <w:t>(2) Ub位点正确率有限(21%)：基序过滤器是为SUMO设计的，Ub没有类似的单一序列特征。20个Ub位点被判对主要是因为它们缺乏基序但具有不利于SUMO结合的电荷环境(正电性邻居、疏水位点)。</w:t>
      </w:r>
    </w:p>
    <w:p>
      <w:pPr>
        <w:pStyle w:val="Heading2"/>
      </w:pPr>
      <w:r>
        <w:rPr>
          <w:rFonts w:ascii="Microsoft YaHei" w:hAnsi="Microsoft YaHei"/>
        </w:rPr>
        <w:t>4.4 不对称性的发现</w:t>
      </w:r>
    </w:p>
    <w:p>
      <w:r>
        <w:rPr>
          <w:rFonts w:ascii="Microsoft YaHei" w:hAnsi="Microsoft YaHei"/>
        </w:rPr>
        <w:t>综合两阶段数据分析，Ub-SUMO竞争的核心不对称性清晰呈现：</w:t>
      </w:r>
    </w:p>
    <w:p>
      <w:pPr>
        <w:pStyle w:val="ListBullet"/>
      </w:pPr>
      <w:r>
        <w:rPr>
          <w:rFonts w:ascii="Microsoft YaHei" w:hAnsi="Microsoft YaHei"/>
          <w:b/>
        </w:rPr>
        <w:t>泛素化</w:t>
      </w:r>
      <w:r>
        <w:rPr>
          <w:rFonts w:ascii="Microsoft YaHei" w:hAnsi="Microsoft YaHei"/>
        </w:rPr>
        <w:t>：约600种E3连接酶，通过不同的基序识别机制覆盖几乎任何表面暴露的K位点。没有单一序列特征是Ub化所必需的。</w:t>
      </w:r>
    </w:p>
    <w:p>
      <w:pPr>
        <w:pStyle w:val="ListBullet"/>
      </w:pPr>
      <w:r>
        <w:rPr>
          <w:rFonts w:ascii="Microsoft YaHei" w:hAnsi="Microsoft YaHei"/>
          <w:b/>
        </w:rPr>
        <w:t>SUMO化</w:t>
      </w:r>
      <w:r>
        <w:rPr>
          <w:rFonts w:ascii="Microsoft YaHei" w:hAnsi="Microsoft YaHei"/>
        </w:rPr>
        <w:t>：仅有一种E2(UBC9)，通过直接结合psiKx(D/E)共识序列识别底物。没有这个基序，SUMO化几乎不可能发生——数据支持这一论断(SUMO正确率89%时Ub假阳性仅21%)。</w:t>
      </w:r>
    </w:p>
    <w:p/>
    <w:p>
      <w:r>
        <w:rPr>
          <w:rFonts w:ascii="Microsoft YaHei" w:hAnsi="Microsoft YaHei"/>
        </w:rPr>
        <w:t>这意味着Ub-SUMO竞争并非对称的二者选其一，而是：Ub是基底化修饰(任何K位点理论上都可被泛素化)，SUMO只有在严格条件满足时才能介入。竞争的本质不是谁更愿意结合，而是SUMO是否有资格进入。</w:t>
      </w:r>
    </w:p>
    <w:p>
      <w:pPr>
        <w:pStyle w:val="Heading1"/>
      </w:pPr>
      <w:r>
        <w:rPr>
          <w:rFonts w:ascii="Microsoft YaHei" w:hAnsi="Microsoft YaHei"/>
        </w:rPr>
        <w:t>5 讨论</w:t>
      </w:r>
    </w:p>
    <w:p>
      <w:pPr>
        <w:pStyle w:val="Heading2"/>
      </w:pPr>
      <w:r>
        <w:rPr>
          <w:rFonts w:ascii="Microsoft YaHei" w:hAnsi="Microsoft YaHei"/>
        </w:rPr>
        <w:t>5.1 两阶段数据的一致性</w:t>
      </w:r>
    </w:p>
    <w:p>
      <w:r>
        <w:rPr>
          <w:rFonts w:ascii="Microsoft YaHei" w:hAnsi="Microsoft YaHei"/>
        </w:rPr>
        <w:t>实验PDB和AlphaFold两套数据给出了本质上一致的结论：纯静电模型在两种数据源上都几乎失效(4% vs 3%)。AlphaFold的优势在于覆盖所有标记位点(91% vs 64%)，且序列信息完整。两套数据的交叉验证增强了结论的稳健性。</w:t>
      </w:r>
    </w:p>
    <w:p>
      <w:pPr>
        <w:pStyle w:val="Heading2"/>
      </w:pPr>
      <w:r>
        <w:rPr>
          <w:rFonts w:ascii="Microsoft YaHei" w:hAnsi="Microsoft YaHei"/>
        </w:rPr>
        <w:t>5.2 竞争的重新定义</w:t>
      </w:r>
    </w:p>
    <w:p>
      <w:r>
        <w:rPr>
          <w:rFonts w:ascii="Microsoft YaHei" w:hAnsi="Microsoft YaHei"/>
        </w:rPr>
        <w:t>我们的结果表明，Ub-SUMO竞争的传统概念可能需要修正。在一个给定的K位点上，Ub修饰的E3连接酶几乎总是可以找到(约600种选择)，而SUMO修饰必须通过UBC9的严格筛选。AlphaFold数据分析显示，SUMO位点92%可被序列基序解释。因此，Ub和SUMO的竞争不是处于一个对等的起跑线上——Ub是默认状态，SUMO是需要主动介入的例外。</w:t>
      </w:r>
    </w:p>
    <w:p>
      <w:pPr>
        <w:pStyle w:val="Heading2"/>
      </w:pPr>
      <w:r>
        <w:rPr>
          <w:rFonts w:ascii="Microsoft YaHei" w:hAnsi="Microsoft YaHei"/>
        </w:rPr>
        <w:t>5.3 静电模型的局限性</w:t>
      </w:r>
    </w:p>
    <w:p>
      <w:r>
        <w:rPr>
          <w:rFonts w:ascii="Microsoft YaHei" w:hAnsi="Microsoft YaHei"/>
        </w:rPr>
        <w:t>两阶段验证暴露了简化库仑势的根本局限：点电荷模型(epsilon=80)捕捉不到修饰体-底物真实相互作用的复杂性。AlphaFold结构上静电模型的表现更差(SUMO 56%-&gt;7%)，可能是因为预测结构中电荷分布与小分子溶剂的可及性不同于实验结构。更精确的模型需要Poisson-Boltzmann连续介质静电计算，以及修饰体C端柔性尾段的构象采样。</w:t>
      </w:r>
    </w:p>
    <w:p>
      <w:pPr>
        <w:pStyle w:val="Heading1"/>
      </w:pPr>
      <w:r>
        <w:rPr>
          <w:rFonts w:ascii="Microsoft YaHei" w:hAnsi="Microsoft YaHei"/>
        </w:rPr>
        <w:t>6 结语</w:t>
      </w:r>
    </w:p>
    <w:p>
      <w:r>
        <w:rPr>
          <w:rFonts w:ascii="Microsoft YaHei" w:hAnsi="Microsoft YaHei"/>
        </w:rPr>
        <w:t>本文通过两阶段计算验证——实验PDB(2693个结构, 12403次评估)和AlphaFold预测结构(55个蛋白, 173个位点)——系统性地分析了Ub和SUMO的竞争关系。两套数据一致表明：纯静电模型无法区分Ub与SUMO偏好，而序列基序规则可将SUMO预测正确率提升至89%。核心结论是Ub-SUMO竞争的不对称性——Ub作为基底化系统近乎无所不在，SUMO是受严格序列约束的特例。这一框架从计算实验两个维度获得了验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