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33A09">
      <w:pPr>
        <w:spacing w:after="60"/>
      </w:pPr>
      <w:r>
        <w:rPr>
          <w:b/>
          <w:bCs/>
          <w:color w:val="B56A12"/>
          <w:spacing w:val="40"/>
          <w:sz w:val="16"/>
          <w:szCs w:val="16"/>
        </w:rPr>
        <w:t>DEVELOPMENT PROCESS REPORT  ·  APPENDIX</w:t>
      </w:r>
    </w:p>
    <w:p w14:paraId="3F8368B0">
      <w:pPr>
        <w:spacing w:after="120"/>
      </w:pPr>
      <w:r>
        <w:rPr>
          <w:rFonts w:ascii="Arial" w:hAnsi="Arial" w:eastAsia="Arial" w:cs="Arial"/>
          <w:b/>
          <w:bCs/>
          <w:color w:val="1D1A15"/>
          <w:sz w:val="44"/>
          <w:szCs w:val="44"/>
        </w:rPr>
        <w:t>Nigeria Theatre Lighting Digital Archive</w:t>
      </w:r>
    </w:p>
    <w:p w14:paraId="67553E38">
      <w:pPr>
        <w:pBdr>
          <w:bottom w:val="single" w:color="C9BFAE" w:sz="6" w:space="1"/>
        </w:pBdr>
        <w:spacing w:before="60" w:after="200"/>
      </w:pPr>
    </w:p>
    <w:p w14:paraId="554600D1">
      <w:pPr>
        <w:pStyle w:val="2"/>
        <w:spacing w:before="360" w:after="140"/>
      </w:pPr>
      <w:r>
        <w:rPr>
          <w:b/>
          <w:bCs/>
          <w:color w:val="B56A12"/>
        </w:rPr>
        <w:t xml:space="preserve">01  </w:t>
      </w:r>
      <w:r>
        <w:t>Overview</w:t>
      </w:r>
    </w:p>
    <w:p w14:paraId="6552C6BB">
      <w:pPr>
        <w:pStyle w:val="3"/>
        <w:spacing w:before="220" w:after="90"/>
      </w:pPr>
      <w:r>
        <w:t>What was built</w:t>
      </w:r>
    </w:p>
    <w:p w14:paraId="16CDD6ED">
      <w:pPr>
        <w:spacing w:after="160" w:line="300" w:lineRule="auto"/>
      </w:pPr>
      <w:r>
        <w:t>The archive is a multi-user web application for storing, organising, and retrieving theatre-lighting documentation — lighting plots, production photographs, gel and rig references, and cue paperwork. Each account gets private storage, a nested folder tree, search, and an AI assistant that generates reference images from a written description.</w:t>
      </w:r>
    </w:p>
    <w:p w14:paraId="70BED14E">
      <w:pPr>
        <w:spacing w:after="160" w:line="300" w:lineRule="auto"/>
      </w:pPr>
      <w:r>
        <w:t xml:space="preserve">The codebase began as a general-purpose personal file store (internally still named </w:t>
      </w:r>
      <w:r>
        <w:rPr>
          <w:rFonts w:ascii="Consolas" w:hAnsi="Consolas" w:eastAsia="Consolas" w:cs="Consolas"/>
          <w:color w:val="1D1A15"/>
          <w:sz w:val="19"/>
          <w:szCs w:val="19"/>
        </w:rPr>
        <w:t>clouddrive</w:t>
      </w:r>
      <w:r>
        <w:t>) and was adapted into a domain-specific archive for theatre lighting, then extended with the image-generation feature. The most recent phase — covered in detail below — wired in the Google Gemini image model, rebuilt the generation screen as a conversational interface, and raised the per-account storage allowance.</w:t>
      </w:r>
    </w:p>
    <w:p w14:paraId="306490AF">
      <w:pPr>
        <w:pStyle w:val="2"/>
        <w:spacing w:before="360" w:after="140"/>
      </w:pPr>
      <w:r>
        <w:rPr>
          <w:b/>
          <w:bCs/>
          <w:color w:val="B56A12"/>
        </w:rPr>
        <w:t xml:space="preserve">02  </w:t>
      </w:r>
      <w:r>
        <w:t>Stack</w:t>
      </w:r>
    </w:p>
    <w:p w14:paraId="0BCD7C19">
      <w:pPr>
        <w:pStyle w:val="3"/>
        <w:spacing w:before="220" w:after="90"/>
      </w:pPr>
      <w:r>
        <w:t>Technology and dependencies</w:t>
      </w:r>
    </w:p>
    <w:p w14:paraId="5431B171">
      <w:pPr>
        <w:spacing w:after="160" w:line="300" w:lineRule="auto"/>
      </w:pPr>
      <w:r>
        <w:t>The application runs on a small, deliberately conventional Python stack. No front-end framework is used; the interface is server-rendered templates with vanilla JavaScript.</w:t>
      </w:r>
    </w:p>
    <w:p w14:paraId="0BBD16C1">
      <w:pPr>
        <w:spacing w:after="120"/>
      </w:pPr>
    </w:p>
    <w:tbl>
      <w:tblPr>
        <w:tblStyle w:val="9"/>
        <w:tblW w:w="9360" w:type="dxa"/>
        <w:tblInd w:w="0" w:type="dxa"/>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Layout w:type="autofit"/>
        <w:tblCellMar>
          <w:top w:w="0" w:type="dxa"/>
          <w:left w:w="10" w:type="dxa"/>
          <w:bottom w:w="0" w:type="dxa"/>
          <w:right w:w="10" w:type="dxa"/>
        </w:tblCellMar>
      </w:tblPr>
      <w:tblGrid>
        <w:gridCol w:w="2600"/>
        <w:gridCol w:w="1300"/>
        <w:gridCol w:w="5460"/>
      </w:tblGrid>
      <w:tr w14:paraId="3D24AEA7">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PrEx>
        <w:trPr>
          <w:tblHeader/>
        </w:trPr>
        <w:tc>
          <w:tcPr>
            <w:tcW w:w="2600" w:type="dxa"/>
            <w:shd w:val="clear" w:color="auto" w:fill="F4E7D2"/>
            <w:tcMar>
              <w:top w:w="80" w:type="dxa"/>
              <w:left w:w="110" w:type="dxa"/>
              <w:bottom w:w="80" w:type="dxa"/>
              <w:right w:w="110" w:type="dxa"/>
            </w:tcMar>
          </w:tcPr>
          <w:p w14:paraId="5C8A59D4">
            <w:pPr>
              <w:spacing w:after="0" w:line="276" w:lineRule="auto"/>
            </w:pPr>
            <w:r>
              <w:rPr>
                <w:b/>
                <w:bCs/>
                <w:color w:val="5B554B"/>
                <w:spacing w:val="30"/>
                <w:sz w:val="15"/>
                <w:szCs w:val="15"/>
              </w:rPr>
              <w:t>COMPONENT</w:t>
            </w:r>
          </w:p>
        </w:tc>
        <w:tc>
          <w:tcPr>
            <w:tcW w:w="1300" w:type="dxa"/>
            <w:shd w:val="clear" w:color="auto" w:fill="F4E7D2"/>
            <w:tcMar>
              <w:top w:w="80" w:type="dxa"/>
              <w:left w:w="110" w:type="dxa"/>
              <w:bottom w:w="80" w:type="dxa"/>
              <w:right w:w="110" w:type="dxa"/>
            </w:tcMar>
          </w:tcPr>
          <w:p w14:paraId="581C8634">
            <w:pPr>
              <w:spacing w:after="0" w:line="276" w:lineRule="auto"/>
            </w:pPr>
            <w:r>
              <w:rPr>
                <w:b/>
                <w:bCs/>
                <w:color w:val="5B554B"/>
                <w:spacing w:val="30"/>
                <w:sz w:val="15"/>
                <w:szCs w:val="15"/>
              </w:rPr>
              <w:t>VERSION</w:t>
            </w:r>
          </w:p>
        </w:tc>
        <w:tc>
          <w:tcPr>
            <w:tcW w:w="5460" w:type="dxa"/>
            <w:shd w:val="clear" w:color="auto" w:fill="F4E7D2"/>
            <w:tcMar>
              <w:top w:w="80" w:type="dxa"/>
              <w:left w:w="110" w:type="dxa"/>
              <w:bottom w:w="80" w:type="dxa"/>
              <w:right w:w="110" w:type="dxa"/>
            </w:tcMar>
          </w:tcPr>
          <w:p w14:paraId="3369786C">
            <w:pPr>
              <w:spacing w:after="0" w:line="276" w:lineRule="auto"/>
            </w:pPr>
            <w:r>
              <w:rPr>
                <w:b/>
                <w:bCs/>
                <w:color w:val="5B554B"/>
                <w:spacing w:val="30"/>
                <w:sz w:val="15"/>
                <w:szCs w:val="15"/>
              </w:rPr>
              <w:t>ROLE</w:t>
            </w:r>
          </w:p>
        </w:tc>
      </w:tr>
      <w:tr w14:paraId="53FFB9F7">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2AA35998">
            <w:pPr>
              <w:spacing w:after="0" w:line="276" w:lineRule="auto"/>
            </w:pPr>
            <w:r>
              <w:rPr>
                <w:b w:val="0"/>
                <w:bCs w:val="0"/>
                <w:sz w:val="19"/>
                <w:szCs w:val="19"/>
              </w:rPr>
              <w:t>Flask</w:t>
            </w:r>
          </w:p>
        </w:tc>
        <w:tc>
          <w:tcPr>
            <w:tcW w:w="1300" w:type="dxa"/>
            <w:tcMar>
              <w:top w:w="80" w:type="dxa"/>
              <w:left w:w="110" w:type="dxa"/>
              <w:bottom w:w="80" w:type="dxa"/>
              <w:right w:w="110" w:type="dxa"/>
            </w:tcMar>
          </w:tcPr>
          <w:p w14:paraId="3CEA3269">
            <w:pPr>
              <w:spacing w:after="0" w:line="276" w:lineRule="auto"/>
            </w:pPr>
            <w:r>
              <w:rPr>
                <w:b w:val="0"/>
                <w:bCs w:val="0"/>
                <w:sz w:val="19"/>
                <w:szCs w:val="19"/>
              </w:rPr>
              <w:t>2.3.3</w:t>
            </w:r>
          </w:p>
        </w:tc>
        <w:tc>
          <w:tcPr>
            <w:tcW w:w="5460" w:type="dxa"/>
            <w:tcMar>
              <w:top w:w="80" w:type="dxa"/>
              <w:left w:w="110" w:type="dxa"/>
              <w:bottom w:w="80" w:type="dxa"/>
              <w:right w:w="110" w:type="dxa"/>
            </w:tcMar>
          </w:tcPr>
          <w:p w14:paraId="6418833D">
            <w:pPr>
              <w:spacing w:after="0" w:line="276" w:lineRule="auto"/>
            </w:pPr>
            <w:r>
              <w:rPr>
                <w:b w:val="0"/>
                <w:bCs w:val="0"/>
                <w:sz w:val="19"/>
                <w:szCs w:val="19"/>
              </w:rPr>
              <w:t>HTTP routing, templating, request handling</w:t>
            </w:r>
          </w:p>
        </w:tc>
      </w:tr>
      <w:tr w14:paraId="020F78F6">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19A2FA23">
            <w:pPr>
              <w:spacing w:after="0" w:line="276" w:lineRule="auto"/>
            </w:pPr>
            <w:r>
              <w:rPr>
                <w:b w:val="0"/>
                <w:bCs w:val="0"/>
                <w:sz w:val="19"/>
                <w:szCs w:val="19"/>
              </w:rPr>
              <w:t>Flask-SQLAlchemy</w:t>
            </w:r>
          </w:p>
        </w:tc>
        <w:tc>
          <w:tcPr>
            <w:tcW w:w="1300" w:type="dxa"/>
            <w:tcMar>
              <w:top w:w="80" w:type="dxa"/>
              <w:left w:w="110" w:type="dxa"/>
              <w:bottom w:w="80" w:type="dxa"/>
              <w:right w:w="110" w:type="dxa"/>
            </w:tcMar>
          </w:tcPr>
          <w:p w14:paraId="2FDF0EC1">
            <w:pPr>
              <w:spacing w:after="0" w:line="276" w:lineRule="auto"/>
            </w:pPr>
            <w:r>
              <w:rPr>
                <w:b w:val="0"/>
                <w:bCs w:val="0"/>
                <w:sz w:val="19"/>
                <w:szCs w:val="19"/>
              </w:rPr>
              <w:t>3.1.1</w:t>
            </w:r>
          </w:p>
        </w:tc>
        <w:tc>
          <w:tcPr>
            <w:tcW w:w="5460" w:type="dxa"/>
            <w:tcMar>
              <w:top w:w="80" w:type="dxa"/>
              <w:left w:w="110" w:type="dxa"/>
              <w:bottom w:w="80" w:type="dxa"/>
              <w:right w:w="110" w:type="dxa"/>
            </w:tcMar>
          </w:tcPr>
          <w:p w14:paraId="0A7239B4">
            <w:pPr>
              <w:spacing w:after="0" w:line="276" w:lineRule="auto"/>
            </w:pPr>
            <w:r>
              <w:rPr>
                <w:b w:val="0"/>
                <w:bCs w:val="0"/>
                <w:sz w:val="19"/>
                <w:szCs w:val="19"/>
              </w:rPr>
              <w:t>ORM over a SQLite database</w:t>
            </w:r>
          </w:p>
        </w:tc>
      </w:tr>
      <w:tr w14:paraId="5220FD2A">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0EED0E02">
            <w:pPr>
              <w:spacing w:after="0" w:line="276" w:lineRule="auto"/>
            </w:pPr>
            <w:r>
              <w:rPr>
                <w:b w:val="0"/>
                <w:bCs w:val="0"/>
                <w:sz w:val="19"/>
                <w:szCs w:val="19"/>
              </w:rPr>
              <w:t>Flask-Login</w:t>
            </w:r>
          </w:p>
        </w:tc>
        <w:tc>
          <w:tcPr>
            <w:tcW w:w="1300" w:type="dxa"/>
            <w:tcMar>
              <w:top w:w="80" w:type="dxa"/>
              <w:left w:w="110" w:type="dxa"/>
              <w:bottom w:w="80" w:type="dxa"/>
              <w:right w:w="110" w:type="dxa"/>
            </w:tcMar>
          </w:tcPr>
          <w:p w14:paraId="7F137BC6">
            <w:pPr>
              <w:spacing w:after="0" w:line="276" w:lineRule="auto"/>
            </w:pPr>
            <w:r>
              <w:rPr>
                <w:b w:val="0"/>
                <w:bCs w:val="0"/>
                <w:sz w:val="19"/>
                <w:szCs w:val="19"/>
              </w:rPr>
              <w:t>0.6.2</w:t>
            </w:r>
          </w:p>
        </w:tc>
        <w:tc>
          <w:tcPr>
            <w:tcW w:w="5460" w:type="dxa"/>
            <w:tcMar>
              <w:top w:w="80" w:type="dxa"/>
              <w:left w:w="110" w:type="dxa"/>
              <w:bottom w:w="80" w:type="dxa"/>
              <w:right w:w="110" w:type="dxa"/>
            </w:tcMar>
          </w:tcPr>
          <w:p w14:paraId="0CFBFDB4">
            <w:pPr>
              <w:spacing w:after="0" w:line="276" w:lineRule="auto"/>
            </w:pPr>
            <w:r>
              <w:rPr>
                <w:b w:val="0"/>
                <w:bCs w:val="0"/>
                <w:sz w:val="19"/>
                <w:szCs w:val="19"/>
              </w:rPr>
              <w:t>Session management, route protection</w:t>
            </w:r>
          </w:p>
        </w:tc>
      </w:tr>
      <w:tr w14:paraId="652334F3">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03759FDE">
            <w:pPr>
              <w:spacing w:after="0" w:line="276" w:lineRule="auto"/>
            </w:pPr>
            <w:r>
              <w:rPr>
                <w:b w:val="0"/>
                <w:bCs w:val="0"/>
                <w:sz w:val="19"/>
                <w:szCs w:val="19"/>
              </w:rPr>
              <w:t>Flask-Bcrypt</w:t>
            </w:r>
          </w:p>
        </w:tc>
        <w:tc>
          <w:tcPr>
            <w:tcW w:w="1300" w:type="dxa"/>
            <w:tcMar>
              <w:top w:w="80" w:type="dxa"/>
              <w:left w:w="110" w:type="dxa"/>
              <w:bottom w:w="80" w:type="dxa"/>
              <w:right w:w="110" w:type="dxa"/>
            </w:tcMar>
          </w:tcPr>
          <w:p w14:paraId="1344AB5A">
            <w:pPr>
              <w:spacing w:after="0" w:line="276" w:lineRule="auto"/>
            </w:pPr>
            <w:r>
              <w:rPr>
                <w:b w:val="0"/>
                <w:bCs w:val="0"/>
                <w:sz w:val="19"/>
                <w:szCs w:val="19"/>
              </w:rPr>
              <w:t>1.0.1</w:t>
            </w:r>
          </w:p>
        </w:tc>
        <w:tc>
          <w:tcPr>
            <w:tcW w:w="5460" w:type="dxa"/>
            <w:tcMar>
              <w:top w:w="80" w:type="dxa"/>
              <w:left w:w="110" w:type="dxa"/>
              <w:bottom w:w="80" w:type="dxa"/>
              <w:right w:w="110" w:type="dxa"/>
            </w:tcMar>
          </w:tcPr>
          <w:p w14:paraId="732D2AFE">
            <w:pPr>
              <w:spacing w:after="0" w:line="276" w:lineRule="auto"/>
            </w:pPr>
            <w:r>
              <w:rPr>
                <w:b w:val="0"/>
                <w:bCs w:val="0"/>
                <w:sz w:val="19"/>
                <w:szCs w:val="19"/>
              </w:rPr>
              <w:t>Password hashing</w:t>
            </w:r>
          </w:p>
        </w:tc>
      </w:tr>
      <w:tr w14:paraId="36EE8261">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557A3AD7">
            <w:pPr>
              <w:spacing w:after="0" w:line="276" w:lineRule="auto"/>
            </w:pPr>
            <w:r>
              <w:rPr>
                <w:b w:val="0"/>
                <w:bCs w:val="0"/>
                <w:sz w:val="19"/>
                <w:szCs w:val="19"/>
              </w:rPr>
              <w:t>Werkzeug</w:t>
            </w:r>
          </w:p>
        </w:tc>
        <w:tc>
          <w:tcPr>
            <w:tcW w:w="1300" w:type="dxa"/>
            <w:tcMar>
              <w:top w:w="80" w:type="dxa"/>
              <w:left w:w="110" w:type="dxa"/>
              <w:bottom w:w="80" w:type="dxa"/>
              <w:right w:w="110" w:type="dxa"/>
            </w:tcMar>
          </w:tcPr>
          <w:p w14:paraId="45D9BBDD">
            <w:pPr>
              <w:spacing w:after="0" w:line="276" w:lineRule="auto"/>
            </w:pPr>
            <w:r>
              <w:rPr>
                <w:b w:val="0"/>
                <w:bCs w:val="0"/>
                <w:sz w:val="19"/>
                <w:szCs w:val="19"/>
              </w:rPr>
              <w:t>2.3.7</w:t>
            </w:r>
          </w:p>
        </w:tc>
        <w:tc>
          <w:tcPr>
            <w:tcW w:w="5460" w:type="dxa"/>
            <w:tcMar>
              <w:top w:w="80" w:type="dxa"/>
              <w:left w:w="110" w:type="dxa"/>
              <w:bottom w:w="80" w:type="dxa"/>
              <w:right w:w="110" w:type="dxa"/>
            </w:tcMar>
          </w:tcPr>
          <w:p w14:paraId="7878BBE5">
            <w:pPr>
              <w:spacing w:after="0" w:line="276" w:lineRule="auto"/>
            </w:pPr>
            <w:r>
              <w:rPr>
                <w:b w:val="0"/>
                <w:bCs w:val="0"/>
                <w:sz w:val="19"/>
                <w:szCs w:val="19"/>
              </w:rPr>
              <w:t>Secure filename handling, WSGI dev server</w:t>
            </w:r>
          </w:p>
        </w:tc>
      </w:tr>
      <w:tr w14:paraId="6AC920EE">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562594E3">
            <w:pPr>
              <w:spacing w:after="0" w:line="276" w:lineRule="auto"/>
            </w:pPr>
            <w:r>
              <w:rPr>
                <w:b w:val="0"/>
                <w:bCs w:val="0"/>
                <w:sz w:val="19"/>
                <w:szCs w:val="19"/>
              </w:rPr>
              <w:t>Pillow</w:t>
            </w:r>
          </w:p>
        </w:tc>
        <w:tc>
          <w:tcPr>
            <w:tcW w:w="1300" w:type="dxa"/>
            <w:tcMar>
              <w:top w:w="80" w:type="dxa"/>
              <w:left w:w="110" w:type="dxa"/>
              <w:bottom w:w="80" w:type="dxa"/>
              <w:right w:w="110" w:type="dxa"/>
            </w:tcMar>
          </w:tcPr>
          <w:p w14:paraId="5B360022">
            <w:pPr>
              <w:spacing w:after="0" w:line="276" w:lineRule="auto"/>
            </w:pPr>
            <w:r>
              <w:rPr>
                <w:b w:val="0"/>
                <w:bCs w:val="0"/>
                <w:sz w:val="19"/>
                <w:szCs w:val="19"/>
              </w:rPr>
              <w:t>10.0.0</w:t>
            </w:r>
          </w:p>
        </w:tc>
        <w:tc>
          <w:tcPr>
            <w:tcW w:w="5460" w:type="dxa"/>
            <w:tcMar>
              <w:top w:w="80" w:type="dxa"/>
              <w:left w:w="110" w:type="dxa"/>
              <w:bottom w:w="80" w:type="dxa"/>
              <w:right w:w="110" w:type="dxa"/>
            </w:tcMar>
          </w:tcPr>
          <w:p w14:paraId="29745173">
            <w:pPr>
              <w:spacing w:after="0" w:line="276" w:lineRule="auto"/>
            </w:pPr>
            <w:r>
              <w:rPr>
                <w:b w:val="0"/>
                <w:bCs w:val="0"/>
                <w:sz w:val="19"/>
                <w:szCs w:val="19"/>
              </w:rPr>
              <w:t>Thumbnail generation for image files</w:t>
            </w:r>
          </w:p>
        </w:tc>
      </w:tr>
      <w:tr w14:paraId="30B39018">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2600" w:type="dxa"/>
            <w:tcMar>
              <w:top w:w="80" w:type="dxa"/>
              <w:left w:w="110" w:type="dxa"/>
              <w:bottom w:w="80" w:type="dxa"/>
              <w:right w:w="110" w:type="dxa"/>
            </w:tcMar>
          </w:tcPr>
          <w:p w14:paraId="473A35AE">
            <w:pPr>
              <w:spacing w:after="0" w:line="276" w:lineRule="auto"/>
            </w:pPr>
            <w:r>
              <w:rPr>
                <w:b w:val="0"/>
                <w:bCs w:val="0"/>
                <w:sz w:val="19"/>
                <w:szCs w:val="19"/>
              </w:rPr>
              <w:t>google-genai</w:t>
            </w:r>
          </w:p>
        </w:tc>
        <w:tc>
          <w:tcPr>
            <w:tcW w:w="1300" w:type="dxa"/>
            <w:tcMar>
              <w:top w:w="80" w:type="dxa"/>
              <w:left w:w="110" w:type="dxa"/>
              <w:bottom w:w="80" w:type="dxa"/>
              <w:right w:w="110" w:type="dxa"/>
            </w:tcMar>
          </w:tcPr>
          <w:p w14:paraId="6C7E0E48">
            <w:pPr>
              <w:spacing w:after="0" w:line="276" w:lineRule="auto"/>
            </w:pPr>
            <w:r>
              <w:rPr>
                <w:b w:val="0"/>
                <w:bCs w:val="0"/>
                <w:sz w:val="19"/>
                <w:szCs w:val="19"/>
              </w:rPr>
              <w:t>2.19.0</w:t>
            </w:r>
          </w:p>
        </w:tc>
        <w:tc>
          <w:tcPr>
            <w:tcW w:w="5460" w:type="dxa"/>
            <w:tcMar>
              <w:top w:w="80" w:type="dxa"/>
              <w:left w:w="110" w:type="dxa"/>
              <w:bottom w:w="80" w:type="dxa"/>
              <w:right w:w="110" w:type="dxa"/>
            </w:tcMar>
          </w:tcPr>
          <w:p w14:paraId="16FC6F3F">
            <w:pPr>
              <w:spacing w:after="0" w:line="276" w:lineRule="auto"/>
            </w:pPr>
            <w:r>
              <w:rPr>
                <w:b w:val="0"/>
                <w:bCs w:val="0"/>
                <w:sz w:val="19"/>
                <w:szCs w:val="19"/>
              </w:rPr>
              <w:t>Client for the Gemini image model</w:t>
            </w:r>
          </w:p>
        </w:tc>
      </w:tr>
    </w:tbl>
    <w:p w14:paraId="4490DA76">
      <w:pPr>
        <w:pStyle w:val="2"/>
        <w:spacing w:before="360" w:after="140"/>
      </w:pPr>
      <w:r>
        <w:rPr>
          <w:b/>
          <w:bCs/>
          <w:color w:val="B56A12"/>
        </w:rPr>
        <w:t xml:space="preserve">03  </w:t>
      </w:r>
      <w:r>
        <w:t>Architecture</w:t>
      </w:r>
    </w:p>
    <w:p w14:paraId="3FA5E253">
      <w:pPr>
        <w:pStyle w:val="3"/>
        <w:spacing w:before="220" w:after="90"/>
      </w:pPr>
      <w:r>
        <w:t>Data model</w:t>
      </w:r>
    </w:p>
    <w:p w14:paraId="355F413D">
      <w:pPr>
        <w:spacing w:after="160" w:line="300" w:lineRule="auto"/>
      </w:pPr>
      <w:r>
        <w:t xml:space="preserve">A User owns many Folder and File rows. Folders reference an optional parent, giving an arbitrarily deep tree. Every File records its owner, its containing folder, size, detected type, download count, and — for AI output — a </w:t>
      </w:r>
      <w:r>
        <w:rPr>
          <w:rFonts w:ascii="Consolas" w:hAnsi="Consolas" w:eastAsia="Consolas" w:cs="Consolas"/>
          <w:color w:val="1D1A15"/>
          <w:sz w:val="19"/>
          <w:szCs w:val="19"/>
        </w:rPr>
        <w:t>source</w:t>
      </w:r>
      <w:r>
        <w:t xml:space="preserve"> flag of </w:t>
      </w:r>
      <w:r>
        <w:rPr>
          <w:rFonts w:ascii="Consolas" w:hAnsi="Consolas" w:eastAsia="Consolas" w:cs="Consolas"/>
          <w:color w:val="1D1A15"/>
          <w:sz w:val="19"/>
          <w:szCs w:val="19"/>
        </w:rPr>
        <w:t>generated</w:t>
      </w:r>
      <w:r>
        <w:t xml:space="preserve"> and the exact </w:t>
      </w:r>
      <w:r>
        <w:rPr>
          <w:rFonts w:ascii="Consolas" w:hAnsi="Consolas" w:eastAsia="Consolas" w:cs="Consolas"/>
          <w:color w:val="1D1A15"/>
          <w:sz w:val="19"/>
          <w:szCs w:val="19"/>
        </w:rPr>
        <w:t>prompt</w:t>
      </w:r>
      <w:r>
        <w:t xml:space="preserve"> used, so generated assets remain traceable.</w:t>
      </w:r>
    </w:p>
    <w:p w14:paraId="688AC7EC">
      <w:pPr>
        <w:pStyle w:val="3"/>
        <w:spacing w:before="220" w:after="90"/>
      </w:pPr>
      <w:r>
        <w:t>Storage and safety</w:t>
      </w:r>
    </w:p>
    <w:p w14:paraId="10FB9891">
      <w:pPr>
        <w:spacing w:after="160" w:line="300" w:lineRule="auto"/>
      </w:pPr>
      <w:r>
        <w:t>Uploads are written to disk under a UUID-prefixed name to avoid collisions and path games; the original filename is preserved separately for display and download. Every file and folder route checks ownership before acting. Folder moves are guarded against creating a cycle, and folder deletion recurses through children, removing files from disk and reconciling each owner's storage counter.</w:t>
      </w:r>
    </w:p>
    <w:p w14:paraId="5565A0F4">
      <w:pPr>
        <w:pStyle w:val="2"/>
        <w:spacing w:before="360" w:after="140"/>
      </w:pPr>
      <w:r>
        <w:rPr>
          <w:b/>
          <w:bCs/>
          <w:color w:val="B56A12"/>
        </w:rPr>
        <w:t xml:space="preserve">04  </w:t>
      </w:r>
      <w:r>
        <w:t>Timeline</w:t>
      </w:r>
    </w:p>
    <w:p w14:paraId="52F80232">
      <w:pPr>
        <w:pStyle w:val="3"/>
        <w:spacing w:before="220" w:after="90"/>
      </w:pPr>
      <w:r>
        <w:t>Development in cues</w:t>
      </w:r>
    </w:p>
    <w:p w14:paraId="584FA8C8">
      <w:pPr>
        <w:spacing w:after="160" w:line="300" w:lineRule="auto"/>
      </w:pPr>
      <w:r>
        <w:t>Work proceeded in five phases. They are numbered here as cues (Q), after the prompt-book convention used to sequence a lighting session.</w:t>
      </w:r>
    </w:p>
    <w:p w14:paraId="1FE23F18">
      <w:pPr>
        <w:spacing w:after="120"/>
      </w:pPr>
    </w:p>
    <w:tbl>
      <w:tblPr>
        <w:tblStyle w:val="9"/>
        <w:tblW w:w="8220" w:type="dxa"/>
        <w:tblInd w:w="0" w:type="dxa"/>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Layout w:type="autofit"/>
        <w:tblCellMar>
          <w:top w:w="0" w:type="dxa"/>
          <w:left w:w="10" w:type="dxa"/>
          <w:bottom w:w="0" w:type="dxa"/>
          <w:right w:w="10" w:type="dxa"/>
        </w:tblCellMar>
      </w:tblPr>
      <w:tblGrid>
        <w:gridCol w:w="820"/>
        <w:gridCol w:w="2600"/>
        <w:gridCol w:w="4800"/>
      </w:tblGrid>
      <w:tr w14:paraId="1B054059">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rPr>
          <w:tblHeader/>
        </w:trPr>
        <w:tc>
          <w:tcPr>
            <w:tcW w:w="820" w:type="dxa"/>
            <w:shd w:val="clear" w:color="auto" w:fill="F4E7D2"/>
            <w:tcMar>
              <w:top w:w="80" w:type="dxa"/>
              <w:left w:w="110" w:type="dxa"/>
              <w:bottom w:w="80" w:type="dxa"/>
              <w:right w:w="110" w:type="dxa"/>
            </w:tcMar>
          </w:tcPr>
          <w:p w14:paraId="1819F845">
            <w:pPr>
              <w:spacing w:after="0" w:line="276" w:lineRule="auto"/>
            </w:pPr>
            <w:r>
              <w:rPr>
                <w:b/>
                <w:bCs/>
                <w:color w:val="5B554B"/>
                <w:spacing w:val="30"/>
                <w:sz w:val="15"/>
                <w:szCs w:val="15"/>
              </w:rPr>
              <w:t>CUE</w:t>
            </w:r>
          </w:p>
        </w:tc>
        <w:tc>
          <w:tcPr>
            <w:tcW w:w="2600" w:type="dxa"/>
            <w:shd w:val="clear" w:color="auto" w:fill="F4E7D2"/>
            <w:tcMar>
              <w:top w:w="80" w:type="dxa"/>
              <w:left w:w="110" w:type="dxa"/>
              <w:bottom w:w="80" w:type="dxa"/>
              <w:right w:w="110" w:type="dxa"/>
            </w:tcMar>
          </w:tcPr>
          <w:p w14:paraId="34C270E9">
            <w:pPr>
              <w:spacing w:after="0" w:line="276" w:lineRule="auto"/>
            </w:pPr>
            <w:r>
              <w:rPr>
                <w:b/>
                <w:bCs/>
                <w:color w:val="5B554B"/>
                <w:spacing w:val="30"/>
                <w:sz w:val="15"/>
                <w:szCs w:val="15"/>
              </w:rPr>
              <w:t>PHASE</w:t>
            </w:r>
          </w:p>
        </w:tc>
        <w:tc>
          <w:tcPr>
            <w:tcW w:w="4800" w:type="dxa"/>
            <w:shd w:val="clear" w:color="auto" w:fill="F4E7D2"/>
            <w:tcMar>
              <w:top w:w="80" w:type="dxa"/>
              <w:left w:w="110" w:type="dxa"/>
              <w:bottom w:w="80" w:type="dxa"/>
              <w:right w:w="110" w:type="dxa"/>
            </w:tcMar>
          </w:tcPr>
          <w:p w14:paraId="03CC5E46">
            <w:pPr>
              <w:spacing w:after="0" w:line="276" w:lineRule="auto"/>
            </w:pPr>
            <w:r>
              <w:rPr>
                <w:b/>
                <w:bCs/>
                <w:color w:val="5B554B"/>
                <w:spacing w:val="30"/>
                <w:sz w:val="15"/>
                <w:szCs w:val="15"/>
              </w:rPr>
              <w:t>WHAT SHIPPED</w:t>
            </w:r>
          </w:p>
        </w:tc>
      </w:tr>
      <w:tr w14:paraId="5DF9961B">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820" w:type="dxa"/>
            <w:tcMar>
              <w:top w:w="80" w:type="dxa"/>
              <w:left w:w="110" w:type="dxa"/>
              <w:bottom w:w="80" w:type="dxa"/>
              <w:right w:w="110" w:type="dxa"/>
            </w:tcMar>
          </w:tcPr>
          <w:p w14:paraId="7421653D">
            <w:pPr>
              <w:spacing w:after="0" w:line="276" w:lineRule="auto"/>
            </w:pPr>
            <w:r>
              <w:rPr>
                <w:b w:val="0"/>
                <w:bCs w:val="0"/>
                <w:sz w:val="19"/>
                <w:szCs w:val="19"/>
              </w:rPr>
              <w:t>Q1</w:t>
            </w:r>
          </w:p>
        </w:tc>
        <w:tc>
          <w:tcPr>
            <w:tcW w:w="2600" w:type="dxa"/>
            <w:tcMar>
              <w:top w:w="80" w:type="dxa"/>
              <w:left w:w="110" w:type="dxa"/>
              <w:bottom w:w="80" w:type="dxa"/>
              <w:right w:w="110" w:type="dxa"/>
            </w:tcMar>
          </w:tcPr>
          <w:p w14:paraId="08C0062C">
            <w:pPr>
              <w:spacing w:after="0" w:line="276" w:lineRule="auto"/>
            </w:pPr>
            <w:r>
              <w:rPr>
                <w:b w:val="0"/>
                <w:bCs w:val="0"/>
                <w:sz w:val="19"/>
                <w:szCs w:val="19"/>
              </w:rPr>
              <w:t>Core file store</w:t>
            </w:r>
          </w:p>
        </w:tc>
        <w:tc>
          <w:tcPr>
            <w:tcW w:w="4800" w:type="dxa"/>
            <w:tcMar>
              <w:top w:w="80" w:type="dxa"/>
              <w:left w:w="110" w:type="dxa"/>
              <w:bottom w:w="80" w:type="dxa"/>
              <w:right w:w="110" w:type="dxa"/>
            </w:tcMar>
          </w:tcPr>
          <w:p w14:paraId="25B65DB4">
            <w:pPr>
              <w:spacing w:after="0" w:line="276" w:lineRule="auto"/>
            </w:pPr>
            <w:r>
              <w:rPr>
                <w:b w:val="0"/>
                <w:bCs w:val="0"/>
                <w:sz w:val="19"/>
                <w:szCs w:val="19"/>
              </w:rPr>
              <w:t>Auth blueprint, SQLAlchemy models, folder tree, multi-file upload with type detection, Pillow thumbnails, download counters, per-user storage accounting.</w:t>
            </w:r>
          </w:p>
        </w:tc>
      </w:tr>
      <w:tr w14:paraId="5E3B3A13">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820" w:type="dxa"/>
            <w:tcMar>
              <w:top w:w="80" w:type="dxa"/>
              <w:left w:w="110" w:type="dxa"/>
              <w:bottom w:w="80" w:type="dxa"/>
              <w:right w:w="110" w:type="dxa"/>
            </w:tcMar>
          </w:tcPr>
          <w:p w14:paraId="08CB0D97">
            <w:pPr>
              <w:spacing w:after="0" w:line="276" w:lineRule="auto"/>
            </w:pPr>
            <w:r>
              <w:rPr>
                <w:b w:val="0"/>
                <w:bCs w:val="0"/>
                <w:sz w:val="19"/>
                <w:szCs w:val="19"/>
              </w:rPr>
              <w:t>Q2</w:t>
            </w:r>
          </w:p>
        </w:tc>
        <w:tc>
          <w:tcPr>
            <w:tcW w:w="2600" w:type="dxa"/>
            <w:tcMar>
              <w:top w:w="80" w:type="dxa"/>
              <w:left w:w="110" w:type="dxa"/>
              <w:bottom w:w="80" w:type="dxa"/>
              <w:right w:w="110" w:type="dxa"/>
            </w:tcMar>
          </w:tcPr>
          <w:p w14:paraId="55FD3CD1">
            <w:pPr>
              <w:spacing w:after="0" w:line="276" w:lineRule="auto"/>
            </w:pPr>
            <w:r>
              <w:rPr>
                <w:b w:val="0"/>
                <w:bCs w:val="0"/>
                <w:sz w:val="19"/>
                <w:szCs w:val="19"/>
              </w:rPr>
              <w:t>Retrieval and interface</w:t>
            </w:r>
          </w:p>
        </w:tc>
        <w:tc>
          <w:tcPr>
            <w:tcW w:w="4800" w:type="dxa"/>
            <w:tcMar>
              <w:top w:w="80" w:type="dxa"/>
              <w:left w:w="110" w:type="dxa"/>
              <w:bottom w:w="80" w:type="dxa"/>
              <w:right w:w="110" w:type="dxa"/>
            </w:tcMar>
          </w:tcPr>
          <w:p w14:paraId="2550B148">
            <w:pPr>
              <w:spacing w:after="0" w:line="276" w:lineRule="auto"/>
            </w:pPr>
            <w:r>
              <w:rPr>
                <w:b w:val="0"/>
                <w:bCs w:val="0"/>
                <w:sz w:val="19"/>
                <w:szCs w:val="19"/>
              </w:rPr>
              <w:t>Single-page archive view with a folder/file grid, drag-and-drop upload, combined file-and-folder search, a live storage-usage bar, toast notifications.</w:t>
            </w:r>
          </w:p>
        </w:tc>
      </w:tr>
      <w:tr w14:paraId="506F904D">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820" w:type="dxa"/>
            <w:tcMar>
              <w:top w:w="80" w:type="dxa"/>
              <w:left w:w="110" w:type="dxa"/>
              <w:bottom w:w="80" w:type="dxa"/>
              <w:right w:w="110" w:type="dxa"/>
            </w:tcMar>
          </w:tcPr>
          <w:p w14:paraId="50DEB1C9">
            <w:pPr>
              <w:spacing w:after="0" w:line="276" w:lineRule="auto"/>
            </w:pPr>
            <w:r>
              <w:rPr>
                <w:b w:val="0"/>
                <w:bCs w:val="0"/>
                <w:sz w:val="19"/>
                <w:szCs w:val="19"/>
              </w:rPr>
              <w:t>Q3</w:t>
            </w:r>
          </w:p>
        </w:tc>
        <w:tc>
          <w:tcPr>
            <w:tcW w:w="2600" w:type="dxa"/>
            <w:tcMar>
              <w:top w:w="80" w:type="dxa"/>
              <w:left w:w="110" w:type="dxa"/>
              <w:bottom w:w="80" w:type="dxa"/>
              <w:right w:w="110" w:type="dxa"/>
            </w:tcMar>
          </w:tcPr>
          <w:p w14:paraId="6B216377">
            <w:pPr>
              <w:spacing w:after="0" w:line="276" w:lineRule="auto"/>
            </w:pPr>
            <w:r>
              <w:rPr>
                <w:b w:val="0"/>
                <w:bCs w:val="0"/>
                <w:sz w:val="19"/>
                <w:szCs w:val="19"/>
              </w:rPr>
              <w:t>Domain adaptation and hardening</w:t>
            </w:r>
          </w:p>
        </w:tc>
        <w:tc>
          <w:tcPr>
            <w:tcW w:w="4800" w:type="dxa"/>
            <w:tcMar>
              <w:top w:w="80" w:type="dxa"/>
              <w:left w:w="110" w:type="dxa"/>
              <w:bottom w:w="80" w:type="dxa"/>
              <w:right w:w="110" w:type="dxa"/>
            </w:tcMar>
          </w:tcPr>
          <w:p w14:paraId="1FD0FAFC">
            <w:pPr>
              <w:spacing w:after="0" w:line="276" w:lineRule="auto"/>
            </w:pPr>
            <w:r>
              <w:rPr>
                <w:b w:val="0"/>
                <w:bCs w:val="0"/>
                <w:sz w:val="19"/>
                <w:szCs w:val="19"/>
              </w:rPr>
              <w:t>Re-themed as the theatre-lighting archive. First pass at image generation through Gemini, stored as a source/prompt-tagged File record. Thumbnail fallback and ownership checks tightened.</w:t>
            </w:r>
          </w:p>
        </w:tc>
      </w:tr>
      <w:tr w14:paraId="2F87C37C">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820" w:type="dxa"/>
            <w:tcMar>
              <w:top w:w="80" w:type="dxa"/>
              <w:left w:w="110" w:type="dxa"/>
              <w:bottom w:w="80" w:type="dxa"/>
              <w:right w:w="110" w:type="dxa"/>
            </w:tcMar>
          </w:tcPr>
          <w:p w14:paraId="5B83E944">
            <w:pPr>
              <w:spacing w:after="0" w:line="276" w:lineRule="auto"/>
            </w:pPr>
            <w:r>
              <w:rPr>
                <w:b w:val="0"/>
                <w:bCs w:val="0"/>
                <w:sz w:val="19"/>
                <w:szCs w:val="19"/>
              </w:rPr>
              <w:t>Q4</w:t>
            </w:r>
          </w:p>
        </w:tc>
        <w:tc>
          <w:tcPr>
            <w:tcW w:w="2600" w:type="dxa"/>
            <w:tcMar>
              <w:top w:w="80" w:type="dxa"/>
              <w:left w:w="110" w:type="dxa"/>
              <w:bottom w:w="80" w:type="dxa"/>
              <w:right w:w="110" w:type="dxa"/>
            </w:tcMar>
          </w:tcPr>
          <w:p w14:paraId="4E34320B">
            <w:pPr>
              <w:spacing w:after="0" w:line="276" w:lineRule="auto"/>
            </w:pPr>
            <w:r>
              <w:rPr>
                <w:b w:val="0"/>
                <w:bCs w:val="0"/>
                <w:sz w:val="19"/>
                <w:szCs w:val="19"/>
              </w:rPr>
              <w:t>Credentials and the creation screen</w:t>
            </w:r>
          </w:p>
        </w:tc>
        <w:tc>
          <w:tcPr>
            <w:tcW w:w="4800" w:type="dxa"/>
            <w:tcMar>
              <w:top w:w="80" w:type="dxa"/>
              <w:left w:w="110" w:type="dxa"/>
              <w:bottom w:w="80" w:type="dxa"/>
              <w:right w:w="110" w:type="dxa"/>
            </w:tcMar>
          </w:tcPr>
          <w:p w14:paraId="369BE246">
            <w:pPr>
              <w:spacing w:after="0" w:line="276" w:lineRule="auto"/>
            </w:pPr>
            <w:r>
              <w:rPr>
                <w:b w:val="0"/>
                <w:bCs w:val="0"/>
                <w:sz w:val="19"/>
                <w:szCs w:val="19"/>
              </w:rPr>
              <w:t xml:space="preserve">Introduced the </w:t>
            </w:r>
            <w:r>
              <w:rPr>
                <w:rFonts w:ascii="Consolas" w:hAnsi="Consolas" w:eastAsia="Consolas" w:cs="Consolas"/>
                <w:b w:val="0"/>
                <w:bCs w:val="0"/>
                <w:color w:val="1D1A15"/>
                <w:sz w:val="19"/>
                <w:szCs w:val="19"/>
              </w:rPr>
              <w:t>.env</w:t>
            </w:r>
            <w:r>
              <w:rPr>
                <w:b w:val="0"/>
                <w:bCs w:val="0"/>
                <w:sz w:val="19"/>
                <w:szCs w:val="19"/>
              </w:rPr>
              <w:t xml:space="preserve"> loader and a live API key. Replaced the browser-prompt generation flow with a dedicated conversational page at </w:t>
            </w:r>
            <w:r>
              <w:rPr>
                <w:rFonts w:ascii="Consolas" w:hAnsi="Consolas" w:eastAsia="Consolas" w:cs="Consolas"/>
                <w:b w:val="0"/>
                <w:bCs w:val="0"/>
                <w:color w:val="1D1A15"/>
                <w:sz w:val="19"/>
                <w:szCs w:val="19"/>
              </w:rPr>
              <w:t>/create</w:t>
            </w:r>
            <w:r>
              <w:rPr>
                <w:b w:val="0"/>
                <w:bCs w:val="0"/>
                <w:sz w:val="19"/>
                <w:szCs w:val="19"/>
              </w:rPr>
              <w:t>. Classified Gemini API failures into readable messages.</w:t>
            </w:r>
          </w:p>
        </w:tc>
      </w:tr>
      <w:tr w14:paraId="5734CAD1">
        <w:tblPrEx>
          <w:tblBorders>
            <w:top w:val="single" w:color="C9BFAE" w:sz="4" w:space="0"/>
            <w:left w:val="none" w:color="auto" w:sz="0" w:space="0"/>
            <w:bottom w:val="single" w:color="C9BFAE" w:sz="4" w:space="0"/>
            <w:right w:val="none" w:color="auto" w:sz="0" w:space="0"/>
            <w:insideH w:val="single" w:color="C9BFAE" w:sz="2" w:space="0"/>
            <w:insideV w:val="none" w:color="auto" w:sz="0" w:space="0"/>
          </w:tblBorders>
          <w:tblCellMar>
            <w:top w:w="0" w:type="dxa"/>
            <w:left w:w="10" w:type="dxa"/>
            <w:bottom w:w="0" w:type="dxa"/>
            <w:right w:w="10" w:type="dxa"/>
          </w:tblCellMar>
        </w:tblPrEx>
        <w:tc>
          <w:tcPr>
            <w:tcW w:w="820" w:type="dxa"/>
            <w:tcMar>
              <w:top w:w="80" w:type="dxa"/>
              <w:left w:w="110" w:type="dxa"/>
              <w:bottom w:w="80" w:type="dxa"/>
              <w:right w:w="110" w:type="dxa"/>
            </w:tcMar>
          </w:tcPr>
          <w:p w14:paraId="6FE45290">
            <w:pPr>
              <w:spacing w:after="0" w:line="276" w:lineRule="auto"/>
            </w:pPr>
            <w:r>
              <w:rPr>
                <w:b w:val="0"/>
                <w:bCs w:val="0"/>
                <w:sz w:val="19"/>
                <w:szCs w:val="19"/>
              </w:rPr>
              <w:t>Q5</w:t>
            </w:r>
          </w:p>
        </w:tc>
        <w:tc>
          <w:tcPr>
            <w:tcW w:w="2600" w:type="dxa"/>
            <w:tcMar>
              <w:top w:w="80" w:type="dxa"/>
              <w:left w:w="110" w:type="dxa"/>
              <w:bottom w:w="80" w:type="dxa"/>
              <w:right w:w="110" w:type="dxa"/>
            </w:tcMar>
          </w:tcPr>
          <w:p w14:paraId="5A0D7916">
            <w:pPr>
              <w:spacing w:after="0" w:line="276" w:lineRule="auto"/>
            </w:pPr>
            <w:r>
              <w:rPr>
                <w:b w:val="0"/>
                <w:bCs w:val="0"/>
                <w:sz w:val="19"/>
                <w:szCs w:val="19"/>
              </w:rPr>
              <w:t>Capacity</w:t>
            </w:r>
          </w:p>
        </w:tc>
        <w:tc>
          <w:tcPr>
            <w:tcW w:w="4800" w:type="dxa"/>
            <w:tcMar>
              <w:top w:w="80" w:type="dxa"/>
              <w:left w:w="110" w:type="dxa"/>
              <w:bottom w:w="80" w:type="dxa"/>
              <w:right w:w="110" w:type="dxa"/>
            </w:tcMar>
          </w:tcPr>
          <w:p w14:paraId="04483A3D">
            <w:pPr>
              <w:spacing w:after="0" w:line="276" w:lineRule="auto"/>
            </w:pPr>
            <w:r>
              <w:rPr>
                <w:b w:val="0"/>
                <w:bCs w:val="0"/>
                <w:sz w:val="19"/>
                <w:szCs w:val="19"/>
              </w:rPr>
              <w:t>Raised the per-account storage allowance from 50 MB to 1 GB, made configurable, with a one-time back-fill for existing accounts and a GB-aware usage readout.</w:t>
            </w:r>
          </w:p>
        </w:tc>
      </w:tr>
    </w:tbl>
    <w:p w14:paraId="7D3572C3">
      <w:pPr>
        <w:pStyle w:val="2"/>
        <w:spacing w:before="360" w:after="140"/>
      </w:pPr>
      <w:r>
        <w:rPr>
          <w:b/>
          <w:bCs/>
          <w:color w:val="B56A12"/>
        </w:rPr>
        <w:t xml:space="preserve">05  </w:t>
      </w:r>
      <w:r>
        <w:t>Features</w:t>
      </w:r>
    </w:p>
    <w:p w14:paraId="5B1B4831">
      <w:pPr>
        <w:pStyle w:val="3"/>
        <w:spacing w:before="220" w:after="90"/>
      </w:pPr>
      <w:r>
        <w:t>Implemented functionality</w:t>
      </w:r>
    </w:p>
    <w:p w14:paraId="1FEA472D">
      <w:pPr>
        <w:pStyle w:val="3"/>
        <w:spacing w:before="220" w:after="90"/>
      </w:pPr>
      <w:r>
        <w:t>Accounts and sessions</w:t>
      </w:r>
    </w:p>
    <w:p w14:paraId="5509E57B">
      <w:pPr>
        <w:spacing w:after="160" w:line="300" w:lineRule="auto"/>
      </w:pPr>
      <w:r>
        <w:t>Registration validates username uniqueness, email format, password length, and confirmation match on both client and server. Passwords are stored only as bcrypt hashes. Sessions are handled by Flask-Login with an optional persistent “remember me”; every application route outside the auth blueprint requires a logged-in user.</w:t>
      </w:r>
    </w:p>
    <w:p w14:paraId="330811A3">
      <w:pPr>
        <w:pStyle w:val="3"/>
        <w:spacing w:before="220" w:after="90"/>
      </w:pPr>
      <w:r>
        <w:t>Folders and files</w:t>
      </w:r>
    </w:p>
    <w:p w14:paraId="60279D39">
      <w:pPr>
        <w:spacing w:after="160" w:line="300" w:lineRule="auto"/>
      </w:pPr>
      <w:r>
        <w:t>Users create nested folders, move them (with cycle protection), and delete them recursively. Uploads accept up to ten files per request within a 50 MB request ceiling, are checked against the account's remaining quota, and are stored under collision-proof names. Downloads stream the file under its original name and increment a per-file counter.</w:t>
      </w:r>
    </w:p>
    <w:p w14:paraId="346D3E1A">
      <w:pPr>
        <w:pStyle w:val="3"/>
        <w:spacing w:before="220" w:after="90"/>
      </w:pPr>
      <w:r>
        <w:t>Thumbnails and search</w:t>
      </w:r>
    </w:p>
    <w:p w14:paraId="3DDBC334">
      <w:pPr>
        <w:spacing w:after="160" w:line="300" w:lineRule="auto"/>
      </w:pPr>
      <w:r>
        <w:t>Image uploads get a 200×200 thumbnail via Pillow, with a graceful fallback to the full image if generation fails. Search runs a case-insensitive substring match across both file names and folder names from a two-character minimum.</w:t>
      </w:r>
    </w:p>
    <w:p w14:paraId="1A1604D0">
      <w:pPr>
        <w:pStyle w:val="3"/>
        <w:spacing w:before="220" w:after="90"/>
      </w:pPr>
      <w:r>
        <w:t>Storage quota</w:t>
      </w:r>
    </w:p>
    <w:p w14:paraId="756AA448">
      <w:pPr>
        <w:spacing w:after="160" w:line="300" w:lineRule="auto"/>
      </w:pPr>
      <w:r>
        <w:t xml:space="preserve">Each account carries a byte allowance (now 1 GB, set by </w:t>
      </w:r>
      <w:r>
        <w:rPr>
          <w:rFonts w:ascii="Consolas" w:hAnsi="Consolas" w:eastAsia="Consolas" w:cs="Consolas"/>
          <w:color w:val="1D1A15"/>
          <w:sz w:val="19"/>
          <w:szCs w:val="19"/>
        </w:rPr>
        <w:t>USER_STORAGE_LIMIT</w:t>
      </w:r>
      <w:r>
        <w:t xml:space="preserve"> and overridable per deployment). Usage is tracked incrementally on every upload, generation, and delete, and surfaced as a coloured progress bar that shifts from green to amber to red as it fills.</w:t>
      </w:r>
    </w:p>
    <w:p w14:paraId="71D788A2">
      <w:pPr>
        <w:pStyle w:val="3"/>
        <w:spacing w:before="220" w:after="90"/>
      </w:pPr>
      <w:r>
        <w:t>AI image generation</w:t>
      </w:r>
    </w:p>
    <w:p w14:paraId="2EC4BBA7">
      <w:pPr>
        <w:spacing w:after="160" w:line="300" w:lineRule="auto"/>
      </w:pPr>
      <w:r>
        <w:t xml:space="preserve">From the creation screen a user describes an image; the server calls the Gemini image model, extracts the returned image bytes, writes them to the archive as an owned File tagged </w:t>
      </w:r>
      <w:r>
        <w:rPr>
          <w:rFonts w:ascii="Consolas" w:hAnsi="Consolas" w:eastAsia="Consolas" w:cs="Consolas"/>
          <w:color w:val="1D1A15"/>
          <w:sz w:val="19"/>
          <w:szCs w:val="19"/>
        </w:rPr>
        <w:t>generated</w:t>
      </w:r>
      <w:r>
        <w:t xml:space="preserve"> with its prompt, and returns it to the interface. The generated image is a first-class archive object from the moment it exists — searchable, movable, downloadable, and counted against storage.</w:t>
      </w:r>
    </w:p>
    <w:p w14:paraId="3A6A1C37">
      <w:pPr>
        <w:rPr>
          <w:rFonts w:hint="default"/>
          <w:lang w:val="en-US"/>
        </w:rPr>
      </w:pPr>
      <w:r>
        <w:rPr>
          <w:rFonts w:hint="default"/>
          <w:lang w:val="en-US"/>
        </w:rPr>
        <w:t xml:space="preserve">Note: this section was not included yet because of the cost implication </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86"/>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79D49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color w:val="1D1A15"/>
      <w:sz w:val="21"/>
      <w:szCs w:val="21"/>
    </w:rPr>
  </w:style>
  <w:style w:type="paragraph" w:styleId="2">
    <w:name w:val="heading 1"/>
    <w:next w:val="1"/>
    <w:qFormat/>
    <w:uiPriority w:val="0"/>
    <w:pPr>
      <w:pBdr>
        <w:bottom w:val="single" w:color="C9BFAE" w:sz="6" w:space="6"/>
      </w:pBdr>
      <w:spacing w:before="360" w:after="140" w:line="300" w:lineRule="auto"/>
    </w:pPr>
    <w:rPr>
      <w:rFonts w:ascii="Arial" w:hAnsi="Arial" w:eastAsia="Arial" w:cs="Arial"/>
      <w:b/>
      <w:bCs/>
      <w:color w:val="1D1A15"/>
      <w:sz w:val="30"/>
      <w:szCs w:val="30"/>
    </w:rPr>
  </w:style>
  <w:style w:type="paragraph" w:styleId="3">
    <w:name w:val="heading 2"/>
    <w:next w:val="1"/>
    <w:qFormat/>
    <w:uiPriority w:val="0"/>
    <w:pPr>
      <w:spacing w:before="220" w:after="90" w:line="300" w:lineRule="auto"/>
    </w:pPr>
    <w:rPr>
      <w:rFonts w:ascii="Arial" w:hAnsi="Arial" w:eastAsia="Arial" w:cs="Arial"/>
      <w:b/>
      <w:bCs/>
      <w:color w:val="B56A12"/>
      <w:sz w:val="22"/>
      <w:szCs w:val="22"/>
    </w:rPr>
  </w:style>
  <w:style w:type="paragraph" w:styleId="4">
    <w:name w:val="heading 3"/>
    <w:next w:val="1"/>
    <w:qFormat/>
    <w:uiPriority w:val="0"/>
    <w:pPr>
      <w:spacing w:line="300" w:lineRule="auto"/>
    </w:pPr>
    <w:rPr>
      <w:rFonts w:ascii="Georgia" w:hAnsi="Georgia" w:eastAsia="Georgia" w:cs="Georgia"/>
      <w:color w:val="1F4D78"/>
      <w:sz w:val="24"/>
      <w:szCs w:val="24"/>
    </w:rPr>
  </w:style>
  <w:style w:type="paragraph" w:styleId="5">
    <w:name w:val="heading 4"/>
    <w:next w:val="1"/>
    <w:qFormat/>
    <w:uiPriority w:val="0"/>
    <w:pPr>
      <w:spacing w:line="300" w:lineRule="auto"/>
    </w:pPr>
    <w:rPr>
      <w:rFonts w:ascii="Georgia" w:hAnsi="Georgia" w:eastAsia="Georgia" w:cs="Georgia"/>
      <w:i/>
      <w:iCs/>
      <w:color w:val="2E74B5"/>
      <w:sz w:val="21"/>
      <w:szCs w:val="21"/>
    </w:rPr>
  </w:style>
  <w:style w:type="paragraph" w:styleId="6">
    <w:name w:val="heading 5"/>
    <w:next w:val="1"/>
    <w:qFormat/>
    <w:uiPriority w:val="0"/>
    <w:pPr>
      <w:spacing w:line="300" w:lineRule="auto"/>
    </w:pPr>
    <w:rPr>
      <w:rFonts w:ascii="Georgia" w:hAnsi="Georgia" w:eastAsia="Georgia" w:cs="Georgia"/>
      <w:color w:val="2E74B5"/>
      <w:sz w:val="21"/>
      <w:szCs w:val="21"/>
    </w:rPr>
  </w:style>
  <w:style w:type="paragraph" w:styleId="7">
    <w:name w:val="heading 6"/>
    <w:next w:val="1"/>
    <w:qFormat/>
    <w:uiPriority w:val="0"/>
    <w:pPr>
      <w:spacing w:line="300" w:lineRule="auto"/>
    </w:pPr>
    <w:rPr>
      <w:rFonts w:ascii="Georgia" w:hAnsi="Georgia" w:eastAsia="Georgia" w:cs="Georgia"/>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Georgia" w:hAnsi="Georgia" w:eastAsia="Georgia" w:cs="Georgia"/>
      <w:color w:val="1D1A15"/>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Georgia" w:hAnsi="Georgia" w:eastAsia="Georgia" w:cs="Georgia"/>
      <w:color w:val="1D1A15"/>
      <w:sz w:val="20"/>
      <w:szCs w:val="20"/>
    </w:rPr>
  </w:style>
  <w:style w:type="character" w:styleId="14">
    <w:name w:val="Hyperlink"/>
    <w:unhideWhenUsed/>
    <w:qFormat/>
    <w:uiPriority w:val="99"/>
    <w:rPr>
      <w:color w:val="0563C1"/>
      <w:u w:val="single"/>
    </w:rPr>
  </w:style>
  <w:style w:type="paragraph" w:styleId="15">
    <w:name w:val="Title"/>
    <w:qFormat/>
    <w:uiPriority w:val="0"/>
    <w:pPr>
      <w:spacing w:line="300" w:lineRule="auto"/>
    </w:pPr>
    <w:rPr>
      <w:rFonts w:ascii="Georgia" w:hAnsi="Georgia" w:eastAsia="Georgia" w:cs="Georgia"/>
      <w:color w:val="1D1A15"/>
      <w:sz w:val="56"/>
      <w:szCs w:val="56"/>
    </w:rPr>
  </w:style>
  <w:style w:type="paragraph" w:styleId="16">
    <w:name w:val="List Paragraph"/>
    <w:qFormat/>
    <w:uiPriority w:val="0"/>
    <w:pPr>
      <w:spacing w:line="300" w:lineRule="auto"/>
    </w:pPr>
    <w:rPr>
      <w:rFonts w:ascii="Georgia" w:hAnsi="Georgia" w:eastAsia="Georgia" w:cs="Georgia"/>
      <w:color w:val="1D1A15"/>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1734</Words>
  <Characters>9696</Characters>
  <TotalTime>2</TotalTime>
  <ScaleCrop>false</ScaleCrop>
  <LinksUpToDate>false</LinksUpToDate>
  <CharactersWithSpaces>11294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2026-08-27T11:17:00Z</dcterms:created>
  <dc:creator>Development team</dc:creator>
  <cp:lastModifiedBy>Elufidodo Gabriel</cp:lastModifiedBy>
  <dcterms:modified xsi:type="dcterms:W3CDTF">2026-08-27T11:24:40Z</dcterms:modified>
  <dc:title>Nigeria Theatre Lighting Digital Archive — Development Process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eyJoZGlkIjoiMzE2MWE4M2NhZDI3MTNlYjhmODkwMWZiMjg5MTU0ZjIiLCJ1c2VySWQiOiIzNzI4NzQ4NjczMTMzIn0=</vt:lpwstr>
  </property>
  <property fmtid="{D5CDD505-2E9C-101B-9397-08002B2CF9AE}" pid="3" name="KSOProductBuildVer">
    <vt:lpwstr>1033-12.1.0.28032</vt:lpwstr>
  </property>
  <property fmtid="{D5CDD505-2E9C-101B-9397-08002B2CF9AE}" pid="4" name="ICV">
    <vt:lpwstr>F8FB8B2A98274010B4C3E59B26BF92D6_12</vt:lpwstr>
  </property>
</Properties>
</file>