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1216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510"/>
        <w:gridCol w:w="1378"/>
        <w:gridCol w:w="1710"/>
        <w:gridCol w:w="1600"/>
        <w:gridCol w:w="2530"/>
        <w:gridCol w:w="3530"/>
        <w:gridCol w:w="90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No</w:t>
            </w:r>
          </w:p>
        </w:tc>
        <w:tc>
          <w:tcPr>
            <w:tcW w:w="137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Drug Name</w:t>
            </w:r>
          </w:p>
        </w:tc>
        <w:tc>
          <w:tcPr>
            <w:tcW w:w="17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sickness</w:t>
            </w:r>
          </w:p>
        </w:tc>
        <w:tc>
          <w:tcPr>
            <w:tcW w:w="1600" w:type="dxa"/>
          </w:tcPr>
          <w:p>
            <w:pPr>
              <w:spacing w:after="0" w:line="240" w:lineRule="auto"/>
              <w:rPr>
                <w:rFonts w:ascii="Times New Roman" w:hAnsi="Times New Roman" w:cs="Times New Roman"/>
                <w:sz w:val="24"/>
                <w:szCs w:val="24"/>
              </w:rPr>
            </w:pPr>
            <w:r>
              <w:rPr>
                <w:rFonts w:hint="default" w:ascii="Times New Roman" w:hAnsi="Times New Roman" w:cs="Times New Roman"/>
                <w:sz w:val="24"/>
                <w:szCs w:val="24"/>
              </w:rPr>
              <w:t>Aiṣán</w:t>
            </w:r>
          </w:p>
        </w:tc>
        <w:tc>
          <w:tcPr>
            <w:tcW w:w="25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indication </w:t>
            </w:r>
          </w:p>
        </w:tc>
        <w:tc>
          <w:tcPr>
            <w:tcW w:w="3530" w:type="dxa"/>
          </w:tcPr>
          <w:p>
            <w:pPr>
              <w:spacing w:after="0" w:line="240" w:lineRule="auto"/>
              <w:rPr>
                <w:rFonts w:ascii="Times New Roman" w:hAnsi="Times New Roman" w:cs="Times New Roman"/>
                <w:sz w:val="24"/>
                <w:szCs w:val="24"/>
              </w:rPr>
            </w:pPr>
            <w:r>
              <w:rPr>
                <w:rFonts w:hint="default" w:ascii="Times New Roman" w:hAnsi="Times New Roman" w:cs="Times New Roman"/>
                <w:sz w:val="24"/>
                <w:szCs w:val="24"/>
              </w:rPr>
              <w:t>ìtọ́jú</w:t>
            </w:r>
          </w:p>
        </w:tc>
        <w:tc>
          <w:tcPr>
            <w:tcW w:w="9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Size (milligram)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378" w:type="dxa"/>
          </w:tcPr>
          <w:p>
            <w:pPr>
              <w:spacing w:after="0" w:line="240" w:lineRule="auto"/>
              <w:rPr>
                <w:rFonts w:ascii="Times New Roman" w:hAnsi="Times New Roman" w:cs="Times New Roman"/>
                <w:sz w:val="24"/>
                <w:szCs w:val="24"/>
              </w:rPr>
            </w:pPr>
            <w:r>
              <w:rPr>
                <w:rFonts w:hint="default" w:ascii="Times New Roman" w:hAnsi="Times New Roman" w:cs="Times New Roman"/>
                <w:sz w:val="24"/>
                <w:szCs w:val="24"/>
                <w:lang w:val="en-US"/>
              </w:rPr>
              <w:t>A</w:t>
            </w:r>
            <w:r>
              <w:rPr>
                <w:rFonts w:ascii="Times New Roman" w:hAnsi="Times New Roman" w:cs="Times New Roman"/>
                <w:sz w:val="24"/>
                <w:szCs w:val="24"/>
              </w:rPr>
              <w:t>lprazolam</w:t>
            </w:r>
          </w:p>
        </w:tc>
        <w:tc>
          <w:tcPr>
            <w:tcW w:w="17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Insomnia (sleep disorder)</w:t>
            </w:r>
          </w:p>
        </w:tc>
        <w:tc>
          <w:tcPr>
            <w:tcW w:w="1600" w:type="dxa"/>
          </w:tcPr>
          <w:p>
            <w:pPr>
              <w:spacing w:after="0" w:line="240" w:lineRule="auto"/>
              <w:rPr>
                <w:rFonts w:ascii="Times New Roman" w:hAnsi="Times New Roman" w:cs="Times New Roman"/>
                <w:sz w:val="24"/>
                <w:szCs w:val="24"/>
              </w:rPr>
            </w:pPr>
            <w:r>
              <w:rPr>
                <w:rFonts w:hint="default" w:ascii="Times New Roman" w:hAnsi="Times New Roman" w:cs="Times New Roman"/>
                <w:sz w:val="24"/>
                <w:szCs w:val="24"/>
              </w:rPr>
              <w:t>Airorunsun</w:t>
            </w:r>
          </w:p>
        </w:tc>
        <w:tc>
          <w:tcPr>
            <w:tcW w:w="25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Short term treatment of moderate to severe anxiety states and anxiety associated with depression. Panic disorder, with or without agoraphobia, preoperative anxiety in dentistry</w:t>
            </w:r>
          </w:p>
        </w:tc>
        <w:tc>
          <w:tcPr>
            <w:tcW w:w="3530" w:type="dxa"/>
          </w:tcPr>
          <w:p>
            <w:pPr>
              <w:spacing w:after="0" w:line="240" w:lineRule="auto"/>
              <w:rPr>
                <w:rFonts w:ascii="Times New Roman" w:hAnsi="Times New Roman" w:cs="Times New Roman"/>
                <w:sz w:val="24"/>
                <w:szCs w:val="24"/>
              </w:rPr>
            </w:pPr>
            <w:r>
              <w:rPr>
                <w:rFonts w:hint="default" w:ascii="Times New Roman" w:hAnsi="Times New Roman" w:cs="Times New Roman"/>
                <w:sz w:val="24"/>
                <w:szCs w:val="24"/>
              </w:rPr>
              <w:t>Ìtọ́jú ìgbà kúkúrù tí iwọntúnwọ́nsì sí àwọn ìpò àìbálẹ̀ lìlẹ̀ àti àìbálẹ̀ tí ó ní kànṣẹ̀ pẹ̀lú ibanujẹ́. Ibanujẹ́ ìjàyà, pẹ̀lú tabi láìsí agoraphobia, àìbálẹ̀ ìṣájú ní ìṣẹ́ èhìn.</w:t>
            </w:r>
          </w:p>
        </w:tc>
        <w:tc>
          <w:tcPr>
            <w:tcW w:w="9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37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Bromazepam</w:t>
            </w:r>
          </w:p>
        </w:tc>
        <w:tc>
          <w:tcPr>
            <w:tcW w:w="1710" w:type="dxa"/>
          </w:tcPr>
          <w:p>
            <w:pPr>
              <w:spacing w:after="0" w:line="240" w:lineRule="auto"/>
              <w:rPr>
                <w:rFonts w:ascii="Times New Roman" w:hAnsi="Times New Roman" w:cs="Times New Roman"/>
                <w:sz w:val="24"/>
                <w:szCs w:val="24"/>
              </w:rPr>
            </w:pPr>
            <w:bookmarkStart w:id="0" w:name="_GoBack"/>
            <w:r>
              <w:rPr>
                <w:rFonts w:ascii="Times New Roman" w:hAnsi="Times New Roman" w:cs="Times New Roman"/>
                <w:sz w:val="24"/>
                <w:szCs w:val="24"/>
              </w:rPr>
              <w:t>Insomnia</w:t>
            </w:r>
            <w:bookmarkEnd w:id="0"/>
          </w:p>
        </w:tc>
        <w:tc>
          <w:tcPr>
            <w:tcW w:w="1600" w:type="dxa"/>
          </w:tcPr>
          <w:p>
            <w:pPr>
              <w:spacing w:after="0" w:line="240" w:lineRule="auto"/>
              <w:rPr>
                <w:rFonts w:ascii="Times New Roman" w:hAnsi="Times New Roman" w:cs="Times New Roman"/>
                <w:sz w:val="24"/>
                <w:szCs w:val="24"/>
              </w:rPr>
            </w:pPr>
            <w:r>
              <w:rPr>
                <w:rFonts w:hint="default" w:ascii="Times New Roman" w:hAnsi="Times New Roman" w:cs="Times New Roman"/>
                <w:sz w:val="24"/>
                <w:szCs w:val="24"/>
              </w:rPr>
              <w:t>Airorunsun</w:t>
            </w:r>
          </w:p>
        </w:tc>
        <w:tc>
          <w:tcPr>
            <w:tcW w:w="25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Short term treatment of anxiety disorder occurring alone or associated with insomnia</w:t>
            </w:r>
          </w:p>
        </w:tc>
        <w:tc>
          <w:tcPr>
            <w:tcW w:w="3530" w:type="dxa"/>
          </w:tcPr>
          <w:p>
            <w:pPr>
              <w:spacing w:after="0" w:line="240" w:lineRule="auto"/>
              <w:rPr>
                <w:rFonts w:ascii="Times New Roman" w:hAnsi="Times New Roman" w:cs="Times New Roman"/>
                <w:sz w:val="24"/>
                <w:szCs w:val="24"/>
              </w:rPr>
            </w:pPr>
            <w:r>
              <w:rPr>
                <w:rFonts w:hint="default" w:ascii="Times New Roman" w:hAnsi="Times New Roman" w:cs="Times New Roman"/>
                <w:sz w:val="24"/>
                <w:szCs w:val="24"/>
              </w:rPr>
              <w:t>Ìtọ́jú ìgbà kúkúrù tí rúdúrúdú àìbálẹ̀ tí nwayé níkan tabi ní kànṣẹ̀ pẹ̀lú aìrọrùnsún.</w:t>
            </w:r>
          </w:p>
        </w:tc>
        <w:tc>
          <w:tcPr>
            <w:tcW w:w="9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137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Diazepam</w:t>
            </w:r>
          </w:p>
        </w:tc>
        <w:tc>
          <w:tcPr>
            <w:tcW w:w="17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Insomnia</w:t>
            </w:r>
          </w:p>
        </w:tc>
        <w:tc>
          <w:tcPr>
            <w:tcW w:w="1600" w:type="dxa"/>
          </w:tcPr>
          <w:p>
            <w:pPr>
              <w:spacing w:after="0" w:line="240" w:lineRule="auto"/>
              <w:rPr>
                <w:rFonts w:ascii="Times New Roman" w:hAnsi="Times New Roman" w:cs="Times New Roman"/>
                <w:sz w:val="24"/>
                <w:szCs w:val="24"/>
              </w:rPr>
            </w:pPr>
            <w:r>
              <w:rPr>
                <w:rFonts w:hint="default" w:ascii="Times New Roman" w:hAnsi="Times New Roman" w:cs="Times New Roman"/>
                <w:sz w:val="24"/>
                <w:szCs w:val="24"/>
              </w:rPr>
              <w:t>Airorunsun</w:t>
            </w:r>
          </w:p>
        </w:tc>
        <w:tc>
          <w:tcPr>
            <w:tcW w:w="25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Short term treatment of anxiety and insomnia; status epilepticus, recurrent seizure; febrile convulsions, adjunct in acute alcohol withdrawal, premedication</w:t>
            </w:r>
          </w:p>
        </w:tc>
        <w:tc>
          <w:tcPr>
            <w:tcW w:w="3530" w:type="dxa"/>
          </w:tcPr>
          <w:p>
            <w:pPr>
              <w:spacing w:after="0" w:line="240" w:lineRule="auto"/>
              <w:rPr>
                <w:rFonts w:ascii="Times New Roman" w:hAnsi="Times New Roman" w:cs="Times New Roman"/>
                <w:sz w:val="24"/>
                <w:szCs w:val="24"/>
              </w:rPr>
            </w:pPr>
            <w:r>
              <w:rPr>
                <w:rFonts w:hint="default" w:ascii="Times New Roman" w:hAnsi="Times New Roman" w:cs="Times New Roman"/>
                <w:sz w:val="24"/>
                <w:szCs w:val="24"/>
              </w:rPr>
              <w:t>Ìtọ́jú ìgbà kúkúrù tí àìbálẹ̀ àti àìrọrùnsún; ìpò wàràpà, ìjàgbà tí nwayé; ìrẹ̀wẹ́sì, àdjúńct ni nlá ọ̀tí yiyọ̀ kúró.</w:t>
            </w:r>
          </w:p>
        </w:tc>
        <w:tc>
          <w:tcPr>
            <w:tcW w:w="9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2, 5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137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flunitrazepam</w:t>
            </w:r>
          </w:p>
        </w:tc>
        <w:tc>
          <w:tcPr>
            <w:tcW w:w="1710" w:type="dxa"/>
          </w:tcPr>
          <w:p>
            <w:pPr>
              <w:spacing w:after="0" w:line="240" w:lineRule="auto"/>
              <w:rPr>
                <w:rFonts w:ascii="Times New Roman" w:hAnsi="Times New Roman" w:cs="Times New Roman"/>
                <w:sz w:val="24"/>
                <w:szCs w:val="24"/>
              </w:rPr>
            </w:pPr>
          </w:p>
        </w:tc>
        <w:tc>
          <w:tcPr>
            <w:tcW w:w="1600" w:type="dxa"/>
          </w:tcPr>
          <w:p>
            <w:pPr>
              <w:spacing w:after="0" w:line="240" w:lineRule="auto"/>
              <w:rPr>
                <w:rFonts w:ascii="Times New Roman" w:hAnsi="Times New Roman" w:cs="Times New Roman"/>
                <w:sz w:val="24"/>
                <w:szCs w:val="24"/>
              </w:rPr>
            </w:pPr>
            <w:r>
              <w:rPr>
                <w:rFonts w:hint="default" w:ascii="Times New Roman" w:hAnsi="Times New Roman" w:cs="Times New Roman"/>
                <w:sz w:val="24"/>
                <w:szCs w:val="24"/>
              </w:rPr>
              <w:t>Airorunsun</w:t>
            </w:r>
          </w:p>
        </w:tc>
        <w:tc>
          <w:tcPr>
            <w:tcW w:w="25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Short term management of insomnia</w:t>
            </w:r>
          </w:p>
        </w:tc>
        <w:tc>
          <w:tcPr>
            <w:tcW w:w="3530" w:type="dxa"/>
          </w:tcPr>
          <w:p>
            <w:pPr>
              <w:spacing w:after="0" w:line="240" w:lineRule="auto"/>
              <w:rPr>
                <w:rFonts w:ascii="Times New Roman" w:hAnsi="Times New Roman" w:cs="Times New Roman"/>
                <w:sz w:val="24"/>
                <w:szCs w:val="24"/>
              </w:rPr>
            </w:pPr>
            <w:r>
              <w:rPr>
                <w:rFonts w:hint="default" w:ascii="Times New Roman" w:hAnsi="Times New Roman" w:cs="Times New Roman"/>
                <w:sz w:val="24"/>
                <w:szCs w:val="24"/>
              </w:rPr>
              <w:t>I</w:t>
            </w:r>
            <w:r>
              <w:rPr>
                <w:rFonts w:hint="default" w:ascii="Times New Roman" w:hAnsi="Times New Roman" w:cs="Times New Roman"/>
                <w:sz w:val="24"/>
                <w:szCs w:val="24"/>
                <w:lang w:val="en-US"/>
              </w:rPr>
              <w:t>sa</w:t>
            </w:r>
            <w:r>
              <w:rPr>
                <w:rFonts w:hint="default" w:ascii="Times New Roman" w:hAnsi="Times New Roman" w:cs="Times New Roman"/>
                <w:sz w:val="24"/>
                <w:szCs w:val="24"/>
              </w:rPr>
              <w:t>sọ̀sọ̀ ìgbà kúkúrù tí àìrọrùnsún</w:t>
            </w:r>
          </w:p>
        </w:tc>
        <w:tc>
          <w:tcPr>
            <w:tcW w:w="9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137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Lorazepam</w:t>
            </w:r>
          </w:p>
        </w:tc>
        <w:tc>
          <w:tcPr>
            <w:tcW w:w="1710" w:type="dxa"/>
          </w:tcPr>
          <w:p>
            <w:pPr>
              <w:spacing w:after="0" w:line="240" w:lineRule="auto"/>
              <w:rPr>
                <w:rFonts w:ascii="Times New Roman" w:hAnsi="Times New Roman" w:cs="Times New Roman"/>
                <w:sz w:val="24"/>
                <w:szCs w:val="24"/>
              </w:rPr>
            </w:pPr>
          </w:p>
        </w:tc>
        <w:tc>
          <w:tcPr>
            <w:tcW w:w="1600" w:type="dxa"/>
          </w:tcPr>
          <w:p>
            <w:pPr>
              <w:spacing w:after="0" w:line="240" w:lineRule="auto"/>
              <w:rPr>
                <w:rFonts w:ascii="Times New Roman" w:hAnsi="Times New Roman" w:cs="Times New Roman"/>
                <w:sz w:val="24"/>
                <w:szCs w:val="24"/>
              </w:rPr>
            </w:pPr>
            <w:r>
              <w:rPr>
                <w:rFonts w:hint="default" w:ascii="Times New Roman" w:hAnsi="Times New Roman" w:cs="Times New Roman"/>
                <w:sz w:val="24"/>
                <w:szCs w:val="24"/>
              </w:rPr>
              <w:t>Airorunsun</w:t>
            </w:r>
          </w:p>
        </w:tc>
        <w:tc>
          <w:tcPr>
            <w:tcW w:w="25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Anxiety disorder and short term relief of the symptom of anxiety or insomnia</w:t>
            </w:r>
          </w:p>
        </w:tc>
        <w:tc>
          <w:tcPr>
            <w:tcW w:w="3530" w:type="dxa"/>
          </w:tcPr>
          <w:p>
            <w:pPr>
              <w:spacing w:after="0" w:line="240" w:lineRule="auto"/>
              <w:rPr>
                <w:rFonts w:ascii="Times New Roman" w:hAnsi="Times New Roman" w:cs="Times New Roman"/>
                <w:sz w:val="24"/>
                <w:szCs w:val="24"/>
              </w:rPr>
            </w:pPr>
            <w:r>
              <w:rPr>
                <w:rFonts w:hint="default" w:ascii="Times New Roman" w:hAnsi="Times New Roman" w:cs="Times New Roman"/>
                <w:sz w:val="24"/>
                <w:szCs w:val="24"/>
              </w:rPr>
              <w:t>Ibanujẹ aifọkanbálẹ̀ àti ìdérún ìgbà kúkúrù tí àami aiṣán àti àìbálẹ̀ tabi àìrọrùnsún</w:t>
            </w:r>
          </w:p>
        </w:tc>
        <w:tc>
          <w:tcPr>
            <w:tcW w:w="9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6</w:t>
            </w:r>
          </w:p>
        </w:tc>
        <w:tc>
          <w:tcPr>
            <w:tcW w:w="137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Nitrazepam</w:t>
            </w:r>
          </w:p>
        </w:tc>
        <w:tc>
          <w:tcPr>
            <w:tcW w:w="1710" w:type="dxa"/>
          </w:tcPr>
          <w:p>
            <w:pPr>
              <w:spacing w:after="0" w:line="240" w:lineRule="auto"/>
              <w:rPr>
                <w:rFonts w:ascii="Times New Roman" w:hAnsi="Times New Roman" w:cs="Times New Roman"/>
                <w:sz w:val="24"/>
                <w:szCs w:val="24"/>
              </w:rPr>
            </w:pPr>
          </w:p>
        </w:tc>
        <w:tc>
          <w:tcPr>
            <w:tcW w:w="1600" w:type="dxa"/>
          </w:tcPr>
          <w:p>
            <w:pPr>
              <w:spacing w:after="0" w:line="240" w:lineRule="auto"/>
              <w:rPr>
                <w:rFonts w:ascii="Times New Roman" w:hAnsi="Times New Roman" w:cs="Times New Roman"/>
                <w:sz w:val="24"/>
                <w:szCs w:val="24"/>
              </w:rPr>
            </w:pPr>
            <w:r>
              <w:rPr>
                <w:rFonts w:hint="default" w:ascii="Times New Roman" w:hAnsi="Times New Roman" w:cs="Times New Roman"/>
                <w:sz w:val="24"/>
                <w:szCs w:val="24"/>
              </w:rPr>
              <w:t>Airorunsun</w:t>
            </w:r>
          </w:p>
        </w:tc>
        <w:tc>
          <w:tcPr>
            <w:tcW w:w="25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Short term management of insomnia</w:t>
            </w:r>
          </w:p>
        </w:tc>
        <w:tc>
          <w:tcPr>
            <w:tcW w:w="3530" w:type="dxa"/>
          </w:tcPr>
          <w:p>
            <w:pPr>
              <w:spacing w:after="0" w:line="240" w:lineRule="auto"/>
              <w:rPr>
                <w:rFonts w:ascii="Times New Roman" w:hAnsi="Times New Roman" w:cs="Times New Roman"/>
                <w:sz w:val="24"/>
                <w:szCs w:val="24"/>
              </w:rPr>
            </w:pPr>
          </w:p>
        </w:tc>
        <w:tc>
          <w:tcPr>
            <w:tcW w:w="9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w:t>
            </w:r>
          </w:p>
        </w:tc>
        <w:tc>
          <w:tcPr>
            <w:tcW w:w="137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Zopiclone</w:t>
            </w:r>
          </w:p>
        </w:tc>
        <w:tc>
          <w:tcPr>
            <w:tcW w:w="17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Insomnia</w:t>
            </w:r>
          </w:p>
        </w:tc>
        <w:tc>
          <w:tcPr>
            <w:tcW w:w="1600" w:type="dxa"/>
          </w:tcPr>
          <w:p>
            <w:pPr>
              <w:spacing w:after="0" w:line="240" w:lineRule="auto"/>
              <w:rPr>
                <w:rFonts w:ascii="Times New Roman" w:hAnsi="Times New Roman" w:cs="Times New Roman"/>
                <w:sz w:val="24"/>
                <w:szCs w:val="24"/>
              </w:rPr>
            </w:pPr>
            <w:r>
              <w:rPr>
                <w:rFonts w:hint="default" w:ascii="Times New Roman" w:hAnsi="Times New Roman" w:cs="Times New Roman"/>
                <w:sz w:val="24"/>
                <w:szCs w:val="24"/>
              </w:rPr>
              <w:t>Airorunsun</w:t>
            </w:r>
          </w:p>
        </w:tc>
        <w:tc>
          <w:tcPr>
            <w:tcW w:w="25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Short term treatment of insomnia including difficulty in falling  asleep, nocturnal awakening and early awakening, transient, situational and chronic insomnia, and insomnia secondary to psychiatric disturbances, in situation where the insomnia is debilitating  or is cause by severe distress from patient.</w:t>
            </w:r>
          </w:p>
        </w:tc>
        <w:tc>
          <w:tcPr>
            <w:tcW w:w="3530" w:type="dxa"/>
          </w:tcPr>
          <w:p>
            <w:pPr>
              <w:spacing w:after="0" w:line="240" w:lineRule="auto"/>
              <w:rPr>
                <w:rFonts w:ascii="Times New Roman" w:hAnsi="Times New Roman" w:cs="Times New Roman"/>
                <w:sz w:val="24"/>
                <w:szCs w:val="24"/>
              </w:rPr>
            </w:pPr>
          </w:p>
        </w:tc>
        <w:tc>
          <w:tcPr>
            <w:tcW w:w="9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10" w:type="dxa"/>
          </w:tcPr>
          <w:p>
            <w:pPr>
              <w:spacing w:after="0" w:line="240" w:lineRule="auto"/>
              <w:rPr>
                <w:rFonts w:ascii="Times New Roman" w:hAnsi="Times New Roman" w:cs="Times New Roman"/>
                <w:sz w:val="24"/>
                <w:szCs w:val="24"/>
              </w:rPr>
            </w:pPr>
          </w:p>
        </w:tc>
        <w:tc>
          <w:tcPr>
            <w:tcW w:w="1378" w:type="dxa"/>
          </w:tcPr>
          <w:p>
            <w:pPr>
              <w:spacing w:after="0" w:line="240" w:lineRule="auto"/>
              <w:rPr>
                <w:rFonts w:ascii="Times New Roman" w:hAnsi="Times New Roman" w:cs="Times New Roman"/>
                <w:sz w:val="24"/>
                <w:szCs w:val="24"/>
              </w:rPr>
            </w:pPr>
          </w:p>
        </w:tc>
        <w:tc>
          <w:tcPr>
            <w:tcW w:w="1710" w:type="dxa"/>
          </w:tcPr>
          <w:p>
            <w:pPr>
              <w:spacing w:after="0" w:line="240" w:lineRule="auto"/>
              <w:rPr>
                <w:rFonts w:ascii="Times New Roman" w:hAnsi="Times New Roman" w:cs="Times New Roman"/>
                <w:sz w:val="24"/>
                <w:szCs w:val="24"/>
              </w:rPr>
            </w:pPr>
          </w:p>
        </w:tc>
        <w:tc>
          <w:tcPr>
            <w:tcW w:w="1600" w:type="dxa"/>
          </w:tcPr>
          <w:p>
            <w:pPr>
              <w:spacing w:after="0" w:line="240" w:lineRule="auto"/>
              <w:rPr>
                <w:rFonts w:ascii="Times New Roman" w:hAnsi="Times New Roman" w:cs="Times New Roman"/>
                <w:sz w:val="24"/>
                <w:szCs w:val="24"/>
              </w:rPr>
            </w:pPr>
          </w:p>
        </w:tc>
        <w:tc>
          <w:tcPr>
            <w:tcW w:w="2530" w:type="dxa"/>
          </w:tcPr>
          <w:p>
            <w:pPr>
              <w:spacing w:after="0" w:line="240" w:lineRule="auto"/>
              <w:rPr>
                <w:rFonts w:ascii="Times New Roman" w:hAnsi="Times New Roman" w:cs="Times New Roman"/>
                <w:sz w:val="24"/>
                <w:szCs w:val="24"/>
              </w:rPr>
            </w:pPr>
          </w:p>
        </w:tc>
        <w:tc>
          <w:tcPr>
            <w:tcW w:w="3530" w:type="dxa"/>
          </w:tcPr>
          <w:p>
            <w:pPr>
              <w:spacing w:after="0" w:line="240" w:lineRule="auto"/>
              <w:rPr>
                <w:rFonts w:ascii="Times New Roman" w:hAnsi="Times New Roman" w:cs="Times New Roman"/>
                <w:sz w:val="24"/>
                <w:szCs w:val="24"/>
              </w:rPr>
            </w:pPr>
          </w:p>
        </w:tc>
        <w:tc>
          <w:tcPr>
            <w:tcW w:w="908"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8</w:t>
            </w:r>
          </w:p>
        </w:tc>
        <w:tc>
          <w:tcPr>
            <w:tcW w:w="137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aripiprazole</w:t>
            </w:r>
          </w:p>
        </w:tc>
        <w:tc>
          <w:tcPr>
            <w:tcW w:w="17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Psychotic disorder (depressive disorder)</w:t>
            </w:r>
          </w:p>
        </w:tc>
        <w:tc>
          <w:tcPr>
            <w:tcW w:w="1600" w:type="dxa"/>
          </w:tcPr>
          <w:p>
            <w:pPr>
              <w:spacing w:after="0" w:line="240" w:lineRule="auto"/>
              <w:rPr>
                <w:rFonts w:ascii="Times New Roman" w:hAnsi="Times New Roman" w:cs="Times New Roman"/>
                <w:sz w:val="24"/>
                <w:szCs w:val="24"/>
              </w:rPr>
            </w:pPr>
          </w:p>
        </w:tc>
        <w:tc>
          <w:tcPr>
            <w:tcW w:w="25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Schizophrenia; Moderate to severe manic episodes of bipolar  disorder; adjunctive treatment of major depressive disorder</w:t>
            </w:r>
          </w:p>
        </w:tc>
        <w:tc>
          <w:tcPr>
            <w:tcW w:w="3530" w:type="dxa"/>
          </w:tcPr>
          <w:p>
            <w:pPr>
              <w:spacing w:after="0" w:line="240" w:lineRule="auto"/>
              <w:rPr>
                <w:rFonts w:ascii="Times New Roman" w:hAnsi="Times New Roman" w:cs="Times New Roman"/>
                <w:sz w:val="24"/>
                <w:szCs w:val="24"/>
              </w:rPr>
            </w:pPr>
          </w:p>
        </w:tc>
        <w:tc>
          <w:tcPr>
            <w:tcW w:w="9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9</w:t>
            </w:r>
          </w:p>
        </w:tc>
        <w:tc>
          <w:tcPr>
            <w:tcW w:w="137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Chlorpromazine</w:t>
            </w:r>
          </w:p>
        </w:tc>
        <w:tc>
          <w:tcPr>
            <w:tcW w:w="1710" w:type="dxa"/>
          </w:tcPr>
          <w:p>
            <w:pPr>
              <w:spacing w:after="0" w:line="240" w:lineRule="auto"/>
              <w:rPr>
                <w:rFonts w:ascii="Times New Roman" w:hAnsi="Times New Roman" w:cs="Times New Roman"/>
                <w:sz w:val="24"/>
                <w:szCs w:val="24"/>
              </w:rPr>
            </w:pPr>
          </w:p>
        </w:tc>
        <w:tc>
          <w:tcPr>
            <w:tcW w:w="1600" w:type="dxa"/>
          </w:tcPr>
          <w:p>
            <w:pPr>
              <w:spacing w:after="0" w:line="240" w:lineRule="auto"/>
              <w:rPr>
                <w:rFonts w:ascii="Times New Roman" w:hAnsi="Times New Roman" w:cs="Times New Roman"/>
                <w:sz w:val="24"/>
                <w:szCs w:val="24"/>
              </w:rPr>
            </w:pPr>
          </w:p>
        </w:tc>
        <w:tc>
          <w:tcPr>
            <w:tcW w:w="25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Schizophrenia  and other psychotic disorder, mania, psychomotor agitation, and violent behavior; adjunct in severe anxiety</w:t>
            </w:r>
          </w:p>
        </w:tc>
        <w:tc>
          <w:tcPr>
            <w:tcW w:w="3530" w:type="dxa"/>
          </w:tcPr>
          <w:p>
            <w:pPr>
              <w:spacing w:after="0" w:line="240" w:lineRule="auto"/>
              <w:rPr>
                <w:rFonts w:ascii="Times New Roman" w:hAnsi="Times New Roman" w:cs="Times New Roman"/>
                <w:sz w:val="24"/>
                <w:szCs w:val="24"/>
              </w:rPr>
            </w:pPr>
          </w:p>
        </w:tc>
        <w:tc>
          <w:tcPr>
            <w:tcW w:w="9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25, 100</w:t>
            </w:r>
          </w:p>
        </w:tc>
      </w:tr>
    </w:tbl>
    <w:p>
      <w:pPr>
        <w:rPr>
          <w:rFonts w:ascii="Times New Roman" w:hAnsi="Times New Roman" w:cs="Times New Roman"/>
          <w:sz w:val="24"/>
          <w:szCs w:val="24"/>
        </w:rPr>
      </w:pPr>
    </w:p>
    <w:tbl>
      <w:tblPr>
        <w:tblStyle w:val="4"/>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576"/>
        <w:gridCol w:w="1976"/>
        <w:gridCol w:w="2254"/>
        <w:gridCol w:w="3544"/>
        <w:gridCol w:w="124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Clozapine</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Schizophrenia in patient who are non-responsive to or intolerant of classical neuroleptic</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11</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fluphenazine</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Maintenance of Schizophrenia and other psychoses</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12</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haloperidol</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Schizophrenia  and other psychotic disorder, mania, psychomotor agitation, and violent behavior; adjunct in severe anxiety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2, 3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13</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olanzapine</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Acute and maintenance treatment of  Schizophrenia, bipolar disorder, and other psychoses. Alleviate secondary affective symptom commonly associated with Schizophrenia and related disorders. Treatment of moderate to severe  manic episode. Prevention of recurrence in patients with bipolar disorder</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14</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amitriptyline</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Depressive disorders</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Moderate to severe depression</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15</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citalopram</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Treatment of depressive illness in the initial phase and as maintenance against potential against relapse/recurrence; panic disorder with or without agoraphobia.</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20ml, (syrup 10ml per 5ml)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16</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fluoxetine</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Moderate to severe major depression</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17</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imipramine</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Depressive states of varying aetiology and symptomatology including mask forms; panic attacks, chronic painful condition; pavor nocturnal enuresis</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18</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paroxetine</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Treatment of symptom of depressive illness of all types  including reactive and severe depression accompanied by anxiety; follow an initial satisfactory response, continued therapy is effective in preventing relapse of depression. Treatment of symptom and prevention of relapse of obsessive  compulsive disorder (OCD).generalized anxiety disorder, and also panic disorder with or without agoraphobia, treatment of social anxiety disorder/social phobia and post-traumatic stress disorder.</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19</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carbamazepine</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Bipolar disorders</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Prophylaxis of  bipolar disorders unresponsive to or intolerant of lithium , epilepsy, trigeminal neuralgia</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100, 200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lithium</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Treatment Prophylaxis of mania, Prophylaxis of bipolar disorder and recurrent depression</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21</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Valproic acid</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Acute mania, epilepsy</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200, 500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22</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clomipramine</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Obsessive-cmpulsive disorder and panic attacks</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Phobic and obsessional state; panic attacks</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10, 25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23</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Levodopa + carbidopa</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parkinsonism</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All form of parkinsonism other than drug induced</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Levodopa 100ml, carbidopa 10ml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24</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Benzhexol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Extrapyramidal syndrome (but not tardive dyskinesia) induced by drugs such as phenothiazines and reserpine; adjunctive treatment of Parkinson’s disease</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2, 5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25</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bromocriptine</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Parkinson’s disease but not drug- induced extrapyramidal  symptoms, endocrine disorders.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5, 10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26</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carbamazepine</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convulsants (epileptics)</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Generalized tonic-clonic and partial seizures; trigeminal neuralgia ; bipolar disorder</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100, 200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27</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diazepam</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Status epilepticus; emergency treatment of recurrent seizures associated with poisoning and drug withdrawal; adjunct in acute alcohol withdrawal; premedication; anxiety disorders.</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28</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ethosuximide</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Absent seizures</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250, (oral 5ml)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29</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gabapentin</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As adjunctive therapy for partial seizure with and without secondary generalization in adult and adolescent  (&gt;12 years); peripheral neurophatic pain such as painful diabetic neurophy and post –herpetic neuralgia in adult</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100,300, 400</w:t>
            </w:r>
          </w:p>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30</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paraldehyde</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Status epileticus</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(Oral 5ml, 10ml)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31</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phenytoin</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Generalize tonic-clonic seizures; status epileticus</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25, 50,100 (5ml)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Aspirin (acetylsalicylic acid)</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Non-opioid analgesics and antipyretics</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Mild to moderate pain including dysmenorrhoea, headache; pain and inflammation in rheumatic disease and other(musculoskeletal disorder.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100-500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32</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Paracetamol (acetaminophen)</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Mild to moderate pain including dysmenorrhoea, headache; pain relief in osteoarthtis and soft tissue lesions; pyrexia including post immunization pyrexia; acute migraine attack</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100-500, 5ml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33</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codeine</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Opioid analgesics</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Mild to moderate pain; diarrhoea</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34</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morphine</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Severe pain (acute and chronic); myocardial infarction, acute pulmonary oedema; adjunct during major surgery and postoperative analgesia</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 30, 60, (5ml)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35</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pentazocine</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Moderate to severe pain</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25, 50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36</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Aspirin </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Analgesics</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Acute migraine attacks; tension headache; pyrexia, mild to moderate pain and inflammation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300-500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35</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Paracetamol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Acute migraine attacks; tension headache; pyrexia, mild to moderate pain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300-500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36</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Ibuprofen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Acute migraine attacks; tension headache; pyrexia, mild to moderate pain and inflammation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200, 400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37</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Aceclofenac </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rheumatics</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Relief of pain and inflammation associated rheumatold arthritis, osteoarthritis or ankylosing spondylitis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100, 200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38</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Diclofenac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Inflammatory and degenerative form of rheumatism; acute musculoskeletal disorders; acute gout, post-operative and post-traumatic inflammation  and swelling; painful and/ or inflammatory conditions in gynaecology</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25-100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39</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Ibuprofen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Pain and inflammation in rheumatic disease and other musculo-skeletal  disorders  including juvenile arthritis; mild to moderate pain including headache, pain in children, Acute migraine attacks</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200, 400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40</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Celecoxib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Osteoarthritis; rheumatoid arthristis. Management of acute pain; treatment of primary dysmennorhea.</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41</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Naproxen</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Rheumatoid arthritis, osteoarthritis, ankylosing, spondylitis, acute musculoskeletal disorders and dysmennorhoea, acute gout juvenile arthritis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250, 500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42</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Tenoxicam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Management of pain and inflammation in rheumatic disease and other musculoskeletal disorders</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43</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Colchicines </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Acute gout</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Acute gout; short term prophylaxis during initial therapy with allopurinol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44</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Allopurinol </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Chronic gout </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Prophylaxis of gout; Prophylaxis of hyperuricaemia associated with cancer chemotherapy.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45</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Pheniramidol </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Skeletal muscle relaxants (antispasmodics)</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Treatment of acute conditions of lumbago, acute musculo-skeletal pain and integumental pain</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400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46</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Orphenadrine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Pain due to spasm of voluntary muscle in injury, strains, sprains.</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47</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Tizanidine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Painful muscle spasms associated with static and function disorders of the spine and following surgery.</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2, 4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48</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methylsalicylate</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rheumatisms </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Relief of pain, swelling, stiffness associated with rheumatism and other musculo-skeletal disorders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15, 30 (oral 135ml)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49</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Ketoprofen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Acute, painful musculoskeletal condition cause by trauma such as sports injuries; strains, sprains and contusions</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2.5, 30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50</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Ibuprofen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51</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ketamine</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General anaesthetics and oxygen</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Induction and maintenance of anaesthesia; analgesia for painful procedures of short duration</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50 (oral 10ml, 20ml)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52</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propofol</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Induction and maintenance of anaesthesia; sedation of ventilated adult patient receiving intensive care</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 200 (20ml, 50ml)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53</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Nitrous oxide </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Inhalational gases</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Maintenance of anaesthesia in combination with other anaesthetic agents and muscle relaxants; analgesia for obstetric practice, for emergency management of injury and refractory pain in terminal illness </w:t>
            </w: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54</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Oxygen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maintain an adequate oxygen tension in inhalational anaesthesia. </w:t>
            </w: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55</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Alcuronium </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Muscle relaxants</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Muscle relation during surgery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 (oral 2ml)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56</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Vecuronium</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Muscle relation during surgery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57</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pancuronium</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As an adjunct to general anaesthesia, to facilitate tracheal intubation  and to provide skeletal muscle relaxation during surgery or mechanical ventilation.</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 (oral 2ml)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58</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Bupivacaine </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Local anaesthetics </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Infiltration anaesthesia; peripheral and sympathetic nerve block; spinal anaesthesia; postoperative pain relief.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10ml, 20ml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59</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Aluminium hydroxide </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Antacids </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Ulcer and non-ulcer dyspepsia; gastro-oesophageal reflux; hyperpos-phataemia</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500 (oral 5ml)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60</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Magnesium hydroxide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Ulcer and non-ulcer dyspepsia; gastro-oesophageal reflux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550 (oral 10ml)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61</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Sodium hydrogen carbonate (oral)</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Symptomatic relief  of wind, griping, pain, colic, hyperacity and dyspepsia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(10-15ml)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62</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Cimetidine </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Ulcer </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Duodenal ulcer, benign gastric ulcer, recurrent and stomal ulceration, oesophageal reflux disease and other conditions where reduction of gastric acid I beneficial such as persistent dyspeptic symptoms particularly meal related</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200, 400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63</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Famotidine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Duodenal ulcer  and  gastric ulcer</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40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64</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Ranitidine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benign  gastric, Duodenal ulcer, gastro- oesophageal reflux, Zollinger-Ellison syndrome, other conditions where gastric acid reduction is beneficial.</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150 (oral 2ml, 5ml)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65</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Rabeprazole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Treatment of active duodenal ulcer; benign;  gastric ulcer; symptomatic erosive  or ulcerative gastro- oesophageal reflux disease.</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66</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Oral rehydration salt (glucose anhydrous,  sodium chloride, potassium chloride)</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diarrhoea</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Dehydration from acute diarrhoea</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(oral 5ml, 20ml, 75ml, 200ml, 400ml)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67</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Zinc sulphate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Adjunct to oral rehydration therapy in acute diarrhoea</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 20 (syrup 5ml)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68</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Codeine </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Motility</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Short term symptomatic relief of acute diarrhea in adult; pain</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69</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Loperamide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Symptomatic control of acute and chronic diarrhoea when inhibitions of peristalsis is indicated; to decrease the volume ileostomy discharge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70</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Bisacodyl </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laxative</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Treatment of constipation; bowel clearance before surgery, labour, radiological examination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5, 10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71</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Castor oil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Relief of occasional constipation</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(Oral 70ml)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71</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Liquid paraffin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Constipation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 10, 200ml)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72</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Magnesium hydroxide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Short term treatment of occasional Constipation and  symptoms of hyperacidity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(oral 10-20ml)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73</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Senna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Constipation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74</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Cinnarizine </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Antiemetic</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Vestibular disorders such as vertigo, tinnitus, giddiness, nausea, and vomiting in meniere’s syndrome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25, 75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75</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Domperidone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Post-prandial symptoms of fullness, nausea, epigastric bloating belching that is occasional accompanied by epigastric discomfort and heartburn</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76</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Ondansetron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Nausea and vomiting induce by cytotoxic chemotherapy and radio therapy; post-operative nausea and vomiting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4, 8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77</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promethazine</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Nausea, vomiting and labyrinthine disorders, motion sickness, premedication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10, 25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78</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Hydrocortisone </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Inflammation </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Ulcerative colitis, proctitis, sigmoiditis; anaphylaxis, skin; adrenocortical  insufficiency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79</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sulfasalazine</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Ulcerative colitis; crohn disease; severe rheumatoid</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80</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Silymarin </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Bile and liver therapy </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Infective hepatitis, alcohol liver disease, toxic metabolic liver damages, mushroom poisoning.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81</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Ursodeoxycholic acid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Ursodiol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150,  250, 300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82</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captopril</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Heart failure </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Management of hypertension and treatment of CHF; also in hypertensive crisis; diabetic nephropathy.</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12.5, 25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83</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Digoxin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Heart failure,arrhythmias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0.0625, 0.125. 0.25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84</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Dopamine</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Cardiogenic shock in MI or cardiac surgery</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(Oral 5ml)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85</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Enalapril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Heart failure; hypertension</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86</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furozemide</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Heart failure; hypertension</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40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87</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Hydrochlorothiazi de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Heart failure; hypertension; oedema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88</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Bendrofluazide </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Low ceiling diuretics</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Hypertension, oedema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2.5, 5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89</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Hydrochlorothiazi de</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Oedema, diabetes insipidus, heart failure; hypertension</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25, 50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90</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indapamide</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Essential hypertension</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1.5,  2.5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91</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Furozemide </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High-ceiling diuretics</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Oedema; oliguria due to renal failure</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40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92</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Torsemide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Oedema; renal disease; hepatic disease; hypertension</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10, 20, 100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93</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Atenolol </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Hypertension </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Hypertension, angina, arrhythmias; migraine prophylaxis</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50, 100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94</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Bisoprolol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Mild to moderate hypertension and angina pectoris</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2.5, 5, 10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95</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Carvedilol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Management of hypertension and angina pectoris, heart failure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6.25, 12.5, 25</w:t>
            </w:r>
          </w:p>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96</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labetalol</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rapid control of blood pressure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100, 200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97</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Metoprolol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Hypertension, angina, arrhythmias; migraine prophylaxis</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25, 50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98</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Nebivolol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Treatment of essential hypertension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99</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Lidocaine </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Arrhythmias </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Ventricular arrhythmias; local anaesthesia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(Oral 5ml)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100</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Verapamil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supraventricular arrhythmias; angina </w:t>
            </w: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101</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Quinidine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Suppression of supraventricular  arrhythmias and Ventricular arrhythmias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102</w:t>
            </w: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Angina </w:t>
            </w: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bl>
    <w:p>
      <w:pPr>
        <w:rPr>
          <w:rFonts w:ascii="Times New Roman" w:hAnsi="Times New Roman" w:cs="Times New Roman"/>
          <w:sz w:val="24"/>
          <w:szCs w:val="24"/>
        </w:rPr>
      </w:pPr>
    </w:p>
    <w:sectPr>
      <w:pgSz w:w="15840" w:h="12240" w:orient="landscape"/>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Cantarell">
    <w:panose1 w:val="00000000000000000000"/>
    <w:charset w:val="00"/>
    <w:family w:val="auto"/>
    <w:pitch w:val="default"/>
    <w:sig w:usb0="E00002FF" w:usb1="4000217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6424AF"/>
    <w:rsid w:val="000227AC"/>
    <w:rsid w:val="0005023A"/>
    <w:rsid w:val="00062E25"/>
    <w:rsid w:val="0009652F"/>
    <w:rsid w:val="000D6161"/>
    <w:rsid w:val="000D797D"/>
    <w:rsid w:val="000F1C0B"/>
    <w:rsid w:val="000F5310"/>
    <w:rsid w:val="00102605"/>
    <w:rsid w:val="0010619F"/>
    <w:rsid w:val="00134C38"/>
    <w:rsid w:val="00154D12"/>
    <w:rsid w:val="00154FB9"/>
    <w:rsid w:val="00165EDC"/>
    <w:rsid w:val="001B1FBA"/>
    <w:rsid w:val="00241286"/>
    <w:rsid w:val="00257C90"/>
    <w:rsid w:val="00275900"/>
    <w:rsid w:val="00282F72"/>
    <w:rsid w:val="002A7E51"/>
    <w:rsid w:val="002B6B1C"/>
    <w:rsid w:val="002D0CD6"/>
    <w:rsid w:val="002F324A"/>
    <w:rsid w:val="00311769"/>
    <w:rsid w:val="00323A56"/>
    <w:rsid w:val="00351229"/>
    <w:rsid w:val="00363391"/>
    <w:rsid w:val="00394421"/>
    <w:rsid w:val="003D04FD"/>
    <w:rsid w:val="003F1A43"/>
    <w:rsid w:val="0041760D"/>
    <w:rsid w:val="0042189F"/>
    <w:rsid w:val="0042225F"/>
    <w:rsid w:val="00442E5F"/>
    <w:rsid w:val="00451F63"/>
    <w:rsid w:val="004946DE"/>
    <w:rsid w:val="004B778D"/>
    <w:rsid w:val="004D0318"/>
    <w:rsid w:val="004D41A4"/>
    <w:rsid w:val="005943B7"/>
    <w:rsid w:val="005A1110"/>
    <w:rsid w:val="005F1E77"/>
    <w:rsid w:val="005F510F"/>
    <w:rsid w:val="006424AF"/>
    <w:rsid w:val="00690ED6"/>
    <w:rsid w:val="006A244A"/>
    <w:rsid w:val="006D3560"/>
    <w:rsid w:val="006E2BF9"/>
    <w:rsid w:val="00700D6B"/>
    <w:rsid w:val="007102A7"/>
    <w:rsid w:val="00713529"/>
    <w:rsid w:val="00713645"/>
    <w:rsid w:val="007B70C0"/>
    <w:rsid w:val="00813306"/>
    <w:rsid w:val="00827B69"/>
    <w:rsid w:val="00833021"/>
    <w:rsid w:val="00856F58"/>
    <w:rsid w:val="00863336"/>
    <w:rsid w:val="0087720D"/>
    <w:rsid w:val="00894BC3"/>
    <w:rsid w:val="008D2504"/>
    <w:rsid w:val="008F3FCF"/>
    <w:rsid w:val="008F4522"/>
    <w:rsid w:val="00932EEE"/>
    <w:rsid w:val="00956A38"/>
    <w:rsid w:val="00990EE0"/>
    <w:rsid w:val="009D5B4F"/>
    <w:rsid w:val="009E6F70"/>
    <w:rsid w:val="00AA5D0F"/>
    <w:rsid w:val="00AA6E91"/>
    <w:rsid w:val="00AD763F"/>
    <w:rsid w:val="00B016CB"/>
    <w:rsid w:val="00B15EBD"/>
    <w:rsid w:val="00B22A1D"/>
    <w:rsid w:val="00B40A8E"/>
    <w:rsid w:val="00B83319"/>
    <w:rsid w:val="00B9571F"/>
    <w:rsid w:val="00BA29C5"/>
    <w:rsid w:val="00BB3EA6"/>
    <w:rsid w:val="00BE1E5C"/>
    <w:rsid w:val="00BF1EB1"/>
    <w:rsid w:val="00C07413"/>
    <w:rsid w:val="00C22634"/>
    <w:rsid w:val="00CA0ADF"/>
    <w:rsid w:val="00CA5B9D"/>
    <w:rsid w:val="00D01C06"/>
    <w:rsid w:val="00D13E42"/>
    <w:rsid w:val="00D46B53"/>
    <w:rsid w:val="00D70642"/>
    <w:rsid w:val="00DB0AE6"/>
    <w:rsid w:val="00DC3C99"/>
    <w:rsid w:val="00E070EB"/>
    <w:rsid w:val="00E43661"/>
    <w:rsid w:val="00F157D5"/>
    <w:rsid w:val="00F77400"/>
    <w:rsid w:val="00F82944"/>
    <w:rsid w:val="00F878E2"/>
    <w:rsid w:val="00F965C7"/>
    <w:rsid w:val="00FA29DC"/>
    <w:rsid w:val="2F9FE8D7"/>
    <w:rsid w:val="7797B004"/>
    <w:rsid w:val="7FE5FC57"/>
    <w:rsid w:val="EBDF4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16</Pages>
  <Words>2229</Words>
  <Characters>12708</Characters>
  <Lines>105</Lines>
  <Paragraphs>29</Paragraphs>
  <TotalTime>379</TotalTime>
  <ScaleCrop>false</ScaleCrop>
  <LinksUpToDate>false</LinksUpToDate>
  <CharactersWithSpaces>14908</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2023-03-24T10:41:00Z</dcterms:created>
  <dc:creator>DELL</dc:creator>
  <cp:lastModifiedBy>gabriel</cp:lastModifiedBy>
  <dcterms:modified xsi:type="dcterms:W3CDTF">2023-04-10T12:29:30Z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