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5893"/>
      </w:tblGrid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ESTRUTURA DA EMPRESA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A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Saipos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foi fundada em 2017 e é o segundo empreendimento dos sócios. Anteriormente, eles fundaram a Devorando, vendida ao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iFood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em 2016. A estrutura executiva é composta por quatro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founders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, sendo três deles C-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level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.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Kenner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Grings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é o responsável por Produto, Tecnologia e Suporte. Anderson é o CRO, e Bruno é o CEO, olhando para People, Financeiro, Implantação e CS. A empresa tem cerca de 13.000 clientes atualmente, com a meta de alcançar 22.000 a 24.000 clientes até março do próximo ano. O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iFood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é o acionista majoritário após um novo aporte, mas a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Saipos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mantém autonomia operacional significativa.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SETOR, CONCORRÊNCIA E DIFERENCIAIS COMPETITIVOS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A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Saipos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atua no setor de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food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service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, fornecendo software de gestão e operação (PDV e ERP) para restaurantes, focando na "porta para dentro" do negócio. O mercado é altamente fragmentado no Brasil, com cerca de 1,2 milhão de restaurantes e muitos players regionais. A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Saipos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se posiciona como um potencial novo líder de mercado (visando atender 100.000 restaurantes). A concorrência inclui Links,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Totus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, Colibri,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Consumer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, Yoga, Cardápio Web e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Vuca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Delivery. Os diferenciais competitivos são: ser um sistema 100% em nuvem/online (capilaridade nacional), ser o maior integrador de pedidos do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iFood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no Brasil (10% dos pedidos passam pelo PDV da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Saipos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), e ter mais de 70 ferramentas. O público-alvo (ICP) são restaurantes que faturam entre R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33"/>
                <w:szCs w:val="33"/>
              </w:rPr>
              <w:t>70.000</w:t>
            </w:r>
            <w:r w:rsidRPr="00971FBB">
              <w:rPr>
                <w:rFonts w:ascii="KaTeX_Math" w:eastAsia="Times New Roman" w:hAnsi="KaTeX_Math" w:cs="Times New Roman"/>
                <w:i/>
                <w:iCs/>
                <w:color w:val="131314"/>
                <w:sz w:val="33"/>
                <w:szCs w:val="33"/>
              </w:rPr>
              <w:t>eR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 500.000.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MOMENTO / CONTEXTO DA EMPRESA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A empresa vive um momento de crescimento acelerado e expansão, impulsionado pelo novo aporte e pela entrada do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iFood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como acionista majoritário. O desafio central que gerou a posição é a necessidade de reduzir o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churn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e transformar a área de suporte de um centro de custo para uma área de promoção da empresa, reconhecida pela qualidade do atendimento.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PRINCIPAIS DESAFIOS ATUAIS DA EMPRESA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O principal desafio estratégico é atingir a meta agressiva de crescimento da base de clientes (de 13.000 para 22.000 a 24.000 clientes até março). Isso exige manter a máquina de crescimento aquecida e, simultaneamente, reduzir a taxa de cancelamento (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churn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) por meio de uma melhor experiência de suporte.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PRINCIPAIS OBJETIVOS E 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lastRenderedPageBreak/>
              <w:t>DESAFIOS DA VAGA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lastRenderedPageBreak/>
              <w:t>Resultados esperados (os três grandes objetivos) são: reduzir a densidade de chamados (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contact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rate) de 2.4 para 1.3; alcançar 90% dos acionamentos atendidos 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lastRenderedPageBreak/>
              <w:t>em primeira resposta do agente em até 1 minuto (atualmente em 60%); e atingir um CESAT de 98. O objetivo principal é a melhoria contínua, transformando o suporte em um promotor do negócio. As barreiras incluem a necessidade de estruturar a área de dados (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dashboards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, painéis de acompanhamento) e repensar as métricas e o dimensionamento do time (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capacity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planning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).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lastRenderedPageBreak/>
              <w:t>REPORTE DIRETO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Kenner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Grings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(C-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level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responsável por Produto, Tecnologia e Suporte).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EQUIPE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O time de suporte lida com cerca de 25.000 acionamentos por mês, majoritariamente via chat e WhatsApp. A equipe atualmente tem quatro supervisores, com planos de expandir para seis, cobrindo três filas de atendimento (generalista, impressões, integrações e fiscal). Há também um time de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backoffice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(para demandas que não se resolvem via chat/e-mail) e um time N3 (para bugs e problemas de produto). O time de Qualidade e Treinamento reporta a um supervisor.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LOCALIDADE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São Leopoldo, RS (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Tecnosinos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). O time de suporte é híbrido, com estagiários e juniores presenciais obrigatórios. Para a gestão, a preferência é por disponibilidade presencial/híbrida (flexibilização possível após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onboarding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de 30-60 dias).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MODELO DE CONTRATAÇÃO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PJ (Pessoa Jurídica).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SALÁRIO FIXO MENSAL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Faixa salarial de R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33"/>
                <w:szCs w:val="33"/>
              </w:rPr>
              <w:t>28.000(</w:t>
            </w:r>
            <w:proofErr w:type="gramStart"/>
            <w:r w:rsidRPr="00971FBB">
              <w:rPr>
                <w:rFonts w:ascii="KaTeX_Math" w:eastAsia="Times New Roman" w:hAnsi="KaTeX_Math" w:cs="Times New Roman"/>
                <w:i/>
                <w:iCs/>
                <w:color w:val="131314"/>
                <w:sz w:val="33"/>
                <w:szCs w:val="33"/>
              </w:rPr>
              <w:t>alvo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33"/>
                <w:szCs w:val="33"/>
              </w:rPr>
              <w:t>)</w:t>
            </w:r>
            <w:proofErr w:type="spellStart"/>
            <w:r w:rsidRPr="00971FBB">
              <w:rPr>
                <w:rFonts w:ascii="KaTeX_Math" w:eastAsia="Times New Roman" w:hAnsi="KaTeX_Math" w:cs="Times New Roman"/>
                <w:i/>
                <w:iCs/>
                <w:color w:val="131314"/>
                <w:sz w:val="33"/>
                <w:szCs w:val="33"/>
              </w:rPr>
              <w:t>ate</w:t>
            </w:r>
            <w:r w:rsidRPr="00971FBB">
              <w:rPr>
                <w:rFonts w:ascii="Times New Roman" w:eastAsia="Times New Roman" w:hAnsi="Times New Roman" w:cs="Times New Roman"/>
                <w:color w:val="131314"/>
                <w:sz w:val="33"/>
                <w:szCs w:val="33"/>
              </w:rPr>
              <w:t>ˊ</w:t>
            </w:r>
            <w:r w:rsidRPr="00971FBB">
              <w:rPr>
                <w:rFonts w:ascii="KaTeX_Math" w:eastAsia="Times New Roman" w:hAnsi="KaTeX_Math" w:cs="Times New Roman"/>
                <w:i/>
                <w:iCs/>
                <w:color w:val="131314"/>
                <w:sz w:val="33"/>
                <w:szCs w:val="33"/>
              </w:rPr>
              <w:t>R</w:t>
            </w:r>
            <w:proofErr w:type="spellEnd"/>
            <w:proofErr w:type="gram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 35.000 (para um candidato excepcional), em 12 notas.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REMUNERAÇÃO VARIÁVEL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Bônus variável de duas vezes o salário (anual), com primeiro gatilho de liberação ativado ao atingir 85% da meta de crescimento de clientes da empresa. Inclui 30 dias de férias remuneradas e plano de saúde.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EXPERIÊNCIA PROFISSIONAL IDEAL DO EXECUTIVO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Experiência em empresas de RP/SAS de alto volume de atendimento, como Conta Azul,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Bling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, King Host e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Zenvia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. Necessita de histórico de desenvolvimento de software em escala, preferencialmente com foco em processos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Kanban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. Deve ter experiência com suporte a clientes de perfil menos técnico (próximo de B2C) e senso de urgência na resolução de problemas (diferente de e-commerce). Valoriza-se experiência em uso de dados e IA para otimizar atendimento e dimensionamento.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lastRenderedPageBreak/>
              <w:t>HISTÓRICO ACADÊMICO IDEAL DO EXECUTIVO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Não foi mencionada uma formação acadêmica específica obrigatória.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CORE SKILL IDEAL 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Competências analíticas. Essencial para estruturar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dashboards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, métricas e o dimensionamento da equipe de suporte, transformando dados em melhoria contínua e resultados.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CORE SKILL IDEAL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Proatividade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e Iniciativa. Necessário para ser propositivo na implementação de projetos e alternativas que visem atingir as metas agressivas de </w:t>
            </w:r>
            <w:proofErr w:type="spellStart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contact</w:t>
            </w:r>
            <w:proofErr w:type="spellEnd"/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 xml:space="preserve"> rate e tempo de resposta.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CORE SKILL IDEAL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Agilidade. Crucial para atuar em um ambiente de alto volume (25k acionamentos/mês) e senso de urgência, garantindo que 90% dos chamados sejam atendidos em 1 minuto.</w:t>
            </w:r>
          </w:p>
        </w:tc>
      </w:tr>
      <w:tr w:rsidR="00971FBB" w:rsidRPr="00971FBB" w:rsidTr="00971FBB"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REQUISITOS ESPECÍFICOS PARA O EXECUTIVO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71FBB" w:rsidRPr="00971FBB" w:rsidRDefault="00971FBB" w:rsidP="00971FBB">
            <w:pPr>
              <w:spacing w:line="240" w:lineRule="auto"/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</w:pPr>
            <w:r w:rsidRPr="00971FBB">
              <w:rPr>
                <w:rFonts w:ascii="Times New Roman" w:eastAsia="Times New Roman" w:hAnsi="Times New Roman" w:cs="Times New Roman"/>
                <w:color w:val="131314"/>
                <w:sz w:val="27"/>
                <w:szCs w:val="27"/>
              </w:rPr>
              <w:t>Prioridade para disponibilidade presencial/híbrida em São Leopoldo. Experiência em suporte para clientes não-técnicos (proprietários de restaurante/funcionários). Foco em melhoria contínua e resultados. Inglês desejável para documentação.</w:t>
            </w:r>
          </w:p>
        </w:tc>
      </w:tr>
    </w:tbl>
    <w:p w:rsidR="00682634" w:rsidRPr="00971FBB" w:rsidRDefault="00682634" w:rsidP="00971FBB">
      <w:bookmarkStart w:id="0" w:name="_GoBack"/>
      <w:bookmarkEnd w:id="0"/>
    </w:p>
    <w:sectPr w:rsidR="00682634" w:rsidRPr="00971FBB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B1B7E2-B85A-4765-91FD-0B2E18AF0E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666B87-031A-4463-B86D-619EDC8C3A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634"/>
    <w:rsid w:val="00682634"/>
    <w:rsid w:val="0097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17D11E-1F46-44A9-B8FF-DCAE8F6C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ng-star-inserted">
    <w:name w:val="ng-star-inserted"/>
    <w:basedOn w:val="Fontepargpadro"/>
    <w:rsid w:val="00971FBB"/>
  </w:style>
  <w:style w:type="character" w:customStyle="1" w:styleId="mord">
    <w:name w:val="mord"/>
    <w:basedOn w:val="Fontepargpadro"/>
    <w:rsid w:val="00971FBB"/>
  </w:style>
  <w:style w:type="character" w:customStyle="1" w:styleId="mopen">
    <w:name w:val="mopen"/>
    <w:basedOn w:val="Fontepargpadro"/>
    <w:rsid w:val="00971FBB"/>
  </w:style>
  <w:style w:type="character" w:customStyle="1" w:styleId="mclose">
    <w:name w:val="mclose"/>
    <w:basedOn w:val="Fontepargpadro"/>
    <w:rsid w:val="00971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842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3</cp:revision>
  <dcterms:created xsi:type="dcterms:W3CDTF">2025-12-10T01:45:00Z</dcterms:created>
  <dcterms:modified xsi:type="dcterms:W3CDTF">2025-12-10T01:46:00Z</dcterms:modified>
</cp:coreProperties>
</file>