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413" w:lineRule="auto"/>
        <w:ind w:left="0" w:leftChars="0" w:right="0" w:rightChars="0" w:firstLine="0" w:firstLineChars="0"/>
        <w:jc w:val="center"/>
        <w:textAlignment w:val="auto"/>
        <w:outlineLvl w:val="1"/>
      </w:pPr>
      <w:r>
        <w:rPr>
          <w:b/>
          <w:bCs w:val="0"/>
        </w:rPr>
        <w:t>Test data</w:t>
      </w:r>
    </w:p>
    <w:tbl>
      <w:tblPr>
        <w:tblStyle w:val="5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20"/>
        <w:gridCol w:w="679"/>
        <w:gridCol w:w="697"/>
        <w:gridCol w:w="692"/>
        <w:gridCol w:w="947"/>
        <w:gridCol w:w="947"/>
        <w:gridCol w:w="1231"/>
        <w:gridCol w:w="807"/>
        <w:gridCol w:w="800"/>
      </w:tblGrid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200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Ticks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24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96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Ticks/log(N)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1.80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1.62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1.83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2.48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3.79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4.52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12.56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N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300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400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500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600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700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800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900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1000</w:t>
            </w: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Ticks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141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105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139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158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167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198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187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207</w:t>
            </w:r>
          </w:p>
        </w:tc>
      </w:tr>
      <w:tr>
        <w:tblPrEx>
          <w:tblLayout w:type="fixed"/>
        </w:tblPrEx>
        <w:tc>
          <w:tcPr>
            <w:tcW w:w="172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Ticks/log(N)</w:t>
            </w:r>
          </w:p>
        </w:tc>
        <w:tc>
          <w:tcPr>
            <w:tcW w:w="679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17.1</w:t>
            </w:r>
          </w:p>
        </w:tc>
        <w:tc>
          <w:tcPr>
            <w:tcW w:w="69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12.1</w:t>
            </w:r>
          </w:p>
        </w:tc>
        <w:tc>
          <w:tcPr>
            <w:tcW w:w="692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15.5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17.1</w:t>
            </w:r>
          </w:p>
        </w:tc>
        <w:tc>
          <w:tcPr>
            <w:tcW w:w="94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17.6</w:t>
            </w:r>
          </w:p>
        </w:tc>
        <w:tc>
          <w:tcPr>
            <w:tcW w:w="123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20.5</w:t>
            </w:r>
          </w:p>
        </w:tc>
        <w:tc>
          <w:tcPr>
            <w:tcW w:w="807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19.1</w:t>
            </w:r>
          </w:p>
        </w:tc>
        <w:tc>
          <w:tcPr>
            <w:tcW w:w="800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20.7</w:t>
            </w:r>
          </w:p>
        </w:tc>
      </w:tr>
    </w:tbl>
    <w:p>
      <w:r>
        <w:drawing>
          <wp:inline distT="0" distB="0" distL="114300" distR="114300">
            <wp:extent cx="4575175" cy="2494915"/>
            <wp:effectExtent l="6350" t="6350" r="15875" b="13335"/>
            <wp:docPr id="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t>图1</w:t>
      </w:r>
    </w:p>
    <w:p>
      <w:r>
        <w:drawing>
          <wp:inline distT="0" distB="0" distL="114300" distR="114300">
            <wp:extent cx="4572000" cy="2743200"/>
            <wp:effectExtent l="6350" t="6350" r="19050" b="19050"/>
            <wp:docPr id="4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</w:pPr>
      <w:r>
        <w:t>图2</w:t>
      </w:r>
    </w:p>
    <w:p>
      <w:pPr>
        <w:bidi w:val="0"/>
        <w:rPr>
          <w:rFonts w:hint="eastAsia"/>
        </w:rPr>
      </w:pPr>
      <w:r>
        <w:t>由图1知其增长趋势拟合为O(nlogn),做</w:t>
      </w:r>
      <w:r>
        <w:rPr>
          <w:rFonts w:hint="eastAsia"/>
        </w:rPr>
        <w:t>N-Ticks/logN</w:t>
      </w:r>
      <w:r>
        <w:rPr>
          <w:rFonts w:hint="default"/>
        </w:rPr>
        <w:t>图像，</w:t>
      </w:r>
      <w:r>
        <w:rPr>
          <w:rFonts w:hint="default"/>
          <w:lang w:val="en-US" w:eastAsia="zh-CN"/>
        </w:rPr>
        <w:t>设拟合直线的公式为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790575" cy="161925"/>
            <wp:effectExtent l="0" t="0" r="22225" b="1587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,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其中：拟合直线的斜率为：</w:t>
      </w:r>
    </w:p>
    <w:p>
      <w:pPr>
        <w:bidi w:val="0"/>
        <w:rPr>
          <w:rFonts w:hint="default"/>
        </w:rPr>
      </w:pPr>
      <w:r>
        <w:rPr>
          <w:rFonts w:hint="default"/>
          <w:lang w:eastAsia="zh-CN"/>
        </w:rPr>
        <w:t xml:space="preserve">          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914400" cy="419100"/>
            <wp:effectExtent l="0" t="0" r="0" b="1270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  <w:lang w:val="en-US" w:eastAsia="zh-CN"/>
        </w:rPr>
        <w:t>计算出斜率后，根据</w:t>
      </w:r>
    </w:p>
    <w:p>
      <w:pPr>
        <w:bidi w:val="0"/>
        <w:rPr>
          <w:rFonts w:hint="default"/>
        </w:rPr>
      </w:pPr>
      <w:r>
        <w:rPr>
          <w:rFonts w:hint="default"/>
          <w:lang w:eastAsia="zh-CN"/>
        </w:rPr>
        <w:t xml:space="preserve">                                 </w:t>
      </w:r>
      <w:r>
        <w:rPr>
          <w:rFonts w:hint="default"/>
          <w:lang w:val="en-US" w:eastAsia="zh-CN"/>
        </w:rPr>
        <w:drawing>
          <wp:inline distT="0" distB="0" distL="114300" distR="114300">
            <wp:extent cx="314325" cy="171450"/>
            <wp:effectExtent l="0" t="0" r="15875" b="635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和已经确定的斜率k，利用待定系数法求出截距b。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最后得到的增长趋势近似拟合于：</w:t>
      </w:r>
    </w:p>
    <w:p>
      <w:pPr>
        <w:bidi w:val="0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T=0.0202nlogn+3.5913logn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即T=O(nlogn)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且相关系数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/>
          <w:vertAlign w:val="baseline"/>
          <w:lang w:eastAsia="zh-CN"/>
        </w:rPr>
      </w:pPr>
      <w:r>
        <w:rPr>
          <w:rFonts w:hint="default"/>
          <w:lang w:eastAsia="zh-CN"/>
        </w:rPr>
        <w:t>R</w:t>
      </w:r>
      <w:r>
        <w:rPr>
          <w:rFonts w:hint="default"/>
          <w:vertAlign w:val="superscript"/>
          <w:lang w:eastAsia="zh-CN"/>
        </w:rPr>
        <w:t>2</w:t>
      </w:r>
      <w:r>
        <w:rPr>
          <w:rFonts w:hint="default"/>
          <w:vertAlign w:val="baseline"/>
          <w:lang w:eastAsia="zh-CN"/>
        </w:rPr>
        <w:t>=0.8461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vertAlign w:val="baseline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vertAlign w:val="baseline"/>
          <w:lang w:eastAsia="zh-CN"/>
        </w:rPr>
        <w:t>则拟合程度较高，符合实际期望</w:t>
      </w:r>
    </w:p>
    <w:p>
      <w:pPr>
        <w:bidi w:val="0"/>
        <w:rPr>
          <w:rFonts w:hint="eastAsia"/>
        </w:rPr>
      </w:pPr>
    </w:p>
    <w:p>
      <w:pPr>
        <w:bidi w:val="0"/>
      </w:pPr>
    </w:p>
    <w:p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EF2A5F"/>
    <w:rsid w:val="23FD2CE7"/>
    <w:rsid w:val="565EED09"/>
    <w:rsid w:val="73BBCD60"/>
    <w:rsid w:val="7EA35E7B"/>
    <w:rsid w:val="EDFE0F6D"/>
    <w:rsid w:val="EF6DD16B"/>
    <w:rsid w:val="FBEFE8F3"/>
    <w:rsid w:val="FE9FF7BE"/>
    <w:rsid w:val="FFEF2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/Users/wujie/Desktop/DS_math/data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/Users/wujie/Desktop/DS_math/data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N-Ticks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xVal>
            <c:numRef>
              <c:f>data.csv!$A$1:$O$1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data.csv!$A$2:$O$2</c:f>
              <c:numCache>
                <c:formatCode>General</c:formatCode>
                <c:ptCount val="15"/>
                <c:pt idx="0">
                  <c:v>6</c:v>
                </c:pt>
                <c:pt idx="1">
                  <c:v>7</c:v>
                </c:pt>
                <c:pt idx="2">
                  <c:v>9</c:v>
                </c:pt>
                <c:pt idx="3">
                  <c:v>14</c:v>
                </c:pt>
                <c:pt idx="4">
                  <c:v>24</c:v>
                </c:pt>
                <c:pt idx="5">
                  <c:v>30</c:v>
                </c:pt>
                <c:pt idx="6">
                  <c:v>96</c:v>
                </c:pt>
                <c:pt idx="7">
                  <c:v>141</c:v>
                </c:pt>
                <c:pt idx="8">
                  <c:v>105</c:v>
                </c:pt>
                <c:pt idx="9">
                  <c:v>139</c:v>
                </c:pt>
                <c:pt idx="10">
                  <c:v>158</c:v>
                </c:pt>
                <c:pt idx="11">
                  <c:v>167</c:v>
                </c:pt>
                <c:pt idx="12">
                  <c:v>198</c:v>
                </c:pt>
                <c:pt idx="13">
                  <c:v>187</c:v>
                </c:pt>
                <c:pt idx="14">
                  <c:v>207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31467430"/>
        <c:axId val="727607267"/>
      </c:scatterChart>
      <c:valAx>
        <c:axId val="6314674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27607267"/>
        <c:crosses val="autoZero"/>
        <c:crossBetween val="midCat"/>
      </c:valAx>
      <c:valAx>
        <c:axId val="7276072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146743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N-Ticks/logN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data.csv!$A$1:$O$1</c:f>
              <c:numCache>
                <c:formatCode>General</c:formatCode>
                <c:ptCount val="15"/>
                <c:pt idx="0">
                  <c:v>10</c:v>
                </c:pt>
                <c:pt idx="1">
                  <c:v>20</c:v>
                </c:pt>
                <c:pt idx="2">
                  <c:v>30</c:v>
                </c:pt>
                <c:pt idx="3">
                  <c:v>50</c:v>
                </c:pt>
                <c:pt idx="4">
                  <c:v>80</c:v>
                </c:pt>
                <c:pt idx="5">
                  <c:v>100</c:v>
                </c:pt>
                <c:pt idx="6">
                  <c:v>200</c:v>
                </c:pt>
                <c:pt idx="7">
                  <c:v>300</c:v>
                </c:pt>
                <c:pt idx="8">
                  <c:v>400</c:v>
                </c:pt>
                <c:pt idx="9">
                  <c:v>500</c:v>
                </c:pt>
                <c:pt idx="10">
                  <c:v>600</c:v>
                </c:pt>
                <c:pt idx="11">
                  <c:v>700</c:v>
                </c:pt>
                <c:pt idx="12">
                  <c:v>800</c:v>
                </c:pt>
                <c:pt idx="13">
                  <c:v>900</c:v>
                </c:pt>
                <c:pt idx="14">
                  <c:v>1000</c:v>
                </c:pt>
              </c:numCache>
            </c:numRef>
          </c:xVal>
          <c:yVal>
            <c:numRef>
              <c:f>data.csv!$A$3:$O$3</c:f>
              <c:numCache>
                <c:formatCode>General</c:formatCode>
                <c:ptCount val="15"/>
                <c:pt idx="0">
                  <c:v>1.80617997398389</c:v>
                </c:pt>
                <c:pt idx="1">
                  <c:v>1.61964749211831</c:v>
                </c:pt>
                <c:pt idx="2">
                  <c:v>1.83415542381456</c:v>
                </c:pt>
                <c:pt idx="3">
                  <c:v>2.48057348189781</c:v>
                </c:pt>
                <c:pt idx="4">
                  <c:v>3.79631018255477</c:v>
                </c:pt>
                <c:pt idx="5">
                  <c:v>4.51544993495972</c:v>
                </c:pt>
                <c:pt idx="6">
                  <c:v>12.55910598219</c:v>
                </c:pt>
                <c:pt idx="7">
                  <c:v>17.1349017767097</c:v>
                </c:pt>
                <c:pt idx="8">
                  <c:v>12.1473561908874</c:v>
                </c:pt>
                <c:pt idx="9">
                  <c:v>15.5033843762881</c:v>
                </c:pt>
                <c:pt idx="10">
                  <c:v>17.1202843287747</c:v>
                </c:pt>
                <c:pt idx="11">
                  <c:v>17.6696931244004</c:v>
                </c:pt>
                <c:pt idx="12">
                  <c:v>20.5312062004758</c:v>
                </c:pt>
                <c:pt idx="13">
                  <c:v>19.0548369029623</c:v>
                </c:pt>
                <c:pt idx="14">
                  <c:v>20.7710697008147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8063075"/>
        <c:axId val="972851354"/>
      </c:scatterChart>
      <c:valAx>
        <c:axId val="11806307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72851354"/>
        <c:crosses val="autoZero"/>
        <c:crossBetween val="midCat"/>
      </c:valAx>
      <c:valAx>
        <c:axId val="9728513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806307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2019-11-18T15:59:00Z</dcterms:created>
  <dc:creator>wujie</dc:creator>
  <cp:lastModifiedBy>wujie</cp:lastModifiedBy>
  <dcterms:modified xsi:type="dcterms:W3CDTF">2019-11-18T19:21:55Z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