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935" hidden="0" distT="0" distB="0" layoutInCell="0" locked="0" relativeHeight="0" simplePos="0" distL="114935" behindDoc="0">
            <wp:simplePos y="0" x="0"/>
            <wp:positionH relativeFrom="margin">
              <wp:posOffset>3479800</wp:posOffset>
            </wp:positionH>
            <wp:positionV relativeFrom="paragraph">
              <wp:posOffset>-76199</wp:posOffset>
            </wp:positionV>
            <wp:extent cy="914400" cx="2743200"/>
            <wp:effectExtent t="0" b="0" r="0" l="0"/>
            <wp:wrapNone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914400" cx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left" w:pos="8080"/>
          <w:tab w:val="left" w:pos="9356"/>
        </w:tabs>
        <w:spacing w:lineRule="auto" w:after="0" w:line="240" w:before="0"/>
        <w:ind w:left="1134" w:firstLine="0" w:right="1134"/>
        <w:contextualSpacing w:val="0"/>
        <w:jc w:val="center"/>
      </w:pPr>
      <w:r w:rsidRPr="00000000" w:rsidR="00000000" w:rsidDel="00000000">
        <w:rPr>
          <w:color w:val="17365d"/>
          <w:sz w:val="28"/>
          <w:rtl w:val="0"/>
        </w:rPr>
        <w:t xml:space="preserve">A Medical Application for the Classification of Glioma Tumor Patients in Defined Categories by Image Metadata Information and Reasoning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1276" w:right="1701" w:hanging="282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1701" w:firstLine="0" w:right="1701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4"/>
          <w:numId w:val="1"/>
        </w:numPr>
        <w:spacing w:lineRule="auto" w:after="0" w:line="240" w:before="0"/>
        <w:ind w:left="1008" w:hanging="1007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8"/>
          <w:rtl w:val="0"/>
        </w:rPr>
        <w:t xml:space="preserve">Edson Luque Mamani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4"/>
          <w:numId w:val="1"/>
        </w:numPr>
        <w:spacing w:lineRule="auto" w:after="0" w:line="240" w:before="0"/>
        <w:ind w:left="1008" w:hanging="1007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z w:val="24"/>
          <w:vertAlign w:val="baseline"/>
          <w:rtl w:val="0"/>
        </w:rPr>
        <w:t xml:space="preserve">Orientador: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4"/>
          <w:vertAlign w:val="baseline"/>
          <w:rtl w:val="0"/>
        </w:rPr>
        <w:t xml:space="preserve"> Prof. Dr. Dilvan de Abreu Moreira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ff0000"/>
          <w:sz w:val="24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3969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Monografia apresentada ao Instituto de Ciências Matemáticas e de Computação  - ICMC-USP, para o Exame de Qualificação, como parte dos requisitos para obtenção do título de Mestre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em Ciências - Ciências de Computação e Matemática Computacional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ff0000"/>
          <w:sz w:val="22"/>
          <w:vertAlign w:val="baseline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ff0000"/>
          <w:sz w:val="18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3969" w:firstLine="0" w:right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ff000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USP – São Carlos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ff0000"/>
          <w:sz w:val="20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abril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 de 201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7"/>
          <w:numId w:val="1"/>
        </w:numPr>
        <w:spacing w:lineRule="auto" w:after="0" w:line="240" w:before="0"/>
        <w:ind w:left="1440" w:hanging="1439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ff0000"/>
          <w:sz w:val="24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sectPr>
      <w:pgSz w:w="11906" w:h="16838"/>
      <w:pgMar w:left="1701" w:right="1701" w:top="1418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Arial" w:hAnsi="Arial" w:eastAsia="Arial" w:ascii="Arial"/>
      <w:i w:val="0"/>
      <w:color w:val="000000"/>
      <w:sz w:val="22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rosto.doc.docx</dc:title>
</cp:coreProperties>
</file>