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400"/>
              <w:left w:type="dxa" w:w="360"/>
              <w:bottom w:type="dxa" w:w="400"/>
              <w:right w:type="dxa" w:w="360"/>
            </w:tcMar>
          </w:tcPr>
          <w:p>
            <w:pPr>
              <w:spacing w:after="120" w:before="0"/>
            </w:pPr>
            <w:r>
              <w:rPr>
                <w:rFonts w:ascii="Arial" w:cs="Arial" w:eastAsia="Arial" w:hAnsi="Arial"/>
                <w:b/>
                <w:bCs/>
                <w:color w:val="FFFFFF"/>
                <w:sz w:val="52"/>
                <w:szCs w:val="52"/>
              </w:rPr>
              <w:t xml:space="preserve">Stability Report Generator</w:t>
            </w:r>
          </w:p>
          <w:p>
            <w:pPr>
              <w:spacing w:after="80" w:before="0"/>
            </w:pPr>
            <w:r>
              <w:rPr>
                <w:rFonts w:ascii="Arial" w:cs="Arial" w:eastAsia="Arial" w:hAnsi="Arial"/>
                <w:color w:val="BDD7EE"/>
                <w:sz w:val="28"/>
                <w:szCs w:val="28"/>
              </w:rPr>
              <w:t xml:space="preserve">User Guide &amp; Reference Manual</w:t>
            </w:r>
          </w:p>
          <w:p>
            <w:r>
              <w:rPr>
                <w:rFonts w:ascii="Arial" w:cs="Arial" w:eastAsia="Arial" w:hAnsi="Arial"/>
                <w:i/>
                <w:iCs/>
                <w:color w:val="BDD7EE"/>
                <w:sz w:val="22"/>
                <w:szCs w:val="22"/>
              </w:rPr>
              <w:t xml:space="preserve">Fujirebio Diagnostics  —  Assay Stability Studies</w:t>
            </w:r>
          </w:p>
        </w:tc>
      </w:tr>
    </w:tbl>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60"/>
              <w:ind w:left="180" w:right="180"/>
            </w:pPr>
            <w:r>
              <w:rPr>
                <w:rFonts w:ascii="Arial" w:cs="Arial" w:eastAsia="Arial" w:hAnsi="Arial"/>
                <w:color w:val="333333"/>
                <w:sz w:val="20"/>
                <w:szCs w:val="20"/>
              </w:rPr>
              <w:t xml:space="preserve">This tool automates the processing of raw Raven output files into structured</w:t>
            </w:r>
          </w:p>
          <w:p>
            <w:pPr>
              <w:spacing w:after="0" w:before="40"/>
              <w:ind w:left="180" w:right="180"/>
            </w:pPr>
            <w:r>
              <w:rPr>
                <w:rFonts w:ascii="Arial" w:cs="Arial" w:eastAsia="Arial" w:hAnsi="Arial"/>
                <w:color w:val="333333"/>
                <w:sz w:val="20"/>
                <w:szCs w:val="20"/>
              </w:rPr>
              <w:t xml:space="preserve">stability reports, trend visualizations, and Tableau-ready data exports.</w:t>
            </w:r>
          </w:p>
          <w:p>
            <w:pPr>
              <w:spacing w:after="60" w:before="40"/>
              <w:ind w:left="180" w:right="180"/>
            </w:pPr>
            <w:r>
              <w:rPr>
                <w:rFonts w:ascii="Arial" w:cs="Arial" w:eastAsia="Arial" w:hAnsi="Arial"/>
                <w:color w:val="333333"/>
                <w:sz w:val="20"/>
                <w:szCs w:val="20"/>
              </w:rPr>
              <w:t xml:space="preserve">No manual data entry is required after files are renamed and organized.</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assay stability studies (HE4, Renin, Aldosterone, PIVKA II, and future assays)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Maintained by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 Design Science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1.  Overview</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Stability Report Generator reads raw Raven output files directly and produces all stability summary reports automatically. It replaces the manual process of copying data into summary spreadsheets and eliminates transcription errors.</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What the tool produces</w:t>
      </w:r>
    </w:p>
    <w:p>
      <w:pPr>
        <w:spacing w:after="60" w:before="60"/>
      </w:pPr>
      <w:r>
        <w:rPr>
          <w:rFonts w:ascii="Arial" w:cs="Arial" w:eastAsia="Arial" w:hAnsi="Arial"/>
          <w:b w:val="false"/>
          <w:bCs w:val="false"/>
          <w:i w:val="false"/>
          <w:iCs w:val="false"/>
          <w:color w:val="000000"/>
          <w:sz w:val="20"/>
          <w:szCs w:val="20"/>
        </w:rPr>
        <w:t xml:space="preserve">For each timepoint processed, the tool generates:</w:t>
      </w:r>
    </w:p>
    <w:p>
      <w:pPr>
        <w:pStyle w:val="ListParagraph"/>
        <w:numPr>
          <w:ilvl w:val="0"/>
          <w:numId w:val="2"/>
        </w:numPr>
        <w:spacing w:after="40" w:before="40"/>
      </w:pPr>
      <w:r>
        <w:rPr>
          <w:rFonts w:ascii="Arial" w:cs="Arial" w:eastAsia="Arial" w:hAnsi="Arial"/>
          <w:sz w:val="20"/>
          <w:szCs w:val="20"/>
        </w:rPr>
        <w:t xml:space="preserve">A per-timepoint Excel report (.xlsx) containing run summaries, between-run validity checks, individual replicate grids with pass/fail color coding, and spec comparison tables</w:t>
      </w:r>
    </w:p>
    <w:p>
      <w:pPr>
        <w:pStyle w:val="ListParagraph"/>
        <w:numPr>
          <w:ilvl w:val="0"/>
          <w:numId w:val="2"/>
        </w:numPr>
        <w:spacing w:after="40" w:before="40"/>
      </w:pPr>
      <w:r>
        <w:rPr>
          <w:rFonts w:ascii="Arial" w:cs="Arial" w:eastAsia="Arial" w:hAnsi="Arial"/>
          <w:sz w:val="20"/>
          <w:szCs w:val="20"/>
        </w:rPr>
        <w:t xml:space="preserve">A combined trends Excel report (.xlsx) showing concentration over time across all processed timepoints, with embedded charts and a grand mean summary table</w:t>
      </w:r>
    </w:p>
    <w:p>
      <w:pPr>
        <w:pStyle w:val="ListParagraph"/>
        <w:numPr>
          <w:ilvl w:val="0"/>
          <w:numId w:val="2"/>
        </w:numPr>
        <w:spacing w:after="40" w:before="40"/>
      </w:pPr>
      <w:r>
        <w:rPr>
          <w:rFonts w:ascii="Arial" w:cs="Arial" w:eastAsia="Arial" w:hAnsi="Arial"/>
          <w:sz w:val="20"/>
          <w:szCs w:val="20"/>
        </w:rPr>
        <w:t xml:space="preserve">Three Tableau-ready CSV files for use with Tableau Desktop (optional — not required to use the reports)</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What you need to do</w:t>
      </w:r>
    </w:p>
    <w:p>
      <w:pPr>
        <w:spacing w:after="60" w:before="60"/>
      </w:pPr>
      <w:r>
        <w:rPr>
          <w:rFonts w:ascii="Arial" w:cs="Arial" w:eastAsia="Arial" w:hAnsi="Arial"/>
          <w:b w:val="false"/>
          <w:bCs w:val="false"/>
          <w:i w:val="false"/>
          <w:iCs w:val="false"/>
          <w:color w:val="000000"/>
          <w:sz w:val="20"/>
          <w:szCs w:val="20"/>
        </w:rPr>
        <w:t xml:space="preserve">Your only manual steps are:</w:t>
      </w:r>
    </w:p>
    <w:p>
      <w:pPr>
        <w:pStyle w:val="ListParagraph"/>
        <w:numPr>
          <w:ilvl w:val="0"/>
          <w:numId w:val="3"/>
        </w:numPr>
        <w:spacing w:after="40" w:before="40"/>
      </w:pPr>
      <w:r>
        <w:rPr>
          <w:rFonts w:ascii="Arial" w:cs="Arial" w:eastAsia="Arial" w:hAnsi="Arial"/>
          <w:sz w:val="20"/>
          <w:szCs w:val="20"/>
        </w:rPr>
        <w:t xml:space="preserve">Rename the Raven output files using the naming convention in Section 3</w:t>
      </w:r>
    </w:p>
    <w:p>
      <w:pPr>
        <w:pStyle w:val="ListParagraph"/>
        <w:numPr>
          <w:ilvl w:val="0"/>
          <w:numId w:val="3"/>
        </w:numPr>
        <w:spacing w:after="40" w:before="40"/>
      </w:pPr>
      <w:r>
        <w:rPr>
          <w:rFonts w:ascii="Arial" w:cs="Arial" w:eastAsia="Arial" w:hAnsi="Arial"/>
          <w:sz w:val="20"/>
          <w:szCs w:val="20"/>
        </w:rPr>
        <w:t xml:space="preserve">Place them in the correct folder structure described in Section 2</w:t>
      </w:r>
    </w:p>
    <w:p>
      <w:pPr>
        <w:pStyle w:val="ListParagraph"/>
        <w:numPr>
          <w:ilvl w:val="0"/>
          <w:numId w:val="3"/>
        </w:numPr>
        <w:spacing w:after="40" w:before="40"/>
      </w:pPr>
      <w:r>
        <w:rPr>
          <w:rFonts w:ascii="Arial" w:cs="Arial" w:eastAsia="Arial" w:hAnsi="Arial"/>
          <w:sz w:val="20"/>
          <w:szCs w:val="20"/>
        </w:rPr>
        <w:t xml:space="preserve">Open the Stability Report Generator application and select the study folder</w:t>
      </w:r>
    </w:p>
    <w:p>
      <w:pPr>
        <w:pStyle w:val="ListParagraph"/>
        <w:numPr>
          <w:ilvl w:val="0"/>
          <w:numId w:val="3"/>
        </w:numPr>
        <w:spacing w:after="40" w:before="40"/>
      </w:pPr>
      <w:r>
        <w:rPr>
          <w:rFonts w:ascii="Arial" w:cs="Arial" w:eastAsia="Arial" w:hAnsi="Arial"/>
          <w:sz w:val="20"/>
          <w:szCs w:val="20"/>
        </w:rPr>
        <w:t xml:space="preserve">Click Generate All Reports</w:t>
      </w:r>
    </w:p>
    <w:p>
      <w:pPr>
        <w:spacing w:after="0" w:before="0"/>
      </w:pPr>
      <w:r>
        <w:rPr>
          <w:rFonts w:ascii="Arial" w:cs="Arial" w:eastAsia="Arial" w:hAnsi="Arial"/>
          <w:sz w:val="20"/>
          <w:szCs w:val="20"/>
        </w:rPr>
        <w:t xml:space="preserve"/>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444444"/>
          <w:sz w:val="20"/>
          <w:szCs w:val="20"/>
        </w:rPr>
        <w:t xml:space="preserve">All outputs are saved automatically into the study folder. You do not need to specify output file locations.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2.  Setting Up a New Study</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Every stability study needs a one-time setup before the first timepoint is processed. This involves creating the study folder and filling in the config.xlsx file with the assay name and acceptance criteria.</w:t>
      </w:r>
    </w:p>
    <w:p>
      <w:pPr>
        <w:pStyle w:val="Heading2"/>
        <w:keepNext/>
        <w:spacing w:after="120" w:before="240"/>
      </w:pPr>
      <w:r>
        <w:rPr>
          <w:rFonts w:ascii="Arial" w:cs="Arial" w:eastAsia="Arial" w:hAnsi="Arial"/>
          <w:b/>
          <w:bCs/>
          <w:color w:val="2E75B6"/>
          <w:sz w:val="24"/>
          <w:szCs w:val="24"/>
        </w:rPr>
        <w:t xml:space="preserve">Step 1 — Create the study folder</w:t>
      </w:r>
    </w:p>
    <w:p>
      <w:pPr>
        <w:spacing w:after="60" w:before="60"/>
      </w:pPr>
      <w:r>
        <w:rPr>
          <w:rFonts w:ascii="Arial" w:cs="Arial" w:eastAsia="Arial" w:hAnsi="Arial"/>
          <w:b w:val="false"/>
          <w:bCs w:val="false"/>
          <w:i w:val="false"/>
          <w:iCs w:val="false"/>
          <w:color w:val="000000"/>
          <w:sz w:val="20"/>
          <w:szCs w:val="20"/>
        </w:rPr>
        <w:t xml:space="preserve">Create a folder using the naming format below. This folder holds all timepoint subfolders and generated reports for the life of the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{AssayName}_{StudyNumber}</w:t>
            </w:r>
          </w:p>
        </w:tc>
      </w:tr>
    </w:tbl>
    <w:p>
      <w:pPr>
        <w:spacing w:after="60" w:before="60"/>
      </w:pPr>
      <w:r>
        <w:rPr>
          <w:rFonts w:ascii="Arial" w:cs="Arial" w:eastAsia="Arial" w:hAnsi="Arial"/>
          <w:b w:val="false"/>
          <w:bCs w:val="false"/>
          <w:i w:val="false"/>
          <w:iCs w:val="false"/>
          <w:color w:val="000000"/>
          <w:sz w:val="20"/>
          <w:szCs w:val="20"/>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HE4_Stab11</w:t>
            </w:r>
          </w:p>
          <w:p>
            <w:pPr>
              <w:spacing w:after="20" w:before="20"/>
            </w:pPr>
            <w:r>
              <w:rPr>
                <w:rFonts w:ascii="Courier New" w:cs="Courier New" w:eastAsia="Courier New" w:hAnsi="Courier New"/>
                <w:color w:val="333333"/>
                <w:sz w:val="18"/>
                <w:szCs w:val="18"/>
              </w:rPr>
              <w:t xml:space="preserve">HE4_Stab12</w:t>
            </w:r>
          </w:p>
          <w:p>
            <w:pPr>
              <w:spacing w:after="20" w:before="20"/>
            </w:pPr>
            <w:r>
              <w:rPr>
                <w:rFonts w:ascii="Courier New" w:cs="Courier New" w:eastAsia="Courier New" w:hAnsi="Courier New"/>
                <w:color w:val="333333"/>
                <w:sz w:val="18"/>
                <w:szCs w:val="18"/>
              </w:rPr>
              <w:t xml:space="preserve">Renin_Stab11</w:t>
            </w:r>
          </w:p>
          <w:p>
            <w:pPr>
              <w:spacing w:after="20" w:before="20"/>
            </w:pPr>
            <w:r>
              <w:rPr>
                <w:rFonts w:ascii="Courier New" w:cs="Courier New" w:eastAsia="Courier New" w:hAnsi="Courier New"/>
                <w:color w:val="333333"/>
                <w:sz w:val="18"/>
                <w:szCs w:val="18"/>
              </w:rPr>
              <w:t xml:space="preserve">Aldosterone_Stab12</w:t>
            </w:r>
          </w:p>
          <w:p>
            <w:pPr>
              <w:spacing w:after="20" w:before="20"/>
            </w:pPr>
            <w:r>
              <w:rPr>
                <w:rFonts w:ascii="Courier New" w:cs="Courier New" w:eastAsia="Courier New" w:hAnsi="Courier New"/>
                <w:color w:val="333333"/>
                <w:sz w:val="18"/>
                <w:szCs w:val="18"/>
              </w:rPr>
              <w:t xml:space="preserve">PIVKAII_Stab11</w:t>
            </w:r>
          </w:p>
        </w:tc>
      </w:tr>
    </w:tbl>
    <w:p>
      <w:pPr>
        <w:spacing w:after="80" w:before="80"/>
        <w:ind w:left="360"/>
      </w:pPr>
      <w:r>
        <w:rPr>
          <w:rFonts w:ascii="Arial" w:cs="Arial" w:eastAsia="Arial" w:hAnsi="Arial"/>
          <w:b/>
          <w:bCs/>
          <w:color w:val="9C0006"/>
          <w:sz w:val="20"/>
          <w:szCs w:val="20"/>
        </w:rPr>
        <w:t xml:space="preserve">⚠  </w:t>
      </w:r>
      <w:r>
        <w:rPr>
          <w:rFonts w:ascii="Arial" w:cs="Arial" w:eastAsia="Arial" w:hAnsi="Arial"/>
          <w:b/>
          <w:bCs/>
          <w:color w:val="9C0006"/>
          <w:sz w:val="20"/>
          <w:szCs w:val="20"/>
        </w:rPr>
        <w:t xml:space="preserve">No spaces in the folder name. Use underscores only. The tool reads the study name directly from this folder name.</w:t>
      </w:r>
    </w:p>
    <w:p>
      <w:pPr>
        <w:pStyle w:val="Heading2"/>
        <w:keepNext/>
        <w:spacing w:after="120" w:before="240"/>
      </w:pPr>
      <w:r>
        <w:rPr>
          <w:rFonts w:ascii="Arial" w:cs="Arial" w:eastAsia="Arial" w:hAnsi="Arial"/>
          <w:b/>
          <w:bCs/>
          <w:color w:val="2E75B6"/>
          <w:sz w:val="24"/>
          <w:szCs w:val="24"/>
        </w:rPr>
        <w:t xml:space="preserve">Step 2 — Add the config file</w:t>
      </w:r>
    </w:p>
    <w:p>
      <w:pPr>
        <w:spacing w:after="60" w:before="60"/>
      </w:pPr>
      <w:r>
        <w:rPr>
          <w:rFonts w:ascii="Arial" w:cs="Arial" w:eastAsia="Arial" w:hAnsi="Arial"/>
          <w:b w:val="false"/>
          <w:bCs w:val="false"/>
          <w:i w:val="false"/>
          <w:iCs w:val="false"/>
          <w:color w:val="000000"/>
          <w:sz w:val="20"/>
          <w:szCs w:val="20"/>
        </w:rPr>
        <w:t xml:space="preserve">Copy config_template.xlsx into the study folder and rename it config.xlsx. The tool looks for this exact filename.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HE4_Stab11/</w:t>
            </w:r>
          </w:p>
          <w:p>
            <w:pPr>
              <w:spacing w:after="20" w:before="20"/>
            </w:pPr>
            <w:r>
              <w:rPr>
                <w:rFonts w:ascii="Courier New" w:cs="Courier New" w:eastAsia="Courier New" w:hAnsi="Courier New"/>
                <w:color w:val="333333"/>
                <w:sz w:val="18"/>
                <w:szCs w:val="18"/>
              </w:rPr>
              <w:t xml:space="preserve">    config.xlsx     ← paste and rename the template here</w:t>
            </w:r>
          </w:p>
        </w:tc>
      </w:tr>
    </w:tbl>
    <w:p>
      <w:pPr>
        <w:pStyle w:val="Heading2"/>
        <w:keepNext/>
        <w:spacing w:after="120" w:before="240"/>
      </w:pPr>
      <w:r>
        <w:rPr>
          <w:rFonts w:ascii="Arial" w:cs="Arial" w:eastAsia="Arial" w:hAnsi="Arial"/>
          <w:b/>
          <w:bCs/>
          <w:color w:val="2E75B6"/>
          <w:sz w:val="24"/>
          <w:szCs w:val="24"/>
        </w:rPr>
        <w:t xml:space="preserve">Step 3 — Fill in the Study Info sheet</w:t>
      </w:r>
    </w:p>
    <w:p>
      <w:pPr>
        <w:spacing w:after="60" w:before="60"/>
      </w:pPr>
      <w:r>
        <w:rPr>
          <w:rFonts w:ascii="Arial" w:cs="Arial" w:eastAsia="Arial" w:hAnsi="Arial"/>
          <w:b w:val="false"/>
          <w:bCs w:val="false"/>
          <w:i w:val="false"/>
          <w:iCs w:val="false"/>
          <w:color w:val="000000"/>
          <w:sz w:val="20"/>
          <w:szCs w:val="20"/>
        </w:rPr>
        <w:t xml:space="preserve">Open config.xlsx and update the four yellow cells on the Study Info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enter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Assay Name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Assay name as it appears in report titles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HE4, Renin, Aldosterone, PIVKA II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Study Number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Stability study number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 11, Stab 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Default CV Limit (%)</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Maximum allowable dose %CV for your assay.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7.5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Valid Reps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valid replicates per run for your assay.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(default)</w:t>
            </w:r>
          </w:p>
        </w:tc>
      </w:tr>
    </w:tbl>
    <w:p>
      <w:pPr>
        <w:pStyle w:val="Heading2"/>
        <w:keepNext/>
        <w:pageBreakBefore/>
        <w:spacing w:after="120" w:before="240"/>
      </w:pPr>
      <w:r>
        <w:rPr>
          <w:rFonts w:ascii="Arial" w:cs="Arial" w:eastAsia="Arial" w:hAnsi="Arial"/>
          <w:b/>
          <w:bCs/>
          <w:color w:val="2E75B6"/>
          <w:sz w:val="24"/>
          <w:szCs w:val="24"/>
        </w:rPr>
        <w:t xml:space="preserve">Step 4 — Fill in the Specs sheet</w:t>
      </w:r>
    </w:p>
    <w:p>
      <w:pPr>
        <w:spacing w:after="60" w:before="60"/>
      </w:pPr>
      <w:r>
        <w:rPr>
          <w:rFonts w:ascii="Arial" w:cs="Arial" w:eastAsia="Arial" w:hAnsi="Arial"/>
          <w:b w:val="false"/>
          <w:bCs w:val="false"/>
          <w:i w:val="false"/>
          <w:iCs w:val="false"/>
          <w:color w:val="000000"/>
          <w:sz w:val="20"/>
          <w:szCs w:val="20"/>
        </w:rPr>
        <w:t xml:space="preserve">On the Specs sheet, enter one row per sample per lot. The template is pre-filled with HE4 values as an example — clear these and enter the correct specs for your assay.</w:t>
      </w:r>
    </w:p>
    <w:p>
      <w:pPr>
        <w:keepNext/>
        <w:spacing w:after="60" w:before="120"/>
      </w:pPr>
      <w:r>
        <w:rPr>
          <w:rFonts w:ascii="Arial" w:cs="Arial" w:eastAsia="Arial" w:hAnsi="Arial"/>
          <w:b/>
          <w:bCs/>
          <w:color w:val="000000"/>
          <w:sz w:val="20"/>
          <w:szCs w:val="20"/>
        </w:rPr>
        <w:t xml:space="preserve">Column guide:</w:t>
      </w:r>
    </w:p>
    <w:p>
      <w:pPr>
        <w:pStyle w:val="ListParagraph"/>
        <w:numPr>
          <w:ilvl w:val="0"/>
          <w:numId w:val="2"/>
        </w:numPr>
        <w:spacing w:after="40" w:before="40"/>
      </w:pPr>
      <w:r>
        <w:rPr>
          <w:rFonts w:ascii="Arial" w:cs="Arial" w:eastAsia="Arial" w:hAnsi="Arial"/>
          <w:sz w:val="20"/>
          <w:szCs w:val="20"/>
        </w:rPr>
        <w:t xml:space="preserve">Sample — sample name exactly as it appears in Raven (Panel1, Panel2, RefCon1, etc.). These names are set by the instrument and cannot be changed in Raven after the run. It is critical that the names in the config.xlsx Specs sheet match the instrument output exactly, character for character.</w:t>
      </w:r>
    </w:p>
    <w:p>
      <w:pPr>
        <w:pStyle w:val="ListParagraph"/>
        <w:numPr>
          <w:ilvl w:val="0"/>
          <w:numId w:val="2"/>
        </w:numPr>
        <w:spacing w:after="40" w:before="40"/>
      </w:pPr>
      <w:r>
        <w:rPr>
          <w:rFonts w:ascii="Arial" w:cs="Arial" w:eastAsia="Arial" w:hAnsi="Arial"/>
          <w:sz w:val="20"/>
          <w:szCs w:val="20"/>
        </w:rPr>
        <w:t xml:space="preserve">Lot — Lot1 or Lot2, matching the lot label used in your file names</w:t>
      </w:r>
    </w:p>
    <w:p>
      <w:pPr>
        <w:pStyle w:val="ListParagraph"/>
        <w:numPr>
          <w:ilvl w:val="0"/>
          <w:numId w:val="2"/>
        </w:numPr>
        <w:spacing w:after="40" w:before="40"/>
      </w:pPr>
      <w:r>
        <w:rPr>
          <w:rFonts w:ascii="Arial" w:cs="Arial" w:eastAsia="Arial" w:hAnsi="Arial"/>
          <w:sz w:val="20"/>
          <w:szCs w:val="20"/>
        </w:rPr>
        <w:t xml:space="preserve">Effective From — the timepoint these specs apply from. Use TP1 for specs that apply from the start of the study.</w:t>
      </w:r>
    </w:p>
    <w:p>
      <w:pPr>
        <w:pStyle w:val="ListParagraph"/>
        <w:numPr>
          <w:ilvl w:val="0"/>
          <w:numId w:val="2"/>
        </w:numPr>
        <w:spacing w:after="40" w:before="40"/>
      </w:pPr>
      <w:r>
        <w:rPr>
          <w:rFonts w:ascii="Arial" w:cs="Arial" w:eastAsia="Arial" w:hAnsi="Arial"/>
          <w:sz w:val="20"/>
          <w:szCs w:val="20"/>
        </w:rPr>
        <w:t xml:space="preserve">Indiv Rep LSL / USL — individual replicate acceptance limits. Each single replicate is checked against these.</w:t>
      </w:r>
    </w:p>
    <w:p>
      <w:pPr>
        <w:pStyle w:val="ListParagraph"/>
        <w:numPr>
          <w:ilvl w:val="0"/>
          <w:numId w:val="2"/>
        </w:numPr>
        <w:spacing w:after="40" w:before="40"/>
      </w:pPr>
      <w:r>
        <w:rPr>
          <w:rFonts w:ascii="Arial" w:cs="Arial" w:eastAsia="Arial" w:hAnsi="Arial"/>
          <w:sz w:val="20"/>
          <w:szCs w:val="20"/>
        </w:rPr>
        <w:t xml:space="preserve">Mean LSL / USL — run mean acceptance limits. The average of all replicates in a run is checked against these.</w:t>
      </w:r>
    </w:p>
    <w:p>
      <w:pPr>
        <w:pStyle w:val="ListParagraph"/>
        <w:numPr>
          <w:ilvl w:val="0"/>
          <w:numId w:val="2"/>
        </w:numPr>
        <w:spacing w:after="40" w:before="40"/>
      </w:pPr>
      <w:r>
        <w:rPr>
          <w:rFonts w:ascii="Arial" w:cs="Arial" w:eastAsia="Arial" w:hAnsi="Arial"/>
          <w:sz w:val="20"/>
          <w:szCs w:val="20"/>
        </w:rPr>
        <w:t xml:space="preserve">Validity LSL / USL — validity lot limits for RefCon samples only. Leave blank for Panel samples. Within-Run CV (%) — maximum allowable dose %CV within a single run for this sample. Each sample can have a different limit. If left blank, the Default CV Limit from Study Info is used. Between-Run CV (%) — maximum allowable %CV across run means for this sample at a timepoint. If left blank, the Default CV Limit is used.</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444444"/>
          <w:sz w:val="20"/>
          <w:szCs w:val="20"/>
        </w:rPr>
        <w:t xml:space="preserve">The number of rows depends on your assay. 2 panels + 2 RefCons running 2 lots = 8 rows. 5 panels + 3 RefCons = 16 rows.</w:t>
      </w:r>
    </w:p>
    <w:p>
      <w:pPr>
        <w:pStyle w:val="Heading2"/>
        <w:keepNext/>
        <w:spacing w:after="120" w:before="240"/>
      </w:pPr>
      <w:r>
        <w:rPr>
          <w:rFonts w:ascii="Arial" w:cs="Arial" w:eastAsia="Arial" w:hAnsi="Arial"/>
          <w:b/>
          <w:bCs/>
          <w:color w:val="2E75B6"/>
          <w:sz w:val="24"/>
          <w:szCs w:val="24"/>
        </w:rPr>
        <w:t xml:space="preserve">Mid-study lot changes</w:t>
      </w:r>
    </w:p>
    <w:p>
      <w:pPr>
        <w:spacing w:after="60" w:before="60"/>
      </w:pPr>
      <w:r>
        <w:rPr>
          <w:rFonts w:ascii="Arial" w:cs="Arial" w:eastAsia="Arial" w:hAnsi="Arial"/>
          <w:b w:val="false"/>
          <w:bCs w:val="false"/>
          <w:i w:val="false"/>
          <w:iCs w:val="false"/>
          <w:color w:val="000000"/>
          <w:sz w:val="20"/>
          <w:szCs w:val="20"/>
        </w:rPr>
        <w:t xml:space="preserve">If a panel lot runs out and is replaced mid-study, add a new row for that sample with the new specs and the timepoint they take effect. The original row stays — it applies to all earlier timepoints.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after="0" w:before="60"/>
              <w:ind w:left="180" w:right="180"/>
            </w:pPr>
            <w:r>
              <w:rPr>
                <w:rFonts w:ascii="Arial" w:cs="Arial" w:eastAsia="Arial" w:hAnsi="Arial"/>
                <w:color w:val="333333"/>
                <w:sz w:val="20"/>
                <w:szCs w:val="20"/>
              </w:rPr>
              <w:t xml:space="preserve">Example: Panel1 Lot1 runs out after TP4 and is replaced with a new lot.</w:t>
            </w:r>
          </w:p>
          <w:p>
            <w:pPr>
              <w:spacing w:after="0" w:before="40"/>
              <w:ind w:left="180" w:right="180"/>
            </w:pPr>
            <w:r>
              <w:rPr>
                <w:rFonts w:ascii="Arial" w:cs="Arial" w:eastAsia="Arial" w:hAnsi="Arial"/>
                <w:color w:val="333333"/>
                <w:sz w:val="20"/>
                <w:szCs w:val="20"/>
              </w:rPr>
              <w:t xml:space="preserve">  Row 1:  Panel1 | Lot1 | TP1 | (original specs)    → applies to TP1–TP4</w:t>
            </w:r>
          </w:p>
          <w:p>
            <w:pPr>
              <w:spacing w:after="60" w:before="40"/>
              <w:ind w:left="180" w:right="180"/>
            </w:pPr>
            <w:r>
              <w:rPr>
                <w:rFonts w:ascii="Arial" w:cs="Arial" w:eastAsia="Arial" w:hAnsi="Arial"/>
                <w:color w:val="333333"/>
                <w:sz w:val="20"/>
                <w:szCs w:val="20"/>
              </w:rPr>
              <w:t xml:space="preserve">  Row 2:  Panel1 | Lot1 | TP5 | (new lot specs)      → applies from TP5 onward</w:t>
            </w:r>
          </w:p>
        </w:tc>
      </w:tr>
    </w:tbl>
    <w:p>
      <w:pPr>
        <w:pStyle w:val="Heading2"/>
        <w:keepNext/>
        <w:spacing w:after="120" w:before="240"/>
      </w:pPr>
      <w:r>
        <w:rPr>
          <w:rFonts w:ascii="Arial" w:cs="Arial" w:eastAsia="Arial" w:hAnsi="Arial"/>
          <w:b/>
          <w:bCs/>
          <w:color w:val="2E75B6"/>
          <w:sz w:val="24"/>
          <w:szCs w:val="24"/>
        </w:rPr>
        <w:t>Mid-study spec changes</w:t>
      </w:r>
    </w:p>
    <w:p>
      <w:pPr>
        <w:spacing w:after="120" w:before="0"/>
      </w:pPr>
      <w:r>
        <w:rPr>
          <w:rFonts w:ascii="Arial" w:cs="Arial" w:eastAsia="Arial" w:hAnsi="Arial"/>
          <w:sz w:val="20"/>
          <w:szCs w:val="20"/>
        </w:rPr>
        <w:t xml:space="preserve">If acceptance criteria change mid-study — for example when a master calibration curve is approved and spec limits are adjusted across the whole study — simply update the existing rows in the Specs sheet with the new limits and rerun the tool. Since the tool regenerates every report from scratch on each run, all timepoints will automatically use the updated specs. The multi-row “Effective From” approach is only needed when you want genuinely different specs at different timepoints — for example when a reagent lot is physically replaced with a new lot that has different acceptance limits that should not apply retroactively. If the new specs replace the old ones for the entire study, just edit the original rows.</w:t>
      </w:r>
    </w:p>
    <w:p>
      <w:pPr>
        <w:pStyle w:val="Heading2"/>
        <w:keepNext/>
        <w:spacing w:after="120" w:before="240"/>
      </w:pPr>
      <w:r>
        <w:rPr>
          <w:rFonts w:ascii="Arial" w:cs="Arial" w:eastAsia="Arial" w:hAnsi="Arial"/>
          <w:b/>
          <w:bCs/>
          <w:color w:val="2E75B6"/>
          <w:sz w:val="24"/>
          <w:szCs w:val="24"/>
        </w:rPr>
        <w:t>Adding new sample types mid-study</w:t>
      </w:r>
    </w:p>
    <w:p>
      <w:pPr>
        <w:spacing w:after="120" w:before="0"/>
      </w:pPr>
      <w:r>
        <w:rPr>
          <w:rFonts w:ascii="Arial" w:cs="Arial" w:eastAsia="Arial" w:hAnsi="Arial"/>
          <w:sz w:val="20"/>
          <w:szCs w:val="20"/>
        </w:rPr>
        <w:t xml:space="preserve">If new sample types are introduced mid-study — for example Low Cal and High Cal samples added once a master curve is established — simply add rows for those samples to the Specs sheet with the appropriate specs and the timepoint they first appear. Set the Effective From column to the timepoint those samples begin running. The tool will ignore those samples at earlier timepoints and include them automatically from the specified timepoint onward. The only requirement is that the sample names in config.xlsx match exactly what the instrument outputs in Raven.</w:t>
      </w:r>
    </w:p>
    <w:p>
      <w:pPr>
        <w:pStyle w:val="Heading2"/>
        <w:keepNext/>
        <w:spacing w:after="120" w:before="240"/>
      </w:pPr>
      <w:r>
        <w:rPr>
          <w:rFonts w:ascii="Arial" w:cs="Arial" w:eastAsia="Arial" w:hAnsi="Arial"/>
          <w:b/>
          <w:bCs/>
          <w:color w:val="2E75B6"/>
          <w:sz w:val="24"/>
          <w:szCs w:val="24"/>
        </w:rPr>
        <w:t xml:space="preserve">What if there is no config.xlsx?</w:t>
      </w:r>
    </w:p>
    <w:p>
      <w:pPr>
        <w:spacing w:after="60" w:before="60"/>
      </w:pPr>
      <w:r>
        <w:rPr>
          <w:rFonts w:ascii="Arial" w:cs="Arial" w:eastAsia="Arial" w:hAnsi="Arial"/>
          <w:b w:val="false"/>
          <w:bCs w:val="false"/>
          <w:i w:val="false"/>
          <w:iCs w:val="false"/>
          <w:color w:val="000000"/>
          <w:sz w:val="20"/>
          <w:szCs w:val="20"/>
        </w:rPr>
        <w:t xml:space="preserve">If no config.xlsx is found, the tool uses built-in HE4 defaults and displays a warning. The tool will still run for HE4 studies set up before the config system, but it is always better to have a config file so specs are explicit and auditable.</w:t>
      </w:r>
    </w:p>
    <w:p>
      <w:pPr>
        <w:pageBreakBefore/>
        <w:spacing w:after="0" w:before="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3.  Folder Structure</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The tool reads files based on folder structure. You must organize your files exactly as described below.</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Required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HE4_Stab11/                   ← Study folder (you create this once)</w:t>
            </w:r>
          </w:p>
          <w:p>
            <w:pPr>
              <w:spacing w:after="20" w:before="20"/>
            </w:pPr>
            <w:r>
              <w:rPr>
                <w:rFonts w:ascii="Courier New" w:cs="Courier New" w:eastAsia="Courier New" w:hAnsi="Courier New"/>
                <w:color w:val="333333"/>
                <w:sz w:val="18"/>
                <w:szCs w:val="18"/>
              </w:rPr>
              <w:t xml:space="preserve">    TP1/                       ← Timepoint subfolder</w:t>
            </w:r>
          </w:p>
          <w:p>
            <w:pPr>
              <w:spacing w:after="20" w:before="20"/>
            </w:pPr>
            <w:r>
              <w:rPr>
                <w:rFonts w:ascii="Courier New" w:cs="Courier New" w:eastAsia="Courier New" w:hAnsi="Courier New"/>
                <w:color w:val="333333"/>
                <w:sz w:val="18"/>
                <w:szCs w:val="18"/>
              </w:rPr>
              <w:t xml:space="preserve">        A4_Run1_Lot1_TP1.xlsx</w:t>
            </w:r>
          </w:p>
          <w:p>
            <w:pPr>
              <w:spacing w:after="20" w:before="20"/>
            </w:pPr>
            <w:r>
              <w:rPr>
                <w:rFonts w:ascii="Courier New" w:cs="Courier New" w:eastAsia="Courier New" w:hAnsi="Courier New"/>
                <w:color w:val="333333"/>
                <w:sz w:val="18"/>
                <w:szCs w:val="18"/>
              </w:rPr>
              <w:t xml:space="preserve">        A4_Run1_Lot2_TP1.xlsx</w:t>
            </w:r>
          </w:p>
          <w:p>
            <w:pPr>
              <w:spacing w:after="20" w:before="20"/>
            </w:pPr>
            <w:r>
              <w:rPr>
                <w:rFonts w:ascii="Courier New" w:cs="Courier New" w:eastAsia="Courier New" w:hAnsi="Courier New"/>
                <w:color w:val="333333"/>
                <w:sz w:val="18"/>
                <w:szCs w:val="18"/>
              </w:rPr>
              <w:t xml:space="preserve">        A4_Run1_Validity_TP1.xlsx</w:t>
            </w:r>
          </w:p>
          <w:p>
            <w:pPr>
              <w:spacing w:after="20" w:before="20"/>
            </w:pPr>
            <w:r>
              <w:rPr>
                <w:rFonts w:ascii="Courier New" w:cs="Courier New" w:eastAsia="Courier New" w:hAnsi="Courier New"/>
                <w:color w:val="333333"/>
                <w:sz w:val="18"/>
                <w:szCs w:val="18"/>
              </w:rPr>
              <w:t xml:space="preserve">        A4_Run2_Lot1_TP1.xlsx</w:t>
            </w:r>
          </w:p>
          <w:p>
            <w:pPr>
              <w:spacing w:after="20" w:before="20"/>
            </w:pPr>
            <w:r>
              <w:rPr>
                <w:rFonts w:ascii="Courier New" w:cs="Courier New" w:eastAsia="Courier New" w:hAnsi="Courier New"/>
                <w:color w:val="333333"/>
                <w:sz w:val="18"/>
                <w:szCs w:val="18"/>
              </w:rPr>
              <w:t xml:space="preserve">        ... (see Section 3 for expected file count)</w:t>
            </w:r>
          </w:p>
          <w:p>
            <w:pPr>
              <w:spacing w:after="20" w:before="20"/>
            </w:pPr>
            <w:r>
              <w:rPr>
                <w:rFonts w:ascii="Courier New" w:cs="Courier New" w:eastAsia="Courier New" w:hAnsi="Courier New"/>
                <w:color w:val="333333"/>
                <w:sz w:val="18"/>
                <w:szCs w:val="18"/>
              </w:rPr>
              <w:t xml:space="preserve">    TP2/                       ← Added when TP2 runs are complete</w:t>
            </w:r>
          </w:p>
          <w:p>
            <w:pPr>
              <w:spacing w:after="20" w:before="20"/>
            </w:pPr>
            <w:r>
              <w:rPr>
                <w:rFonts w:ascii="Courier New" w:cs="Courier New" w:eastAsia="Courier New" w:hAnsi="Courier New"/>
                <w:color w:val="333333"/>
                <w:sz w:val="18"/>
                <w:szCs w:val="18"/>
              </w:rPr>
              <w:t xml:space="preserve">        A4_Run1_Lot1_TP2.xlsx</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    {Study}_TP1_Report.xlsx           ← Generated output (do not edit)</w:t>
            </w:r>
          </w:p>
          <w:p>
            <w:pPr>
              <w:spacing w:after="20" w:before="20"/>
            </w:pPr>
            <w:r>
              <w:rPr>
                <w:rFonts w:ascii="Courier New" w:cs="Courier New" w:eastAsia="Courier New" w:hAnsi="Courier New"/>
                <w:color w:val="333333"/>
                <w:sz w:val="18"/>
                <w:szCs w:val="18"/>
              </w:rPr>
              <w:t xml:space="preserve">    {Study}_Trends_Report.xlsx        ← Generated output (do not edit)</w:t>
            </w:r>
          </w:p>
          <w:p>
            <w:pPr>
              <w:spacing w:after="20" w:before="20"/>
            </w:pPr>
            <w:r>
              <w:rPr>
                <w:rFonts w:ascii="Courier New" w:cs="Courier New" w:eastAsia="Courier New" w:hAnsi="Courier New"/>
                <w:color w:val="333333"/>
                <w:sz w:val="18"/>
                <w:szCs w:val="18"/>
              </w:rPr>
              <w:t xml:space="preserve">    {Study}_Tableau_*.csv             ← Generated outputs (3 files)</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Rules</w:t>
      </w:r>
    </w:p>
    <w:p>
      <w:pPr>
        <w:pStyle w:val="ListParagraph"/>
        <w:numPr>
          <w:ilvl w:val="0"/>
          <w:numId w:val="2"/>
        </w:numPr>
        <w:spacing w:after="40" w:before="40"/>
      </w:pPr>
      <w:r>
        <w:rPr>
          <w:rFonts w:ascii="Arial" w:cs="Arial" w:eastAsia="Arial" w:hAnsi="Arial"/>
          <w:sz w:val="20"/>
          <w:szCs w:val="20"/>
        </w:rPr>
        <w:t xml:space="preserve">The study folder name must follow the format {AssayName}_{StudyNumber} with no spaces — for example HE4_Stab11, Renin_Stab12, or Aldosterone_Stab11</w:t>
      </w:r>
    </w:p>
    <w:p>
      <w:pPr>
        <w:pStyle w:val="ListParagraph"/>
        <w:numPr>
          <w:ilvl w:val="0"/>
          <w:numId w:val="2"/>
        </w:numPr>
        <w:spacing w:after="40" w:before="40"/>
      </w:pPr>
      <w:r>
        <w:rPr>
          <w:rFonts w:ascii="Arial" w:cs="Arial" w:eastAsia="Arial" w:hAnsi="Arial"/>
          <w:sz w:val="20"/>
          <w:szCs w:val="20"/>
        </w:rPr>
        <w:t xml:space="preserve">Timepoint subfolders must be named TP1, TP2, TP3 ... TP8 exactly</w:t>
      </w:r>
    </w:p>
    <w:p>
      <w:pPr>
        <w:pStyle w:val="ListParagraph"/>
        <w:numPr>
          <w:ilvl w:val="0"/>
          <w:numId w:val="2"/>
        </w:numPr>
        <w:spacing w:after="40" w:before="40"/>
      </w:pPr>
      <w:r>
        <w:rPr>
          <w:rFonts w:ascii="Arial" w:cs="Arial" w:eastAsia="Arial" w:hAnsi="Arial"/>
          <w:sz w:val="20"/>
          <w:szCs w:val="20"/>
        </w:rPr>
        <w:t xml:space="preserve">Each TP folder should contain the correct number of Raven files for your study design. A typical study with 2 feasibility lots, 1 validity lot, and 2 instruments running 3 runs each has 18 files per timepoint. More files will be present if reruns occurred.</w:t>
      </w:r>
    </w:p>
    <w:p>
      <w:pPr>
        <w:pStyle w:val="ListParagraph"/>
        <w:numPr>
          <w:ilvl w:val="0"/>
          <w:numId w:val="2"/>
        </w:numPr>
        <w:spacing w:after="40" w:before="40"/>
      </w:pPr>
      <w:r>
        <w:rPr>
          <w:rFonts w:ascii="Arial" w:cs="Arial" w:eastAsia="Arial" w:hAnsi="Arial"/>
          <w:sz w:val="20"/>
          <w:szCs w:val="20"/>
        </w:rPr>
        <w:t xml:space="preserve">Do not mix files from different timepoints in the same TP folder</w:t>
      </w:r>
    </w:p>
    <w:p>
      <w:pPr>
        <w:pStyle w:val="ListParagraph"/>
        <w:numPr>
          <w:ilvl w:val="0"/>
          <w:numId w:val="2"/>
        </w:numPr>
        <w:spacing w:after="40" w:before="40"/>
      </w:pPr>
      <w:r>
        <w:rPr>
          <w:rFonts w:ascii="Arial" w:cs="Arial" w:eastAsia="Arial" w:hAnsi="Arial"/>
          <w:sz w:val="20"/>
          <w:szCs w:val="20"/>
        </w:rPr>
        <w:t xml:space="preserve">Generated output files are saved directly into the study folder — do not move them into TP subfolders</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Multiple studies</w:t>
      </w:r>
    </w:p>
    <w:p>
      <w:pPr>
        <w:spacing w:after="60" w:before="60"/>
      </w:pPr>
      <w:r>
        <w:rPr>
          <w:rFonts w:ascii="Arial" w:cs="Arial" w:eastAsia="Arial" w:hAnsi="Arial"/>
          <w:b w:val="false"/>
          <w:bCs w:val="false"/>
          <w:i w:val="false"/>
          <w:iCs w:val="false"/>
          <w:color w:val="000000"/>
          <w:sz w:val="20"/>
          <w:szCs w:val="20"/>
        </w:rPr>
        <w:t xml:space="preserve">For studies running concurrently — for example Stab 11 and Stab 12 of the same assay, or two different assays — keep separate study folders and run the tool once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HE4_Stab11/</w:t>
            </w:r>
          </w:p>
          <w:p>
            <w:pPr>
              <w:spacing w:after="20" w:before="20"/>
            </w:pPr>
            <w:r>
              <w:rPr>
                <w:rFonts w:ascii="Courier New" w:cs="Courier New" w:eastAsia="Courier New" w:hAnsi="Courier New"/>
                <w:color w:val="333333"/>
                <w:sz w:val="18"/>
                <w:szCs w:val="18"/>
              </w:rPr>
              <w:t xml:space="preserve">    TP1/ ...</w:t>
            </w:r>
          </w:p>
          <w:p>
            <w:pPr>
              <w:spacing w:after="20" w:before="20"/>
            </w:pPr>
            <w:r>
              <w:rPr>
                <w:rFonts w:ascii="Courier New" w:cs="Courier New" w:eastAsia="Courier New" w:hAnsi="Courier New"/>
                <w:color w:val="333333"/>
                <w:sz w:val="18"/>
                <w:szCs w:val="18"/>
              </w:rPr>
              <w:t xml:space="preserve"> </w:t>
            </w:r>
          </w:p>
          <w:p>
            <w:pPr>
              <w:spacing w:after="20" w:before="20"/>
            </w:pPr>
            <w:r>
              <w:rPr>
                <w:rFonts w:ascii="Courier New" w:cs="Courier New" w:eastAsia="Courier New" w:hAnsi="Courier New"/>
                <w:color w:val="333333"/>
                <w:sz w:val="18"/>
                <w:szCs w:val="18"/>
              </w:rPr>
              <w:t xml:space="preserve">HE4_Stab12/</w:t>
            </w:r>
          </w:p>
          <w:p>
            <w:pPr>
              <w:spacing w:after="20" w:before="20"/>
            </w:pPr>
            <w:r>
              <w:rPr>
                <w:rFonts w:ascii="Courier New" w:cs="Courier New" w:eastAsia="Courier New" w:hAnsi="Courier New"/>
                <w:color w:val="333333"/>
                <w:sz w:val="18"/>
                <w:szCs w:val="18"/>
              </w:rPr>
              <w:t xml:space="preserve">    TP1/ ...</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Adding a new timepoint</w:t>
      </w:r>
    </w:p>
    <w:p>
      <w:pPr>
        <w:spacing w:after="60" w:before="60"/>
      </w:pPr>
      <w:r>
        <w:rPr>
          <w:rFonts w:ascii="Arial" w:cs="Arial" w:eastAsia="Arial" w:hAnsi="Arial"/>
          <w:b w:val="false"/>
          <w:bCs w:val="false"/>
          <w:i w:val="false"/>
          <w:iCs w:val="false"/>
          <w:color w:val="000000"/>
          <w:sz w:val="20"/>
          <w:szCs w:val="20"/>
        </w:rPr>
        <w:t xml:space="preserve">When TP2 files arrive:</w:t>
      </w:r>
    </w:p>
    <w:p>
      <w:pPr>
        <w:pStyle w:val="ListParagraph"/>
        <w:numPr>
          <w:ilvl w:val="0"/>
          <w:numId w:val="4"/>
        </w:numPr>
        <w:spacing w:after="40" w:before="40"/>
      </w:pPr>
      <w:r>
        <w:rPr>
          <w:rFonts w:ascii="Arial" w:cs="Arial" w:eastAsia="Arial" w:hAnsi="Arial"/>
          <w:sz w:val="20"/>
          <w:szCs w:val="20"/>
        </w:rPr>
        <w:t xml:space="preserve">Create a TP2 subfolder inside the study folder</w:t>
      </w:r>
    </w:p>
    <w:p>
      <w:pPr>
        <w:pStyle w:val="ListParagraph"/>
        <w:numPr>
          <w:ilvl w:val="0"/>
          <w:numId w:val="4"/>
        </w:numPr>
        <w:spacing w:after="40" w:before="40"/>
      </w:pPr>
      <w:r>
        <w:rPr>
          <w:rFonts w:ascii="Arial" w:cs="Arial" w:eastAsia="Arial" w:hAnsi="Arial"/>
          <w:sz w:val="20"/>
          <w:szCs w:val="20"/>
        </w:rPr>
        <w:t xml:space="preserve">Rename and place the Raven files for that timepoint inside TP2/ (see Section 4 for naming)</w:t>
      </w:r>
    </w:p>
    <w:p>
      <w:pPr>
        <w:pStyle w:val="ListParagraph"/>
        <w:numPr>
          <w:ilvl w:val="0"/>
          <w:numId w:val="4"/>
        </w:numPr>
        <w:spacing w:after="40" w:before="40"/>
      </w:pPr>
      <w:r>
        <w:rPr>
          <w:rFonts w:ascii="Arial" w:cs="Arial" w:eastAsia="Arial" w:hAnsi="Arial"/>
          <w:sz w:val="20"/>
          <w:szCs w:val="20"/>
        </w:rPr>
        <w:t xml:space="preserve">Run the tool again, pointing at the same study folder</w:t>
      </w:r>
    </w:p>
    <w:p>
      <w:pPr>
        <w:pStyle w:val="ListParagraph"/>
        <w:numPr>
          <w:ilvl w:val="0"/>
          <w:numId w:val="4"/>
        </w:numPr>
        <w:spacing w:after="40" w:before="40"/>
      </w:pPr>
      <w:r>
        <w:rPr>
          <w:rFonts w:ascii="Arial" w:cs="Arial" w:eastAsia="Arial" w:hAnsi="Arial"/>
          <w:sz w:val="20"/>
          <w:szCs w:val="20"/>
        </w:rPr>
        <w:t xml:space="preserve">The tool generates a new TP2 report and regenerates the trends report to include TP1 and TP2</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444444"/>
          <w:sz w:val="20"/>
          <w:szCs w:val="20"/>
        </w:rPr>
        <w:t xml:space="preserve">You do not need to do anything with the existing TP1 folder or reports. The tool reads all TP folders it finds and handles them automatically.</w:t>
      </w:r>
    </w:p>
    <w:p>
      <w:pPr>
        <w:pageBreakBefore/>
        <w:spacing w:after="0" w:before="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4.  File Naming Convention</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Raven outputs files with its own internal names. Before placing files into the TP folder, you must rename each file using the following format:</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{Instrument}_{Run}_{Lot}_{Timepoint}.xlsx</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Field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Letter A + instrument number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 A5, A3, A6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Run1, Run2, Run3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Lot1, Lot2, or Validity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Lot1, Lot2, Validity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 +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TP1, TP2, TP3</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Correct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20" w:before="20"/>
            </w:pPr>
            <w:r>
              <w:rPr>
                <w:rFonts w:ascii="Courier New" w:cs="Courier New" w:eastAsia="Courier New" w:hAnsi="Courier New"/>
                <w:color w:val="333333"/>
                <w:sz w:val="18"/>
                <w:szCs w:val="18"/>
              </w:rPr>
              <w:t xml:space="preserve">A4_Run1_Lot1_TP1.xlsx</w:t>
            </w:r>
          </w:p>
          <w:p>
            <w:pPr>
              <w:spacing w:after="20" w:before="20"/>
            </w:pPr>
            <w:r>
              <w:rPr>
                <w:rFonts w:ascii="Courier New" w:cs="Courier New" w:eastAsia="Courier New" w:hAnsi="Courier New"/>
                <w:color w:val="333333"/>
                <w:sz w:val="18"/>
                <w:szCs w:val="18"/>
              </w:rPr>
              <w:t xml:space="preserve">A4_Run1_Lot2_TP1.xlsx</w:t>
            </w:r>
          </w:p>
          <w:p>
            <w:pPr>
              <w:spacing w:after="20" w:before="20"/>
            </w:pPr>
            <w:r>
              <w:rPr>
                <w:rFonts w:ascii="Courier New" w:cs="Courier New" w:eastAsia="Courier New" w:hAnsi="Courier New"/>
                <w:color w:val="333333"/>
                <w:sz w:val="18"/>
                <w:szCs w:val="18"/>
              </w:rPr>
              <w:t xml:space="preserve">A4_Run1_Validity_TP1.xlsx</w:t>
            </w:r>
          </w:p>
          <w:p>
            <w:pPr>
              <w:spacing w:after="20" w:before="20"/>
            </w:pPr>
            <w:r>
              <w:rPr>
                <w:rFonts w:ascii="Courier New" w:cs="Courier New" w:eastAsia="Courier New" w:hAnsi="Courier New"/>
                <w:color w:val="333333"/>
                <w:sz w:val="18"/>
                <w:szCs w:val="18"/>
              </w:rPr>
              <w:t xml:space="preserve">A4_Run2_Lot1_TP1.xlsx</w:t>
            </w:r>
          </w:p>
          <w:p>
            <w:pPr>
              <w:spacing w:after="20" w:before="20"/>
            </w:pPr>
            <w:r>
              <w:rPr>
                <w:rFonts w:ascii="Courier New" w:cs="Courier New" w:eastAsia="Courier New" w:hAnsi="Courier New"/>
                <w:color w:val="333333"/>
                <w:sz w:val="18"/>
                <w:szCs w:val="18"/>
              </w:rPr>
              <w:t xml:space="preserve">A4_Run2_Lot2_TP1.xlsx</w:t>
            </w:r>
          </w:p>
          <w:p>
            <w:pPr>
              <w:spacing w:after="20" w:before="20"/>
            </w:pPr>
            <w:r>
              <w:rPr>
                <w:rFonts w:ascii="Courier New" w:cs="Courier New" w:eastAsia="Courier New" w:hAnsi="Courier New"/>
                <w:color w:val="333333"/>
                <w:sz w:val="18"/>
                <w:szCs w:val="18"/>
              </w:rPr>
              <w:t xml:space="preserve">A4_Run2_Validity_TP1.xlsx</w:t>
            </w:r>
          </w:p>
          <w:p>
            <w:pPr>
              <w:spacing w:after="20" w:before="20"/>
            </w:pPr>
            <w:r>
              <w:rPr>
                <w:rFonts w:ascii="Courier New" w:cs="Courier New" w:eastAsia="Courier New" w:hAnsi="Courier New"/>
                <w:color w:val="333333"/>
                <w:sz w:val="18"/>
                <w:szCs w:val="18"/>
              </w:rPr>
              <w:t xml:space="preserve">A4_Run3_Lot1_TP1.xlsx</w:t>
            </w:r>
          </w:p>
          <w:p>
            <w:pPr>
              <w:spacing w:after="20" w:before="20"/>
            </w:pPr>
            <w:r>
              <w:rPr>
                <w:rFonts w:ascii="Courier New" w:cs="Courier New" w:eastAsia="Courier New" w:hAnsi="Courier New"/>
                <w:color w:val="333333"/>
                <w:sz w:val="18"/>
                <w:szCs w:val="18"/>
              </w:rPr>
              <w:t xml:space="preserve">A4_Run3_Lot2_TP1.xlsx</w:t>
            </w:r>
          </w:p>
          <w:p>
            <w:pPr>
              <w:spacing w:after="20" w:before="20"/>
            </w:pPr>
            <w:r>
              <w:rPr>
                <w:rFonts w:ascii="Courier New" w:cs="Courier New" w:eastAsia="Courier New" w:hAnsi="Courier New"/>
                <w:color w:val="333333"/>
                <w:sz w:val="18"/>
                <w:szCs w:val="18"/>
              </w:rPr>
              <w:t xml:space="preserve">A4_Run3_Validity_TP1.xlsx</w:t>
            </w:r>
          </w:p>
          <w:p>
            <w:pPr>
              <w:spacing w:after="20" w:before="20"/>
            </w:pPr>
            <w:r>
              <w:rPr>
                <w:rFonts w:ascii="Courier New" w:cs="Courier New" w:eastAsia="Courier New" w:hAnsi="Courier New"/>
                <w:color w:val="333333"/>
                <w:sz w:val="18"/>
                <w:szCs w:val="18"/>
              </w:rPr>
              <w:t xml:space="preserve">A5_Run1_Lot1_TP1.xlsx</w:t>
            </w:r>
          </w:p>
          <w:p>
            <w:pPr>
              <w:spacing w:after="20" w:before="20"/>
            </w:pPr>
            <w:r>
              <w:rPr>
                <w:rFonts w:ascii="Courier New" w:cs="Courier New" w:eastAsia="Courier New" w:hAnsi="Courier New"/>
                <w:color w:val="333333"/>
                <w:sz w:val="18"/>
                <w:szCs w:val="18"/>
              </w:rPr>
              <w:t xml:space="preserve">... (same pattern for A5)</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Incorrect examples —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Incorrect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Correct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 </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Trailing space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 Run1 Lot1 TP1.xlsx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Spaces instead of underscores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A4_Run1_Lot1_TP1.xlsx</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Lowercase (will still work, but be consistent)</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A4_Run1_Val_TP1.xlsx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 instead of Validity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A4_Run1_Validity_TP1.xlsx</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AIM4_Run1_Lot1_TP1.xlsx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AIM prefix instead of just A4</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w:t>
            </w:r>
          </w:p>
        </w:tc>
      </w:tr>
    </w:tbl>
    <w:p>
      <w:pPr>
        <w:spacing w:after="0" w:before="0"/>
      </w:pPr>
      <w:r>
        <w:rPr>
          <w:rFonts w:ascii="Arial" w:cs="Arial" w:eastAsia="Arial" w:hAnsi="Arial"/>
          <w:sz w:val="20"/>
          <w:szCs w:val="20"/>
        </w:rPr>
        <w:t xml:space="preserve"/>
      </w:r>
    </w:p>
    <w:p>
      <w:pPr>
        <w:spacing w:after="80" w:before="80"/>
        <w:ind w:left="360"/>
      </w:pPr>
      <w:r>
        <w:rPr>
          <w:rFonts w:ascii="Arial" w:cs="Arial" w:eastAsia="Arial" w:hAnsi="Arial"/>
          <w:b/>
          <w:bCs/>
          <w:color w:val="9C0006"/>
          <w:sz w:val="20"/>
          <w:szCs w:val="20"/>
        </w:rPr>
        <w:t xml:space="preserve">⚠  </w:t>
      </w:r>
      <w:r>
        <w:rPr>
          <w:rFonts w:ascii="Arial" w:cs="Arial" w:eastAsia="Arial" w:hAnsi="Arial"/>
          <w:b/>
          <w:bCs/>
          <w:color w:val="9C0006"/>
          <w:sz w:val="20"/>
          <w:szCs w:val="20"/>
        </w:rPr>
        <w:t xml:space="preserve">Files with unrecognized names are skipped with a warning in the application log. If your report is missing data, check the file names first.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5.  Handling Reruns</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If a run fails and needs to be repeated, the rerun file uses the same base name as the original with a rerun suffix added:</w:t>
      </w:r>
    </w:p>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{Instrument}_{Run}_{Lot}_{Timepoint}_Rerun1.xlsx</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Rerun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present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the tool handles 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Original only (no rerun)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Original used as-is for all calculations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run rerun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A4_Run1_Lot1_TP1.xlsx
A4_Run1_Lot1_TP1_Rerun1.xlsx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Rerun1 supersedes original for all samples. Original shown in report as greyed-out “Superseded” row.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Partial rerun (some samples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A4_Run1_Lot1_TP1.xlsx
A4_Run1_Lot1_TP1_Rerun1.xlsx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 samples present in Rerun1: Rerun1 used. For samples not in Rerun1: original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2 of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A4_Run1_Lot1_TP1.xlsx
A4_Run1_Lot1_TP1_Rerun1.xlsx
A4_Run1_Lot1_TP1_Rerun2.xlsx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three versions evaluated. The two most recent passing versions are used for calculations.</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Important rules</w:t>
      </w:r>
    </w:p>
    <w:p>
      <w:pPr>
        <w:pStyle w:val="ListParagraph"/>
        <w:numPr>
          <w:ilvl w:val="0"/>
          <w:numId w:val="2"/>
        </w:numPr>
        <w:spacing w:after="40" w:before="40"/>
      </w:pPr>
      <w:r>
        <w:rPr>
          <w:rFonts w:ascii="Arial" w:cs="Arial" w:eastAsia="Arial" w:hAnsi="Arial"/>
          <w:sz w:val="20"/>
          <w:szCs w:val="20"/>
        </w:rPr>
        <w:t xml:space="preserve">Always keep the original file in the TP folder alongside the rerun — do not delete or replace it</w:t>
      </w:r>
    </w:p>
    <w:p>
      <w:pPr>
        <w:pStyle w:val="ListParagraph"/>
        <w:numPr>
          <w:ilvl w:val="0"/>
          <w:numId w:val="2"/>
        </w:numPr>
        <w:spacing w:after="40" w:before="40"/>
      </w:pPr>
      <w:r>
        <w:rPr>
          <w:rFonts w:ascii="Arial" w:cs="Arial" w:eastAsia="Arial" w:hAnsi="Arial"/>
          <w:sz w:val="20"/>
          <w:szCs w:val="20"/>
        </w:rPr>
        <w:t xml:space="preserve">Rerun suffixes must be _Rerun1, _Rerun2 exactly (capital R, no spaces)</w:t>
      </w:r>
    </w:p>
    <w:p>
      <w:pPr>
        <w:pStyle w:val="ListParagraph"/>
        <w:numPr>
          <w:ilvl w:val="0"/>
          <w:numId w:val="2"/>
        </w:numPr>
        <w:spacing w:after="40" w:before="40"/>
      </w:pPr>
      <w:r>
        <w:rPr>
          <w:rFonts w:ascii="Arial" w:cs="Arial" w:eastAsia="Arial" w:hAnsi="Arial"/>
          <w:sz w:val="20"/>
          <w:szCs w:val="20"/>
        </w:rPr>
        <w:t xml:space="preserve">The base filename before the rerun suffix must match the original exactly</w:t>
      </w:r>
    </w:p>
    <w:p>
      <w:pPr>
        <w:pStyle w:val="ListParagraph"/>
        <w:numPr>
          <w:ilvl w:val="0"/>
          <w:numId w:val="2"/>
        </w:numPr>
        <w:spacing w:after="40" w:before="40"/>
      </w:pPr>
      <w:r>
        <w:rPr>
          <w:rFonts w:ascii="Arial" w:cs="Arial" w:eastAsia="Arial" w:hAnsi="Arial"/>
          <w:sz w:val="20"/>
          <w:szCs w:val="20"/>
        </w:rPr>
        <w:t xml:space="preserve">Superseded (original) rows appear greyed out in the report so you can see the history</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444444"/>
          <w:sz w:val="20"/>
          <w:szCs w:val="20"/>
        </w:rPr>
        <w:t xml:space="preserve">Cross-run means, between-run CVs, and acceptance checks always use only the accepted (non-superseded) version of each sample.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6.  Running the Tool</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Step-by-step</w:t>
      </w:r>
    </w:p>
    <w:p>
      <w:pPr>
        <w:pStyle w:val="ListParagraph"/>
        <w:numPr>
          <w:ilvl w:val="0"/>
          <w:numId w:val="5"/>
        </w:numPr>
        <w:spacing w:after="40" w:before="40"/>
      </w:pPr>
      <w:r>
        <w:rPr>
          <w:rFonts w:ascii="Arial" w:cs="Arial" w:eastAsia="Arial" w:hAnsi="Arial"/>
          <w:sz w:val="20"/>
          <w:szCs w:val="20"/>
        </w:rPr>
        <w:t xml:space="preserve">Double-click StabilityReportGenerator.exe to open the application</w:t>
      </w:r>
    </w:p>
    <w:p>
      <w:pPr>
        <w:pStyle w:val="ListParagraph"/>
        <w:numPr>
          <w:ilvl w:val="0"/>
          <w:numId w:val="5"/>
        </w:numPr>
        <w:spacing w:after="40" w:before="40"/>
      </w:pPr>
      <w:r>
        <w:rPr>
          <w:rFonts w:ascii="Arial" w:cs="Arial" w:eastAsia="Arial" w:hAnsi="Arial"/>
          <w:sz w:val="20"/>
          <w:szCs w:val="20"/>
        </w:rPr>
        <w:t xml:space="preserve">Click Browse… next to Study Folder</w:t>
      </w:r>
    </w:p>
    <w:p>
      <w:pPr>
        <w:pStyle w:val="ListParagraph"/>
        <w:numPr>
          <w:ilvl w:val="0"/>
          <w:numId w:val="5"/>
        </w:numPr>
        <w:spacing w:after="40" w:before="40"/>
      </w:pPr>
      <w:r>
        <w:rPr>
          <w:rFonts w:ascii="Arial" w:cs="Arial" w:eastAsia="Arial" w:hAnsi="Arial"/>
          <w:sz w:val="20"/>
          <w:szCs w:val="20"/>
        </w:rPr>
        <w:t xml:space="preserve">Navigate to your study folder (e.g. HE4_Stab11) and click Select Folder</w:t>
      </w:r>
    </w:p>
    <w:p>
      <w:pPr>
        <w:pStyle w:val="ListParagraph"/>
        <w:numPr>
          <w:ilvl w:val="0"/>
          <w:numId w:val="5"/>
        </w:numPr>
        <w:spacing w:after="40" w:before="40"/>
      </w:pPr>
      <w:r>
        <w:rPr>
          <w:rFonts w:ascii="Arial" w:cs="Arial" w:eastAsia="Arial" w:hAnsi="Arial"/>
          <w:sz w:val="20"/>
          <w:szCs w:val="20"/>
        </w:rPr>
        <w:t xml:space="preserve">The Study Contents panel updates automatically, showing the study name, timepoints found, and number of Raven files detected. Verify these look correct before continuing.</w:t>
      </w:r>
    </w:p>
    <w:p>
      <w:pPr>
        <w:pStyle w:val="ListParagraph"/>
        <w:numPr>
          <w:ilvl w:val="0"/>
          <w:numId w:val="5"/>
        </w:numPr>
        <w:spacing w:after="40" w:before="40"/>
      </w:pPr>
      <w:r>
        <w:rPr>
          <w:rFonts w:ascii="Arial" w:cs="Arial" w:eastAsia="Arial" w:hAnsi="Arial"/>
          <w:sz w:val="20"/>
          <w:szCs w:val="20"/>
        </w:rPr>
        <w:t xml:space="preserve">Click Generate All Reports</w:t>
      </w:r>
    </w:p>
    <w:p>
      <w:pPr>
        <w:pStyle w:val="ListParagraph"/>
        <w:numPr>
          <w:ilvl w:val="0"/>
          <w:numId w:val="5"/>
        </w:numPr>
        <w:spacing w:after="40" w:before="40"/>
      </w:pPr>
      <w:r>
        <w:rPr>
          <w:rFonts w:ascii="Arial" w:cs="Arial" w:eastAsia="Arial" w:hAnsi="Arial"/>
          <w:sz w:val="20"/>
          <w:szCs w:val="20"/>
        </w:rPr>
        <w:t xml:space="preserve">Wait for the progress bar to complete. Status messages update as each step finishes.</w:t>
      </w:r>
    </w:p>
    <w:p>
      <w:pPr>
        <w:pStyle w:val="ListParagraph"/>
        <w:numPr>
          <w:ilvl w:val="0"/>
          <w:numId w:val="5"/>
        </w:numPr>
        <w:spacing w:after="40" w:before="40"/>
      </w:pPr>
      <w:r>
        <w:rPr>
          <w:rFonts w:ascii="Arial" w:cs="Arial" w:eastAsia="Arial" w:hAnsi="Arial"/>
          <w:sz w:val="20"/>
          <w:szCs w:val="20"/>
        </w:rPr>
        <w:t xml:space="preserve">A completion dialog appears listing all files generated. Click OK.</w:t>
      </w:r>
    </w:p>
    <w:p>
      <w:pPr>
        <w:pStyle w:val="ListParagraph"/>
        <w:numPr>
          <w:ilvl w:val="0"/>
          <w:numId w:val="5"/>
        </w:numPr>
        <w:spacing w:after="40" w:before="40"/>
      </w:pPr>
      <w:r>
        <w:rPr>
          <w:rFonts w:ascii="Arial" w:cs="Arial" w:eastAsia="Arial" w:hAnsi="Arial"/>
          <w:sz w:val="20"/>
          <w:szCs w:val="20"/>
        </w:rPr>
        <w:t xml:space="preserve">All output files are saved in the study folder. Per-timepoint and trends reports are in the study folder root. Tableau CSVs are in the Tableau/ subfolder.</w:t>
      </w:r>
    </w:p>
    <w:p>
      <w:pPr>
        <w:spacing w:after="0" w:before="0"/>
      </w:pPr>
      <w:r>
        <w:rPr>
          <w:rFonts w:ascii="Arial" w:cs="Arial" w:eastAsia="Arial" w:hAnsi="Arial"/>
          <w:sz w:val="20"/>
          <w:szCs w:val="20"/>
        </w:rPr>
        <w:t xml:space="preserve"/>
      </w:r>
    </w:p>
    <w:p>
      <w:pPr>
        <w:spacing w:after="80" w:before="80"/>
        <w:ind w:left="360"/>
      </w:pPr>
      <w:r>
        <w:rPr>
          <w:rFonts w:ascii="Arial" w:cs="Arial" w:eastAsia="Arial" w:hAnsi="Arial"/>
          <w:b/>
          <w:bCs/>
          <w:color w:val="9C0006"/>
          <w:sz w:val="20"/>
          <w:szCs w:val="20"/>
        </w:rPr>
        <w:t xml:space="preserve">⚠  </w:t>
      </w:r>
      <w:r>
        <w:rPr>
          <w:rFonts w:ascii="Arial" w:cs="Arial" w:eastAsia="Arial" w:hAnsi="Arial"/>
          <w:b/>
          <w:bCs/>
          <w:color w:val="9C0006"/>
          <w:sz w:val="20"/>
          <w:szCs w:val="20"/>
        </w:rPr>
        <w:t xml:space="preserve">Do not close the application while the progress bar is running. Generation can take 1–3 minutes depending on the number of timepoints and files.</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What the status messages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Select a study folder to begin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folder selected yet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TP subfolders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selected folder does not contain TP1, TP2, etc. subfolders. Check folder structure.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Ready — N timepoints, N files found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Everything looks correct. Ready to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Loading data from N timepoint(s)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Raven files. Please wait.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Building TP# report…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Generating the per-timepoint Excel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Building trends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Generating the combined trends report with charts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Exporting Tableau data…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Writing the three CSV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All reports generated successfully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Check the study folder for output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7.  Understanding the Outputs</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Per-timepoint report  (e.g. HE4_Stab_11_TP1_Report.xlsx)</w:t>
      </w:r>
    </w:p>
    <w:p>
      <w:pPr>
        <w:spacing w:after="60" w:before="60"/>
      </w:pPr>
      <w:r>
        <w:rPr>
          <w:rFonts w:ascii="Arial" w:cs="Arial" w:eastAsia="Arial" w:hAnsi="Arial"/>
          <w:b w:val="false"/>
          <w:bCs w:val="false"/>
          <w:i w:val="false"/>
          <w:iCs w:val="false"/>
          <w:color w:val="000000"/>
          <w:sz w:val="20"/>
          <w:szCs w:val="20"/>
        </w:rPr>
        <w:t xml:space="preserve">One file is generated per timepoint. The filename is built automatically from the study folder name and timepoint — for example HE4_Stab_11_TP1_Report.xlsx for HE4 Stab 11, or Renin_Stab_11_TP1_Report.xlsx for a Renin study.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Sheet</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Summary</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Run-level results for all lots and instruments. Shows RLU average, dose average, CV, spec limits, and pass/fail for every run. Includes a between-run validity section for RefCon grand means across all runs.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sheets
(one per sample)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 sample detail. Run summary table at top, followed by a replicate grid showing every individual replicate value. Each replicate cell is green if within individual rep spec limits, red if outside. The number of Panel sheets depends on your assay.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RefCon sheets
(one per sample)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layout as Panel sheets. Validity lot runs are shown separately with their wider acceptance window. The number of RefCon sheets depends on your assay.</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Trends report  (e.g. HE4_Stab_11_Trends_Report.xlsx)</w:t>
      </w:r>
    </w:p>
    <w:p>
      <w:pPr>
        <w:spacing w:after="60" w:before="60"/>
      </w:pPr>
      <w:r>
        <w:rPr>
          <w:rFonts w:ascii="Arial" w:cs="Arial" w:eastAsia="Arial" w:hAnsi="Arial"/>
          <w:b w:val="false"/>
          <w:bCs w:val="false"/>
          <w:i w:val="false"/>
          <w:iCs w:val="false"/>
          <w:color w:val="000000"/>
          <w:sz w:val="20"/>
          <w:szCs w:val="20"/>
        </w:rPr>
        <w:t xml:space="preserve">One file per study, named from the study folder name. Regenerated each time a new timepoint is added, so it always reflects all data collected to date.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Sheet</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Overview</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Pass/fail summary table showing runs passing at each timepoint (e.g. 6/6) for every sample and lot combination. Updated automatically as timepoints are added.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Sample sheets
(one per sample)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Grand mean table across all timepoints, %CV by timepoint, and one trend chart per lot showing concentration over time with spec limit lines. Data points are green (pass) or red (fail). One sheet per sample, for all samples defined in config.xlsx.</w:t>
            </w:r>
          </w:p>
        </w:tc>
      </w:tr>
    </w:tbl>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Tableau CSV files  (optional)</w:t>
      </w:r>
    </w:p>
    <w:p>
      <w:pPr>
        <w:spacing w:after="60" w:before="60"/>
      </w:pPr>
      <w:r>
        <w:rPr>
          <w:rFonts w:ascii="Arial" w:cs="Arial" w:eastAsia="Arial" w:hAnsi="Arial"/>
          <w:b w:val="false"/>
          <w:bCs w:val="false"/>
          <w:i w:val="false"/>
          <w:iCs w:val="false"/>
          <w:color w:val="000000"/>
          <w:sz w:val="20"/>
          <w:szCs w:val="20"/>
        </w:rPr>
        <w:t xml:space="preserve">Three CSV files are exported into a Tableau/ subfolder inside the study folder. They are not required for normal use — the Excel reports are fully standalone. Anyone without Tableau can ignore this subfolder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use in Tableau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Tableau_RunSummary.csv</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row per run/sample. All stats and pass/fail.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Run-level analysis, heat 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Tableau_GrandMeans.csv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row per timepoint/lot/sample. Grand means and CVs.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Trend line charts, spec comparison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Tableau_Replicates.csv</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row per individual replicate.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Box plots, replicate-level drill-down</w:t>
            </w:r>
          </w:p>
        </w:tc>
      </w:tr>
    </w:tbl>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444444"/>
          <w:sz w:val="20"/>
          <w:szCs w:val="20"/>
        </w:rPr>
        <w:t xml:space="preserve">Connect Tableau to Tableau_GrandMeans.csv to build concentration trend charts. Use Timepoint_Num as a numeric axis dimension, Grand_Mean as your measure, and Sample + Lot as filters or color dimensions. Spec limit columns (Mean_Spec_LSL, Mean_Spec_USL) can be used as reference lines.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8.  Acceptance Criteria</w:t>
            </w:r>
          </w:p>
        </w:tc>
      </w:tr>
    </w:tbl>
    <w:p>
      <w:pPr>
        <w:spacing w:after="0" w:before="0"/>
      </w:pPr>
      <w:r>
        <w:rPr>
          <w:rFonts w:ascii="Arial" w:cs="Arial" w:eastAsia="Arial" w:hAnsi="Arial"/>
          <w:sz w:val="20"/>
          <w:szCs w:val="20"/>
        </w:rPr>
        <w:t xml:space="preserve"/>
      </w:r>
    </w:p>
    <w:p>
      <w:pPr>
        <w:spacing w:after="60" w:before="60"/>
      </w:pPr>
      <w:r>
        <w:rPr>
          <w:rFonts w:ascii="Arial" w:cs="Arial" w:eastAsia="Arial" w:hAnsi="Arial"/>
          <w:b w:val="false"/>
          <w:bCs w:val="false"/>
          <w:i w:val="false"/>
          <w:iCs w:val="false"/>
          <w:color w:val="000000"/>
          <w:sz w:val="20"/>
          <w:szCs w:val="20"/>
        </w:rPr>
        <w:t xml:space="preserve">Acceptance criteria are stored in the config.xlsx file in your study folder — not in this document. This is intentional: specs are assay-specific, can vary by lot, and may change mid-study. The config file is the single authoritative source.</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Where to find your specs</w:t>
      </w:r>
    </w:p>
    <w:p>
      <w:pPr>
        <w:spacing w:after="60" w:before="60"/>
      </w:pPr>
      <w:r>
        <w:rPr>
          <w:rFonts w:ascii="Arial" w:cs="Arial" w:eastAsia="Arial" w:hAnsi="Arial"/>
          <w:b w:val="false"/>
          <w:bCs w:val="false"/>
          <w:i w:val="false"/>
          <w:iCs w:val="false"/>
          <w:color w:val="000000"/>
          <w:sz w:val="20"/>
          <w:szCs w:val="20"/>
        </w:rPr>
        <w:t xml:space="preserve">Open config.xlsx in your study folder and go to the Specs sheet. All individual replicate limits, run mean limits, and validity lot limits for your assay are listed there. See Section 2 for instructions on filling in the Specs sheet when setting up a new study.</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Confirming what specs the tool is using</w:t>
      </w:r>
    </w:p>
    <w:p>
      <w:pPr>
        <w:spacing w:after="60" w:before="60"/>
      </w:pPr>
      <w:r>
        <w:rPr>
          <w:rFonts w:ascii="Arial" w:cs="Arial" w:eastAsia="Arial" w:hAnsi="Arial"/>
          <w:b w:val="false"/>
          <w:bCs w:val="false"/>
          <w:i w:val="false"/>
          <w:iCs w:val="false"/>
          <w:color w:val="000000"/>
          <w:sz w:val="20"/>
          <w:szCs w:val="20"/>
        </w:rPr>
        <w:t xml:space="preserve">When the tool runs, it logs a confirmation showing the assay name, CV limit, min reps, and the list of samples loaded from config.xlsx. If results look unexpected, check the Specs sheet first.</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Updating specs mid-study</w:t>
      </w:r>
    </w:p>
    <w:p>
      <w:pPr>
        <w:spacing w:after="60" w:before="60"/>
      </w:pPr>
      <w:r>
        <w:rPr>
          <w:rFonts w:ascii="Arial" w:cs="Arial" w:eastAsia="Arial" w:hAnsi="Arial"/>
          <w:b w:val="false"/>
          <w:bCs w:val="false"/>
          <w:i w:val="false"/>
          <w:iCs w:val="false"/>
          <w:color w:val="000000"/>
          <w:sz w:val="20"/>
          <w:szCs w:val="20"/>
        </w:rPr>
        <w:t xml:space="preserve">If specs change during a study — for example because a panel lot runs out and a new lot is introduced, or because a protocol amendment is issued — update the Specs sheet in config.xlsx and rerun the tool. Add a new row for the affected sample with the new specs and the timepoint they take effect from. The previous row stays and continues to apply to earlier timepoints.</w:t>
      </w:r>
    </w:p>
    <w:p>
      <w:pPr>
        <w:spacing w:after="0" w:before="0"/>
      </w:pPr>
      <w:r>
        <w:rPr>
          <w:rFonts w:ascii="Arial" w:cs="Arial" w:eastAsia="Arial" w:hAnsi="Arial"/>
          <w:sz w:val="20"/>
          <w:szCs w:val="20"/>
        </w:rPr>
        <w:t xml:space="preserve"/>
      </w:r>
    </w:p>
    <w:p>
      <w:pPr>
        <w:pStyle w:val="Heading2"/>
        <w:keepNext/>
        <w:spacing w:after="120" w:before="240"/>
      </w:pPr>
      <w:r>
        <w:rPr>
          <w:rFonts w:ascii="Arial" w:cs="Arial" w:eastAsia="Arial" w:hAnsi="Arial"/>
          <w:b/>
          <w:bCs/>
          <w:color w:val="2E75B6"/>
          <w:sz w:val="24"/>
          <w:szCs w:val="24"/>
        </w:rPr>
        <w:t xml:space="preserve">CV limit and minimum replicates</w:t>
      </w:r>
    </w:p>
    <w:p>
      <w:pPr>
        <w:spacing w:after="60" w:before="60"/>
      </w:pPr>
      <w:r>
        <w:rPr>
          <w:rFonts w:ascii="Arial" w:cs="Arial" w:eastAsia="Arial" w:hAnsi="Arial"/>
          <w:b w:val="false"/>
          <w:bCs w:val="false"/>
          <w:i w:val="false"/>
          <w:iCs w:val="false"/>
          <w:color w:val="000000"/>
          <w:sz w:val="20"/>
          <w:szCs w:val="20"/>
        </w:rPr>
        <w:t xml:space="preserve">Two acceptance criteria apply universally across all samples and are set in the Study Info sheet of config.xlsx:</w:t>
      </w:r>
    </w:p>
    <w:p>
      <w:pPr>
        <w:pStyle w:val="ListParagraph"/>
        <w:numPr>
          <w:ilvl w:val="0"/>
          <w:numId w:val="2"/>
        </w:numPr>
        <w:spacing w:after="40" w:before="40"/>
      </w:pPr>
      <w:r>
        <w:rPr>
          <w:rFonts w:ascii="Arial" w:cs="Arial" w:eastAsia="Arial" w:hAnsi="Arial"/>
          <w:sz w:val="20"/>
          <w:szCs w:val="20"/>
        </w:rPr>
        <w:t xml:space="preserve">Default CV Limit (%) — a run fails if the dose %CV across all replicates exceeds this value. Default is 7.5%.</w:t>
      </w:r>
    </w:p>
    <w:p>
      <w:pPr>
        <w:pStyle w:val="ListParagraph"/>
        <w:numPr>
          <w:ilvl w:val="0"/>
          <w:numId w:val="2"/>
        </w:numPr>
        <w:spacing w:after="40" w:before="40"/>
      </w:pPr>
      <w:r>
        <w:rPr>
          <w:rFonts w:ascii="Arial" w:cs="Arial" w:eastAsia="Arial" w:hAnsi="Arial"/>
          <w:sz w:val="20"/>
          <w:szCs w:val="20"/>
        </w:rPr>
        <w:t xml:space="preserve">Min Valid Reps — a run fails if fewer than this many replicates are valid. Default is 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keepNext/>
            </w:pPr>
            <w:r>
              <w:rPr>
                <w:rFonts w:ascii="Arial" w:cs="Arial" w:eastAsia="Arial" w:hAnsi="Arial"/>
                <w:b/>
                <w:bCs/>
                <w:color w:val="FFFFFF"/>
                <w:sz w:val="22"/>
                <w:szCs w:val="22"/>
              </w:rPr>
              <w:t xml:space="preserve">9.  Troubleshooting</w:t>
            </w:r>
          </w:p>
        </w:tc>
      </w:tr>
    </w:tbl>
    <w:p>
      <w:pPr>
        <w:spacing w:after="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Likely cause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TP subfolders found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Study folder selected instead of TP folder, or TP folders are named incorrectly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Make sure you selected the study folder itself (e.g. HE4_Stab11/) and not a TP subfolder inside it. TP folders must be named TP1, TP2,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 is missing data for some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naming does not match the required convention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file names carefully. Files with unrecognized names are silently skipped. See Section 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results showing as FAIL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Spec limits in config.xlsx do not match protocol, or config.xlsx is missing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 config.xlsx and verify the Specs sheet contains the correct limits. If config.xlsx is missing, create one from the template (see Section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shows Missing File error on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stability_report_v2.py is not in the same folder as the .exe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 both files in the same folder.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Report takes a very long 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Many timepoints and large files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Normal. Each TP with 18 files takes ~20-30 seconds. 8 timepoints may take 3-5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sample is missing from runs, or warning shows unrecognized sample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sample name in the Raven file does not match any sample defined in config.xlsx. The tool prints a warning naming the exact file and the unrecognized sample name.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 the named Raven file and check the SampleID column in the Analysis sheet. Compare against the Sample column in config.xlsx. Even a single character difference (e.g. Panel1 vs Panl1) causes that sample to be excluded entirely. Sample names are set by the instrument at run time and cannot be changed in Raven — the raw file must be corrected at the source before reprocessing.</w:t>
            </w:r>
          </w:p>
        </w:tc>
      </w:tr>
    </w:tbl>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pBdr>
          <w:bottom w:val="single" w:color="BDD7EE" w:sz="4" w:space="1"/>
        </w:pBdr>
        <w:spacing w:after="120" w:before="120"/>
      </w:pPr>
      <w:r>
        <w:rPr>
          <w:rFonts w:ascii="Arial" w:cs="Arial" w:eastAsia="Arial" w:hAnsi="Arial"/>
          <w:sz w:val="4"/>
          <w:szCs w:val="4"/>
        </w:rPr>
        <w:t xml:space="preserve"/>
      </w:r>
    </w:p>
    <w:p>
      <w:pPr>
        <w:spacing w:after="60" w:before="60"/>
      </w:pPr>
      <w:r>
        <w:rPr>
          <w:rFonts w:ascii="Arial" w:cs="Arial" w:eastAsia="Arial" w:hAnsi="Arial"/>
          <w:b w:val="false"/>
          <w:bCs w:val="false"/>
          <w:i/>
          <w:iCs/>
          <w:color w:val="666666"/>
          <w:sz w:val="20"/>
          <w:szCs w:val="20"/>
        </w:rPr>
        <w:t xml:space="preserve">For issues not covered here, contact the Process Design Science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Internal Use Only</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Stability Report Generator — User Guide</w:t>
    </w:r>
    <w:r>
      <w:rPr>
        <w:rFonts w:ascii="Arial" w:cs="Arial" w:eastAsia="Arial" w:hAnsi="Arial"/>
        <w:sz w:val="18"/>
        <w:szCs w:val="18"/>
      </w:rPr>
      <w:t xml:space="preserve">	</w:t>
    </w:r>
    <w:r>
      <w:rPr>
        <w:rFonts w:ascii="Arial" w:cs="Arial" w:eastAsia="Arial" w:hAnsi="Arial"/>
        <w:color w:val="666666"/>
        <w:sz w:val="18"/>
        <w:szCs w:val="18"/>
      </w:rPr>
      <w:t xml:space="preserve">Fujirebio Diagnostics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2026-06-08T19:08:33.477Z</dcterms:created>
  <dcterms:modified xsi:type="dcterms:W3CDTF">2026-06-08T19:08:33.477Z</dcterms:modified>
</cp:coreProperties>
</file>

<file path=docProps/custom.xml><?xml version="1.0" encoding="utf-8"?>
<Properties xmlns="http://schemas.openxmlformats.org/officeDocument/2006/custom-properties" xmlns:vt="http://schemas.openxmlformats.org/officeDocument/2006/docPropsVTypes"/>
</file>