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drawings/drawing3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B4DD" w14:textId="4CB007FC" w:rsidR="00EC59CF" w:rsidRDefault="00EC59CF">
      <w:r>
        <w:rPr>
          <w:noProof/>
        </w:rPr>
        <w:drawing>
          <wp:anchor distT="0" distB="0" distL="114300" distR="114300" simplePos="0" relativeHeight="251659264" behindDoc="0" locked="0" layoutInCell="1" allowOverlap="1" wp14:anchorId="4AACBE1E" wp14:editId="16C7310E">
            <wp:simplePos x="0" y="0"/>
            <wp:positionH relativeFrom="page">
              <wp:posOffset>12192</wp:posOffset>
            </wp:positionH>
            <wp:positionV relativeFrom="paragraph">
              <wp:posOffset>-1067943</wp:posOffset>
            </wp:positionV>
            <wp:extent cx="10696575" cy="7534656"/>
            <wp:effectExtent l="0" t="0" r="9525" b="9525"/>
            <wp:wrapNone/>
            <wp:docPr id="28040595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231D91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22567" w14:textId="77777777" w:rsidR="00EC59CF" w:rsidRDefault="00EC59CF"/>
    <w:p w14:paraId="328A82AE" w14:textId="0102647F" w:rsidR="00EC59CF" w:rsidRDefault="00EC59CF"/>
    <w:p w14:paraId="2AE1F483" w14:textId="5752C404" w:rsidR="00EC59CF" w:rsidRDefault="00EC59CF"/>
    <w:p w14:paraId="4FAD3CA9" w14:textId="29FF92D0" w:rsidR="00EC59CF" w:rsidRDefault="00EC59CF"/>
    <w:p w14:paraId="5AD2A5E4" w14:textId="09382248" w:rsidR="00EC59CF" w:rsidRDefault="00EC59CF"/>
    <w:p w14:paraId="6501878A" w14:textId="77777777" w:rsidR="00EC59CF" w:rsidRDefault="00EC59CF"/>
    <w:p w14:paraId="1BF9E195" w14:textId="7110ECBA" w:rsidR="00EC59CF" w:rsidRDefault="00EC59CF"/>
    <w:p w14:paraId="7EEDB52C" w14:textId="113A8010" w:rsidR="00EC59CF" w:rsidRDefault="00EC59CF"/>
    <w:p w14:paraId="08C1DDBF" w14:textId="1F101102" w:rsidR="00EC59CF" w:rsidRDefault="00EC59CF"/>
    <w:p w14:paraId="00295CEA" w14:textId="77777777" w:rsidR="00EC59CF" w:rsidRDefault="00EC59CF"/>
    <w:p w14:paraId="5EF2B26C" w14:textId="77777777" w:rsidR="00EC59CF" w:rsidRDefault="00EC59CF"/>
    <w:p w14:paraId="4F452AE8" w14:textId="77777777" w:rsidR="00EC59CF" w:rsidRDefault="00EC59CF"/>
    <w:p w14:paraId="2F613F9A" w14:textId="77777777" w:rsidR="00EC59CF" w:rsidRDefault="00EC59CF"/>
    <w:p w14:paraId="4794D69F" w14:textId="77777777" w:rsidR="00EC59CF" w:rsidRDefault="00EC59CF"/>
    <w:p w14:paraId="27BFB2F9" w14:textId="77777777" w:rsidR="00EC59CF" w:rsidRDefault="00EC59CF"/>
    <w:p w14:paraId="77F8DF19" w14:textId="77777777" w:rsidR="00EC59CF" w:rsidRDefault="00EC59CF"/>
    <w:p w14:paraId="3B8BB659" w14:textId="77777777" w:rsidR="00EC59CF" w:rsidRDefault="00EC59CF"/>
    <w:p w14:paraId="04B2F796" w14:textId="77777777" w:rsidR="00EC59CF" w:rsidRDefault="00EC59CF"/>
    <w:p w14:paraId="48BD0CD1" w14:textId="04445832" w:rsidR="00EC59CF" w:rsidRDefault="004F4AAC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51CA1C7" wp14:editId="372F82A6">
            <wp:simplePos x="0" y="0"/>
            <wp:positionH relativeFrom="page">
              <wp:posOffset>0</wp:posOffset>
            </wp:positionH>
            <wp:positionV relativeFrom="paragraph">
              <wp:posOffset>-1116711</wp:posOffset>
            </wp:positionV>
            <wp:extent cx="10679430" cy="7583424"/>
            <wp:effectExtent l="0" t="0" r="7620" b="17780"/>
            <wp:wrapNone/>
            <wp:docPr id="372326264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221D91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CD9A40" w14:textId="77777777" w:rsidR="00EC59CF" w:rsidRDefault="00EC59CF"/>
    <w:p w14:paraId="6E737725" w14:textId="77777777" w:rsidR="00EC59CF" w:rsidRDefault="00EC59CF"/>
    <w:p w14:paraId="70AE8934" w14:textId="77777777" w:rsidR="00EC59CF" w:rsidRDefault="00EC59CF"/>
    <w:p w14:paraId="02A27E0C" w14:textId="278EB907" w:rsidR="00C333F7" w:rsidRDefault="00C333F7"/>
    <w:p w14:paraId="5382B5BA" w14:textId="4F517D64" w:rsidR="004F4AAC" w:rsidRDefault="004F4AAC"/>
    <w:p w14:paraId="6829D0DF" w14:textId="77777777" w:rsidR="004F4AAC" w:rsidRDefault="004F4AAC"/>
    <w:p w14:paraId="318F5453" w14:textId="77777777" w:rsidR="004F4AAC" w:rsidRDefault="004F4AAC"/>
    <w:p w14:paraId="184A1787" w14:textId="77777777" w:rsidR="004F4AAC" w:rsidRDefault="004F4AAC"/>
    <w:p w14:paraId="4BC274C0" w14:textId="77777777" w:rsidR="004F4AAC" w:rsidRDefault="004F4AAC"/>
    <w:p w14:paraId="3DBA4EB3" w14:textId="77777777" w:rsidR="004F4AAC" w:rsidRDefault="004F4AAC"/>
    <w:p w14:paraId="12A63D2F" w14:textId="77777777" w:rsidR="004F4AAC" w:rsidRDefault="004F4AAC"/>
    <w:p w14:paraId="429517F2" w14:textId="77777777" w:rsidR="004F4AAC" w:rsidRDefault="004F4AAC"/>
    <w:p w14:paraId="489E52AE" w14:textId="77777777" w:rsidR="004F4AAC" w:rsidRDefault="004F4AAC"/>
    <w:p w14:paraId="569AA3FA" w14:textId="77777777" w:rsidR="004F4AAC" w:rsidRDefault="004F4AAC"/>
    <w:p w14:paraId="3C502195" w14:textId="77777777" w:rsidR="004F4AAC" w:rsidRDefault="004F4AAC"/>
    <w:p w14:paraId="51AF009C" w14:textId="77777777" w:rsidR="004F4AAC" w:rsidRDefault="004F4AAC"/>
    <w:p w14:paraId="2F51EDFC" w14:textId="77777777" w:rsidR="004F4AAC" w:rsidRDefault="004F4AAC"/>
    <w:p w14:paraId="74191CA7" w14:textId="77777777" w:rsidR="004F4AAC" w:rsidRDefault="004F4AAC"/>
    <w:p w14:paraId="32E65F84" w14:textId="36A51A3C" w:rsidR="004F4AAC" w:rsidRDefault="006B5EF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6EC2E36" wp14:editId="4867712C">
            <wp:simplePos x="0" y="0"/>
            <wp:positionH relativeFrom="page">
              <wp:align>left</wp:align>
            </wp:positionH>
            <wp:positionV relativeFrom="paragraph">
              <wp:posOffset>-1067943</wp:posOffset>
            </wp:positionV>
            <wp:extent cx="10680065" cy="7521956"/>
            <wp:effectExtent l="0" t="0" r="6985" b="3175"/>
            <wp:wrapNone/>
            <wp:docPr id="1272691742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27E34" w14:textId="77777777" w:rsidR="004F4AAC" w:rsidRDefault="004F4AAC"/>
    <w:sectPr w:rsidR="004F4AAC" w:rsidSect="00EC59CF">
      <w:footerReference w:type="default" r:id="rId9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1E243" w14:textId="77777777" w:rsidR="00EC59CF" w:rsidRDefault="00EC59CF" w:rsidP="00EC59CF">
      <w:pPr>
        <w:spacing w:after="0" w:line="240" w:lineRule="auto"/>
      </w:pPr>
      <w:r>
        <w:separator/>
      </w:r>
    </w:p>
  </w:endnote>
  <w:endnote w:type="continuationSeparator" w:id="0">
    <w:p w14:paraId="2FC46C24" w14:textId="77777777" w:rsidR="00EC59CF" w:rsidRDefault="00EC59CF" w:rsidP="00EC5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A00C8" w14:textId="77777777" w:rsidR="00EC59CF" w:rsidRDefault="00EC59CF">
    <w:pPr>
      <w:pStyle w:val="Rodap"/>
    </w:pPr>
  </w:p>
  <w:p w14:paraId="04688EA0" w14:textId="77777777" w:rsidR="00EC59CF" w:rsidRDefault="00EC59CF">
    <w:pPr>
      <w:pStyle w:val="Rodap"/>
    </w:pPr>
  </w:p>
  <w:p w14:paraId="02ECB2CB" w14:textId="77777777" w:rsidR="00EC59CF" w:rsidRDefault="00EC59CF">
    <w:pPr>
      <w:pStyle w:val="Rodap"/>
    </w:pPr>
  </w:p>
  <w:p w14:paraId="3898AD05" w14:textId="77777777" w:rsidR="00EC59CF" w:rsidRDefault="00EC59C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51AC1" w14:textId="77777777" w:rsidR="00EC59CF" w:rsidRDefault="00EC59CF" w:rsidP="00EC59CF">
      <w:pPr>
        <w:spacing w:after="0" w:line="240" w:lineRule="auto"/>
      </w:pPr>
      <w:r>
        <w:separator/>
      </w:r>
    </w:p>
  </w:footnote>
  <w:footnote w:type="continuationSeparator" w:id="0">
    <w:p w14:paraId="7237C1DF" w14:textId="77777777" w:rsidR="00EC59CF" w:rsidRDefault="00EC59CF" w:rsidP="00EC59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9CF"/>
    <w:rsid w:val="0003713A"/>
    <w:rsid w:val="00045E30"/>
    <w:rsid w:val="000D62A1"/>
    <w:rsid w:val="00120070"/>
    <w:rsid w:val="002A5606"/>
    <w:rsid w:val="003F6363"/>
    <w:rsid w:val="00410B14"/>
    <w:rsid w:val="004A1460"/>
    <w:rsid w:val="004F4AAC"/>
    <w:rsid w:val="005255D6"/>
    <w:rsid w:val="006B5EF9"/>
    <w:rsid w:val="007D29EC"/>
    <w:rsid w:val="008C7325"/>
    <w:rsid w:val="00912F43"/>
    <w:rsid w:val="00932C86"/>
    <w:rsid w:val="00A20478"/>
    <w:rsid w:val="00B46E91"/>
    <w:rsid w:val="00C333F7"/>
    <w:rsid w:val="00D451D8"/>
    <w:rsid w:val="00D54FAC"/>
    <w:rsid w:val="00DB33A2"/>
    <w:rsid w:val="00DB3AF9"/>
    <w:rsid w:val="00DC498D"/>
    <w:rsid w:val="00E27C99"/>
    <w:rsid w:val="00EC59CF"/>
    <w:rsid w:val="00F1482E"/>
    <w:rsid w:val="00F575C3"/>
    <w:rsid w:val="00FB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F8860"/>
  <w15:chartTrackingRefBased/>
  <w15:docId w15:val="{50FB3D3C-B3BF-4ECC-BADB-F37677CA0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5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5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5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5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5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5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5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5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5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5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5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5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59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59C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59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59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59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59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5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5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5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5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5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59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59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59C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5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59C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59C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C59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59CF"/>
  </w:style>
  <w:style w:type="paragraph" w:styleId="Rodap">
    <w:name w:val="footer"/>
    <w:basedOn w:val="Normal"/>
    <w:link w:val="RodapChar"/>
    <w:uiPriority w:val="99"/>
    <w:unhideWhenUsed/>
    <w:rsid w:val="00EC59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59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\\192.168.15.4\sgq%20elohim\INDICADORES%202026\3.MAR&#199;O\COMPRAS\FQ%209.1-001-01%20Indicadores%20da%20Qualidade%202026.xlsx" TargetMode="Externa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oleObject" Target="file:///\\192.168.15.4\sgq%20elohim\INDICADORES%202026\3.MAR&#199;O\COMPRAS\FQ%209.1-001-01%20Indicadores%20da%20Qualidade%202026.xlsx" TargetMode="External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3.xml"/><Relationship Id="rId1" Type="http://schemas.openxmlformats.org/officeDocument/2006/relationships/oleObject" Target="file:///\\192.168.15.4\sgq%20elohim\INDICADORES%202026\3.MAR&#199;O\COMPRAS\INDICADOR%20DE%20ENTREGA%20NO%20PRAZO%20GE%202026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 algn="ctr">
              <a:defRPr sz="1400" b="1" i="0" u="none" strike="noStrike" baseline="0">
                <a:solidFill>
                  <a:srgbClr val="000000"/>
                </a:solidFill>
                <a:latin typeface="Arial" panose="020B0604020202020204" pitchFamily="34" charset="0"/>
                <a:ea typeface="Comic Sans MS"/>
                <a:cs typeface="Arial" panose="020B0604020202020204" pitchFamily="34" charset="0"/>
              </a:defRPr>
            </a:pPr>
            <a:r>
              <a:rPr lang="pt-BR" sz="2200" b="1" i="0" u="none" strike="noStrike" baseline="0">
                <a:solidFill>
                  <a:srgbClr val="000000"/>
                </a:solidFill>
                <a:latin typeface="Arial" panose="020B0604020202020204" pitchFamily="34" charset="0"/>
                <a:cs typeface="Arial" panose="020B0604020202020204" pitchFamily="34" charset="0"/>
              </a:rPr>
              <a:t>Índice de Entrega do Provedor Externo no Prazo</a:t>
            </a:r>
          </a:p>
          <a:p>
            <a:pPr algn="ctr">
              <a:defRPr sz="1400" b="1" i="0" u="none" strike="noStrike" baseline="0">
                <a:solidFill>
                  <a:srgbClr val="000000"/>
                </a:solidFill>
                <a:latin typeface="Arial" panose="020B0604020202020204" pitchFamily="34" charset="0"/>
                <a:ea typeface="Comic Sans MS"/>
                <a:cs typeface="Arial" panose="020B0604020202020204" pitchFamily="34" charset="0"/>
              </a:defRPr>
            </a:pPr>
            <a:endParaRPr lang="pt-BR" sz="1050" b="1" i="0" u="none" strike="noStrike" baseline="0">
              <a:solidFill>
                <a:srgbClr val="000099"/>
              </a:solidFill>
              <a:latin typeface="Arial" panose="020B0604020202020204" pitchFamily="34" charset="0"/>
              <a:cs typeface="Arial" panose="020B0604020202020204" pitchFamily="34" charset="0"/>
            </a:endParaRPr>
          </a:p>
        </c:rich>
      </c:tx>
      <c:layout>
        <c:manualLayout>
          <c:xMode val="edge"/>
          <c:yMode val="edge"/>
          <c:x val="0.2157959907727473"/>
          <c:y val="4.6300407139373063E-2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6.516805613011642E-2"/>
          <c:y val="0.21196040760391677"/>
          <c:w val="0.90545828830219754"/>
          <c:h val="0.62239233370165015"/>
        </c:manualLayout>
      </c:layout>
      <c:barChart>
        <c:barDir val="col"/>
        <c:grouping val="clustered"/>
        <c:varyColors val="0"/>
        <c:ser>
          <c:idx val="1"/>
          <c:order val="0"/>
          <c:tx>
            <c:strRef>
              <c:f>'PAQ - Prazo e Devolução'!$C$23</c:f>
              <c:strCache>
                <c:ptCount val="1"/>
                <c:pt idx="0">
                  <c:v>% Prazo e Antecipado</c:v>
                </c:pt>
              </c:strCache>
            </c:strRef>
          </c:tx>
          <c:spPr>
            <a:solidFill>
              <a:srgbClr val="FF3300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dPt>
            <c:idx val="12"/>
            <c:invertIfNegative val="0"/>
            <c:bubble3D val="0"/>
            <c:spPr>
              <a:solidFill>
                <a:srgbClr val="000066"/>
              </a:solidFill>
              <a:ln w="12700">
                <a:solidFill>
                  <a:srgbClr val="000066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1-340F-4032-89A2-10DD9B007201}"/>
              </c:ext>
            </c:extLst>
          </c:dPt>
          <c:dLbls>
            <c:dLbl>
              <c:idx val="0"/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2-340F-4032-89A2-10DD9B007201}"/>
                </c:ext>
              </c:extLst>
            </c:dLbl>
            <c:dLbl>
              <c:idx val="1"/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3-340F-4032-89A2-10DD9B007201}"/>
                </c:ext>
              </c:extLst>
            </c:dLbl>
            <c:dLbl>
              <c:idx val="2"/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4-340F-4032-89A2-10DD9B007201}"/>
                </c:ext>
              </c:extLst>
            </c:dLbl>
            <c:dLbl>
              <c:idx val="3"/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5-340F-4032-89A2-10DD9B007201}"/>
                </c:ext>
              </c:extLst>
            </c:dLbl>
            <c:dLbl>
              <c:idx val="4"/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6-340F-4032-89A2-10DD9B007201}"/>
                </c:ext>
              </c:extLst>
            </c:dLbl>
            <c:dLbl>
              <c:idx val="5"/>
              <c:layout>
                <c:manualLayout>
                  <c:x val="7.2529458191620804E-3"/>
                  <c:y val="3.3585222502099093E-3"/>
                </c:manualLayout>
              </c:layout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340F-4032-89A2-10DD9B007201}"/>
                </c:ext>
              </c:extLst>
            </c:dLbl>
            <c:dLbl>
              <c:idx val="6"/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8-340F-4032-89A2-10DD9B007201}"/>
                </c:ext>
              </c:extLst>
            </c:dLbl>
            <c:dLbl>
              <c:idx val="7"/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9-340F-4032-89A2-10DD9B007201}"/>
                </c:ext>
              </c:extLst>
            </c:dLbl>
            <c:dLbl>
              <c:idx val="8"/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A-340F-4032-89A2-10DD9B007201}"/>
                </c:ext>
              </c:extLst>
            </c:dLbl>
            <c:dLbl>
              <c:idx val="9"/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B-340F-4032-89A2-10DD9B007201}"/>
                </c:ext>
              </c:extLst>
            </c:dLbl>
            <c:dLbl>
              <c:idx val="10"/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C-340F-4032-89A2-10DD9B007201}"/>
                </c:ext>
              </c:extLst>
            </c:dLbl>
            <c:dLbl>
              <c:idx val="11"/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D-340F-4032-89A2-10DD9B007201}"/>
                </c:ext>
              </c:extLst>
            </c:dLbl>
            <c:dLbl>
              <c:idx val="12"/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1-340F-4032-89A2-10DD9B007201}"/>
                </c:ext>
              </c:extLst>
            </c:dLbl>
            <c:numFmt formatCode="0%" sourceLinked="0"/>
            <c:spPr>
              <a:noFill/>
              <a:ln w="25400">
                <a:noFill/>
              </a:ln>
            </c:spPr>
            <c:txPr>
              <a:bodyPr rot="-2700000" vert="horz" wrap="square" lIns="38100" tIns="19050" rIns="38100" bIns="19050" anchor="ctr">
                <a:spAutoFit/>
              </a:bodyPr>
              <a:lstStyle/>
              <a:p>
                <a:pPr algn="ctr">
                  <a:defRPr sz="1200" b="1" i="0" u="none" strike="noStrike" baseline="0">
                    <a:solidFill>
                      <a:srgbClr val="000000"/>
                    </a:solidFill>
                    <a:latin typeface="Arial" panose="020B0604020202020204" pitchFamily="34" charset="0"/>
                    <a:ea typeface="Comic Sans MS"/>
                    <a:cs typeface="Arial" panose="020B0604020202020204" pitchFamily="34" charset="0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'PAQ - Prazo e Devolução'!$A$24:$A$36</c:f>
              <c:strCache>
                <c:ptCount val="13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  <c:pt idx="12">
                  <c:v>Total PA</c:v>
                </c:pt>
              </c:strCache>
            </c:strRef>
          </c:cat>
          <c:val>
            <c:numRef>
              <c:f>'PAQ - Prazo e Devolução'!$C$24:$C$36</c:f>
              <c:numCache>
                <c:formatCode>0%</c:formatCode>
                <c:ptCount val="13"/>
                <c:pt idx="0">
                  <c:v>1</c:v>
                </c:pt>
                <c:pt idx="1">
                  <c:v>1</c:v>
                </c:pt>
                <c:pt idx="2">
                  <c:v>0.9468599033816425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340F-4032-89A2-10DD9B0072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78025088"/>
        <c:axId val="78026624"/>
      </c:barChart>
      <c:lineChart>
        <c:grouping val="standard"/>
        <c:varyColors val="0"/>
        <c:ser>
          <c:idx val="2"/>
          <c:order val="1"/>
          <c:tx>
            <c:strRef>
              <c:f>'PAQ - Prazo e Devolução'!$F$39</c:f>
              <c:strCache>
                <c:ptCount val="1"/>
                <c:pt idx="0">
                  <c:v>Meta</c:v>
                </c:pt>
              </c:strCache>
            </c:strRef>
          </c:tx>
          <c:spPr>
            <a:ln w="12700">
              <a:solidFill>
                <a:srgbClr val="000099"/>
              </a:solidFill>
            </a:ln>
          </c:spPr>
          <c:marker>
            <c:symbol val="diamond"/>
            <c:size val="7"/>
            <c:spPr>
              <a:solidFill>
                <a:srgbClr val="000099"/>
              </a:solidFill>
            </c:spPr>
          </c:marker>
          <c:cat>
            <c:strRef>
              <c:f>'PAQ - Prazo e Devolução'!$A$40:$A$51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'PAQ - Prazo e Devolução'!$E$24:$E$35</c:f>
              <c:numCache>
                <c:formatCode>0%</c:formatCode>
                <c:ptCount val="12"/>
                <c:pt idx="0">
                  <c:v>0.9</c:v>
                </c:pt>
                <c:pt idx="1">
                  <c:v>0.9</c:v>
                </c:pt>
                <c:pt idx="2">
                  <c:v>0.9</c:v>
                </c:pt>
                <c:pt idx="3">
                  <c:v>0.9</c:v>
                </c:pt>
                <c:pt idx="4">
                  <c:v>0.9</c:v>
                </c:pt>
                <c:pt idx="5">
                  <c:v>0.9</c:v>
                </c:pt>
                <c:pt idx="6">
                  <c:v>0.9</c:v>
                </c:pt>
                <c:pt idx="7">
                  <c:v>0.9</c:v>
                </c:pt>
                <c:pt idx="8">
                  <c:v>0.9</c:v>
                </c:pt>
                <c:pt idx="9">
                  <c:v>0.9</c:v>
                </c:pt>
                <c:pt idx="10">
                  <c:v>0.9</c:v>
                </c:pt>
                <c:pt idx="11">
                  <c:v>0.9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F-340F-4032-89A2-10DD9B007201}"/>
            </c:ext>
          </c:extLst>
        </c:ser>
        <c:ser>
          <c:idx val="0"/>
          <c:order val="2"/>
          <c:tx>
            <c:strRef>
              <c:f>'PAQ - Prazo e Devolução'!$F$23</c:f>
              <c:strCache>
                <c:ptCount val="1"/>
              </c:strCache>
            </c:strRef>
          </c:tx>
          <c:spPr>
            <a:ln w="12700">
              <a:solidFill>
                <a:srgbClr val="000080"/>
              </a:solidFill>
              <a:prstDash val="solid"/>
            </a:ln>
          </c:spPr>
          <c:marker>
            <c:symbol val="diamond"/>
            <c:size val="5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cat>
            <c:strRef>
              <c:f>'PAQ - Prazo e Devolução'!$A$24:$A$35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'PAQ - Prazo e Devolução'!$F$24:$F$35</c:f>
              <c:numCache>
                <c:formatCode>0%</c:formatCode>
                <c:ptCount val="12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10-340F-4032-89A2-10DD9B0072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8028160"/>
        <c:axId val="77927552"/>
      </c:lineChart>
      <c:catAx>
        <c:axId val="78025088"/>
        <c:scaling>
          <c:orientation val="minMax"/>
        </c:scaling>
        <c:delete val="0"/>
        <c:axPos val="b"/>
        <c:numFmt formatCode="General" sourceLinked="1"/>
        <c:majorTickMark val="cross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-2700000" vert="horz"/>
          <a:lstStyle/>
          <a:p>
            <a:pPr>
              <a:defRPr sz="1100" b="1" i="0" u="none" strike="noStrike" baseline="0">
                <a:solidFill>
                  <a:srgbClr val="000000"/>
                </a:solidFill>
                <a:latin typeface="Arial" panose="020B0604020202020204" pitchFamily="34" charset="0"/>
                <a:ea typeface="Comic Sans MS"/>
                <a:cs typeface="Arial" panose="020B0604020202020204" pitchFamily="34" charset="0"/>
              </a:defRPr>
            </a:pPr>
            <a:endParaRPr lang="pt-BR"/>
          </a:p>
        </c:txPr>
        <c:crossAx val="78026624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78026624"/>
        <c:scaling>
          <c:orientation val="minMax"/>
          <c:max val="1"/>
          <c:min val="0"/>
        </c:scaling>
        <c:delete val="0"/>
        <c:axPos val="l"/>
        <c:numFmt formatCode="0%" sourceLinked="1"/>
        <c:majorTickMark val="cross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200" b="0" i="0" u="none" strike="noStrike" baseline="0">
                <a:solidFill>
                  <a:srgbClr val="000000"/>
                </a:solidFill>
                <a:latin typeface="Arial" panose="020B0604020202020204" pitchFamily="34" charset="0"/>
                <a:ea typeface="Comic Sans MS"/>
                <a:cs typeface="Arial" panose="020B0604020202020204" pitchFamily="34" charset="0"/>
              </a:defRPr>
            </a:pPr>
            <a:endParaRPr lang="pt-BR"/>
          </a:p>
        </c:txPr>
        <c:crossAx val="78025088"/>
        <c:crosses val="autoZero"/>
        <c:crossBetween val="between"/>
      </c:valAx>
      <c:catAx>
        <c:axId val="7802816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77927552"/>
        <c:crosses val="autoZero"/>
        <c:auto val="0"/>
        <c:lblAlgn val="ctr"/>
        <c:lblOffset val="100"/>
        <c:noMultiLvlLbl val="0"/>
      </c:catAx>
      <c:valAx>
        <c:axId val="77927552"/>
        <c:scaling>
          <c:orientation val="minMax"/>
        </c:scaling>
        <c:delete val="1"/>
        <c:axPos val="l"/>
        <c:numFmt formatCode="0%" sourceLinked="1"/>
        <c:majorTickMark val="out"/>
        <c:minorTickMark val="none"/>
        <c:tickLblPos val="nextTo"/>
        <c:crossAx val="78028160"/>
        <c:crosses val="autoZero"/>
        <c:crossBetween val="between"/>
      </c:valAx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plotArea>
    <c:legend>
      <c:legendPos val="b"/>
      <c:legendEntry>
        <c:idx val="2"/>
        <c:delete val="1"/>
      </c:legendEntry>
      <c:layout>
        <c:manualLayout>
          <c:xMode val="edge"/>
          <c:yMode val="edge"/>
          <c:x val="0.19715834274055014"/>
          <c:y val="0.91197988084189108"/>
          <c:w val="0.60652846575996167"/>
          <c:h val="3.9841990783897621E-2"/>
        </c:manualLayout>
      </c:layout>
      <c:overlay val="0"/>
      <c:spPr>
        <a:solidFill>
          <a:srgbClr val="FFFFFF"/>
        </a:solidFill>
        <a:ln w="3175">
          <a:solidFill>
            <a:srgbClr val="000000"/>
          </a:solidFill>
          <a:prstDash val="solid"/>
        </a:ln>
      </c:spPr>
      <c:txPr>
        <a:bodyPr/>
        <a:lstStyle/>
        <a:p>
          <a:pPr>
            <a:defRPr sz="1100" b="0" i="0" u="none" strike="noStrike" baseline="0">
              <a:solidFill>
                <a:srgbClr val="000000"/>
              </a:solidFill>
              <a:latin typeface="Arial" panose="020B0604020202020204" pitchFamily="34" charset="0"/>
              <a:ea typeface="Comic Sans MS"/>
              <a:cs typeface="Arial" panose="020B0604020202020204" pitchFamily="34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rgbClr val="FFFFFF"/>
    </a:solidFill>
    <a:ln w="3175">
      <a:solidFill>
        <a:srgbClr val="000000"/>
      </a:solidFill>
      <a:prstDash val="solid"/>
    </a:ln>
  </c:spPr>
  <c:txPr>
    <a:bodyPr/>
    <a:lstStyle/>
    <a:p>
      <a:pPr>
        <a:defRPr sz="1400" b="0" i="0" u="none" strike="noStrike" baseline="0">
          <a:solidFill>
            <a:srgbClr val="000000"/>
          </a:solidFill>
          <a:latin typeface="Comic Sans MS"/>
          <a:ea typeface="Comic Sans MS"/>
          <a:cs typeface="Comic Sans MS"/>
        </a:defRPr>
      </a:pPr>
      <a:endParaRPr lang="pt-BR"/>
    </a:p>
  </c:txPr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2200" b="1" i="0" u="none" strike="noStrike" baseline="0">
                <a:solidFill>
                  <a:srgbClr val="000000"/>
                </a:solidFill>
                <a:latin typeface="Arial" panose="020B0604020202020204" pitchFamily="34" charset="0"/>
                <a:ea typeface="Comic Sans MS"/>
                <a:cs typeface="Arial" panose="020B0604020202020204" pitchFamily="34" charset="0"/>
              </a:defRPr>
            </a:pPr>
            <a:r>
              <a:rPr lang="pt-BR" sz="2200" b="1" i="0" u="none" strike="noStrike" baseline="0">
                <a:solidFill>
                  <a:srgbClr val="000000"/>
                </a:solidFill>
                <a:latin typeface="Arial" panose="020B0604020202020204" pitchFamily="34" charset="0"/>
                <a:cs typeface="Arial" panose="020B0604020202020204" pitchFamily="34" charset="0"/>
              </a:rPr>
              <a:t>Índice de Devoluções ao Provedor Externo </a:t>
            </a:r>
          </a:p>
          <a:p>
            <a:pPr>
              <a:defRPr sz="2200" b="1" i="0" u="none" strike="noStrike" baseline="0">
                <a:solidFill>
                  <a:srgbClr val="000000"/>
                </a:solidFill>
                <a:latin typeface="Arial" panose="020B0604020202020204" pitchFamily="34" charset="0"/>
                <a:ea typeface="Comic Sans MS"/>
                <a:cs typeface="Arial" panose="020B0604020202020204" pitchFamily="34" charset="0"/>
              </a:defRPr>
            </a:pPr>
            <a:endParaRPr lang="pt-BR" sz="2200" b="1" i="0" u="none" strike="noStrike" baseline="0">
              <a:solidFill>
                <a:srgbClr val="000000"/>
              </a:solidFill>
              <a:latin typeface="Arial" panose="020B0604020202020204" pitchFamily="34" charset="0"/>
              <a:cs typeface="Arial" panose="020B0604020202020204" pitchFamily="34" charset="0"/>
            </a:endParaRPr>
          </a:p>
        </c:rich>
      </c:tx>
      <c:layout>
        <c:manualLayout>
          <c:xMode val="edge"/>
          <c:yMode val="edge"/>
          <c:x val="0.2201984562846519"/>
          <c:y val="2.3370701171146101E-2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6.6953479726914261E-2"/>
          <c:y val="0.19697250622101312"/>
          <c:w val="0.89841592669271697"/>
          <c:h val="0.64611976257950154"/>
        </c:manualLayout>
      </c:layout>
      <c:barChart>
        <c:barDir val="col"/>
        <c:grouping val="clustered"/>
        <c:varyColors val="0"/>
        <c:ser>
          <c:idx val="1"/>
          <c:order val="0"/>
          <c:tx>
            <c:strRef>
              <c:f>'PAQ - Prazo e Devolução'!$D$39</c:f>
              <c:strCache>
                <c:ptCount val="1"/>
                <c:pt idx="0">
                  <c:v>% Sem Devoluções</c:v>
                </c:pt>
              </c:strCache>
            </c:strRef>
          </c:tx>
          <c:spPr>
            <a:solidFill>
              <a:srgbClr val="FF3300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dPt>
            <c:idx val="12"/>
            <c:invertIfNegative val="0"/>
            <c:bubble3D val="0"/>
            <c:spPr>
              <a:solidFill>
                <a:srgbClr val="000066"/>
              </a:solidFill>
              <a:ln w="12700">
                <a:solidFill>
                  <a:srgbClr val="000066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1-628B-4485-9471-F02ECB59A7E0}"/>
              </c:ext>
            </c:extLst>
          </c:dPt>
          <c:dLbls>
            <c:dLbl>
              <c:idx val="0"/>
              <c:layout>
                <c:manualLayout>
                  <c:x val="9.7996748985117628E-3"/>
                  <c:y val="4.776458579861872E-3"/>
                </c:manualLayout>
              </c:layout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628B-4485-9471-F02ECB59A7E0}"/>
                </c:ext>
              </c:extLst>
            </c:dLbl>
            <c:dLbl>
              <c:idx val="1"/>
              <c:layout>
                <c:manualLayout>
                  <c:x val="9.8029505773287798E-3"/>
                  <c:y val="1.5857455485429248E-2"/>
                </c:manualLayout>
              </c:layout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28B-4485-9471-F02ECB59A7E0}"/>
                </c:ext>
              </c:extLst>
            </c:dLbl>
            <c:dLbl>
              <c:idx val="2"/>
              <c:layout>
                <c:manualLayout>
                  <c:x val="9.7981334025978827E-3"/>
                  <c:y val="1.8333257688168989E-2"/>
                </c:manualLayout>
              </c:layout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628B-4485-9471-F02ECB59A7E0}"/>
                </c:ext>
              </c:extLst>
            </c:dLbl>
            <c:dLbl>
              <c:idx val="3"/>
              <c:layout>
                <c:manualLayout>
                  <c:x val="9.7949198301237467E-3"/>
                  <c:y val="5.025125628140688E-3"/>
                </c:manualLayout>
              </c:layout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628B-4485-9471-F02ECB59A7E0}"/>
                </c:ext>
              </c:extLst>
            </c:dLbl>
            <c:dLbl>
              <c:idx val="4"/>
              <c:layout>
                <c:manualLayout>
                  <c:x val="-1.2235623816420169E-2"/>
                  <c:y val="1.4455577483958364E-2"/>
                </c:manualLayout>
              </c:layout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628B-4485-9471-F02ECB59A7E0}"/>
                </c:ext>
              </c:extLst>
            </c:dLbl>
            <c:dLbl>
              <c:idx val="5"/>
              <c:layout>
                <c:manualLayout>
                  <c:x val="0"/>
                  <c:y val="1.9876419040442749E-2"/>
                </c:manualLayout>
              </c:layout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628B-4485-9471-F02ECB59A7E0}"/>
                </c:ext>
              </c:extLst>
            </c:dLbl>
            <c:dLbl>
              <c:idx val="6"/>
              <c:layout>
                <c:manualLayout>
                  <c:x val="3.2756788169943757E-6"/>
                  <c:y val="1.7376144797080526E-2"/>
                </c:manualLayout>
              </c:layout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628B-4485-9471-F02ECB59A7E0}"/>
                </c:ext>
              </c:extLst>
            </c:dLbl>
            <c:dLbl>
              <c:idx val="7"/>
              <c:layout>
                <c:manualLayout>
                  <c:x val="4.8974599150617588E-3"/>
                  <c:y val="8.375133381558441E-3"/>
                </c:manualLayout>
              </c:layout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628B-4485-9471-F02ECB59A7E0}"/>
                </c:ext>
              </c:extLst>
            </c:dLbl>
            <c:dLbl>
              <c:idx val="8"/>
              <c:layout>
                <c:manualLayout>
                  <c:x val="0"/>
                  <c:y val="1.6750418760469175E-3"/>
                </c:manualLayout>
              </c:layout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628B-4485-9471-F02ECB59A7E0}"/>
                </c:ext>
              </c:extLst>
            </c:dLbl>
            <c:dLbl>
              <c:idx val="9"/>
              <c:layout>
                <c:manualLayout>
                  <c:x val="8.9785727897077013E-17"/>
                  <c:y val="-1.6750418760468869E-3"/>
                </c:manualLayout>
              </c:layout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628B-4485-9471-F02ECB59A7E0}"/>
                </c:ext>
              </c:extLst>
            </c:dLbl>
            <c:dLbl>
              <c:idx val="10"/>
              <c:layout>
                <c:manualLayout>
                  <c:x val="9.7949198301236148E-3"/>
                  <c:y val="1.0050251256281407E-2"/>
                </c:manualLayout>
              </c:layout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628B-4485-9471-F02ECB59A7E0}"/>
                </c:ext>
              </c:extLst>
            </c:dLbl>
            <c:dLbl>
              <c:idx val="11"/>
              <c:layout>
                <c:manualLayout>
                  <c:x val="9.7949198301237033E-3"/>
                  <c:y val="-3.3500837520938041E-3"/>
                </c:manualLayout>
              </c:layout>
              <c:numFmt formatCode="0%" sourceLinked="0"/>
              <c:spPr>
                <a:noFill/>
                <a:ln w="25400">
                  <a:noFill/>
                </a:ln>
              </c:spPr>
              <c:txPr>
                <a:bodyPr rot="-2700000" vert="horz"/>
                <a:lstStyle/>
                <a:p>
                  <a:pPr algn="ctr">
                    <a:defRPr sz="1200" b="1" i="0" u="none" strike="noStrike" baseline="0">
                      <a:solidFill>
                        <a:srgbClr val="000000"/>
                      </a:solidFill>
                      <a:latin typeface="Arial" panose="020B0604020202020204" pitchFamily="34" charset="0"/>
                      <a:ea typeface="Comic Sans MS"/>
                      <a:cs typeface="Arial" panose="020B0604020202020204" pitchFamily="34" charset="0"/>
                    </a:defRPr>
                  </a:pPr>
                  <a:endParaRPr lang="pt-B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628B-4485-9471-F02ECB59A7E0}"/>
                </c:ext>
              </c:extLst>
            </c:dLbl>
            <c:numFmt formatCode="0%" sourceLinked="0"/>
            <c:spPr>
              <a:noFill/>
              <a:ln w="25400">
                <a:noFill/>
              </a:ln>
            </c:spPr>
            <c:txPr>
              <a:bodyPr rot="-2700000" vert="horz" wrap="square" lIns="38100" tIns="19050" rIns="38100" bIns="19050" anchor="ctr">
                <a:spAutoFit/>
              </a:bodyPr>
              <a:lstStyle/>
              <a:p>
                <a:pPr algn="ctr">
                  <a:defRPr sz="1200" b="1" i="0" u="none" strike="noStrike" baseline="0">
                    <a:solidFill>
                      <a:srgbClr val="000000"/>
                    </a:solidFill>
                    <a:latin typeface="Arial" panose="020B0604020202020204" pitchFamily="34" charset="0"/>
                    <a:ea typeface="Comic Sans MS"/>
                    <a:cs typeface="Arial" panose="020B0604020202020204" pitchFamily="34" charset="0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'PAQ - Prazo e Devolução'!$A$40:$A$51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'PAQ - Prazo e Devolução'!$D$40:$D$51</c:f>
              <c:numCache>
                <c:formatCode>0%</c:formatCode>
                <c:ptCount val="12"/>
                <c:pt idx="0">
                  <c:v>1</c:v>
                </c:pt>
                <c:pt idx="1">
                  <c:v>1</c:v>
                </c:pt>
                <c:pt idx="2">
                  <c:v>0.9903381642512078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628B-4485-9471-F02ECB59A7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74259840"/>
        <c:axId val="74269824"/>
      </c:barChart>
      <c:lineChart>
        <c:grouping val="standard"/>
        <c:varyColors val="0"/>
        <c:ser>
          <c:idx val="0"/>
          <c:order val="1"/>
          <c:tx>
            <c:strRef>
              <c:f>'PAQ - Prazo e Devolução'!$F$39</c:f>
              <c:strCache>
                <c:ptCount val="1"/>
                <c:pt idx="0">
                  <c:v>Meta</c:v>
                </c:pt>
              </c:strCache>
            </c:strRef>
          </c:tx>
          <c:spPr>
            <a:ln w="12700">
              <a:solidFill>
                <a:srgbClr val="000080"/>
              </a:solidFill>
              <a:prstDash val="solid"/>
            </a:ln>
          </c:spPr>
          <c:marker>
            <c:symbol val="diamond"/>
            <c:size val="5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cat>
            <c:strRef>
              <c:f>'PAQ - Prazo e Devolução'!$A$40:$A$51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'PAQ - Prazo e Devolução'!$F$40:$F$51</c:f>
              <c:numCache>
                <c:formatCode>0%</c:formatCode>
                <c:ptCount val="12"/>
                <c:pt idx="0">
                  <c:v>0.9</c:v>
                </c:pt>
                <c:pt idx="1">
                  <c:v>0.9</c:v>
                </c:pt>
                <c:pt idx="2">
                  <c:v>0.9</c:v>
                </c:pt>
                <c:pt idx="3">
                  <c:v>0.9</c:v>
                </c:pt>
                <c:pt idx="4">
                  <c:v>0.9</c:v>
                </c:pt>
                <c:pt idx="5">
                  <c:v>0.9</c:v>
                </c:pt>
                <c:pt idx="6">
                  <c:v>0.9</c:v>
                </c:pt>
                <c:pt idx="7">
                  <c:v>0.9</c:v>
                </c:pt>
                <c:pt idx="8">
                  <c:v>0.9</c:v>
                </c:pt>
                <c:pt idx="9">
                  <c:v>0.9</c:v>
                </c:pt>
                <c:pt idx="10">
                  <c:v>0.9</c:v>
                </c:pt>
                <c:pt idx="11">
                  <c:v>0.9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F-628B-4485-9471-F02ECB59A7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4271360"/>
        <c:axId val="74277248"/>
      </c:lineChart>
      <c:catAx>
        <c:axId val="74259840"/>
        <c:scaling>
          <c:orientation val="minMax"/>
        </c:scaling>
        <c:delete val="0"/>
        <c:axPos val="b"/>
        <c:numFmt formatCode="General" sourceLinked="1"/>
        <c:majorTickMark val="cross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-2700000" vert="horz"/>
          <a:lstStyle/>
          <a:p>
            <a:pPr>
              <a:defRPr sz="1100" b="1" i="0" u="none" strike="noStrike" baseline="0">
                <a:solidFill>
                  <a:srgbClr val="000000"/>
                </a:solidFill>
                <a:latin typeface="Arial" panose="020B0604020202020204" pitchFamily="34" charset="0"/>
                <a:ea typeface="Comic Sans MS"/>
                <a:cs typeface="Arial" panose="020B0604020202020204" pitchFamily="34" charset="0"/>
              </a:defRPr>
            </a:pPr>
            <a:endParaRPr lang="pt-BR"/>
          </a:p>
        </c:txPr>
        <c:crossAx val="74269824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74269824"/>
        <c:scaling>
          <c:orientation val="minMax"/>
          <c:max val="1"/>
          <c:min val="0"/>
        </c:scaling>
        <c:delete val="0"/>
        <c:axPos val="l"/>
        <c:numFmt formatCode="0%" sourceLinked="0"/>
        <c:majorTickMark val="cross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200" b="0" i="0" u="none" strike="noStrike" baseline="0">
                <a:solidFill>
                  <a:srgbClr val="000000"/>
                </a:solidFill>
                <a:latin typeface="Arial" panose="020B0604020202020204" pitchFamily="34" charset="0"/>
                <a:ea typeface="Comic Sans MS"/>
                <a:cs typeface="Arial" panose="020B0604020202020204" pitchFamily="34" charset="0"/>
              </a:defRPr>
            </a:pPr>
            <a:endParaRPr lang="pt-BR"/>
          </a:p>
        </c:txPr>
        <c:crossAx val="74259840"/>
        <c:crosses val="autoZero"/>
        <c:crossBetween val="between"/>
      </c:valAx>
      <c:catAx>
        <c:axId val="7427136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74277248"/>
        <c:crosses val="autoZero"/>
        <c:auto val="0"/>
        <c:lblAlgn val="ctr"/>
        <c:lblOffset val="100"/>
        <c:noMultiLvlLbl val="0"/>
      </c:catAx>
      <c:valAx>
        <c:axId val="74277248"/>
        <c:scaling>
          <c:orientation val="minMax"/>
        </c:scaling>
        <c:delete val="1"/>
        <c:axPos val="l"/>
        <c:numFmt formatCode="0%" sourceLinked="1"/>
        <c:majorTickMark val="out"/>
        <c:minorTickMark val="none"/>
        <c:tickLblPos val="nextTo"/>
        <c:crossAx val="74271360"/>
        <c:crosses val="autoZero"/>
        <c:crossBetween val="between"/>
      </c:valAx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plotArea>
    <c:legend>
      <c:legendPos val="b"/>
      <c:layout>
        <c:manualLayout>
          <c:xMode val="edge"/>
          <c:yMode val="edge"/>
          <c:x val="0.22535350669464574"/>
          <c:y val="0.93529381511953447"/>
          <c:w val="0.58034096566658455"/>
          <c:h val="4.2890964006383613E-2"/>
        </c:manualLayout>
      </c:layout>
      <c:overlay val="0"/>
      <c:spPr>
        <a:solidFill>
          <a:srgbClr val="FFFFFF"/>
        </a:solidFill>
        <a:ln w="3175">
          <a:solidFill>
            <a:srgbClr val="000000"/>
          </a:solidFill>
          <a:prstDash val="solid"/>
        </a:ln>
      </c:spPr>
      <c:txPr>
        <a:bodyPr/>
        <a:lstStyle/>
        <a:p>
          <a:pPr>
            <a:defRPr sz="1100" b="0" i="0" u="none" strike="noStrike" baseline="0">
              <a:solidFill>
                <a:srgbClr val="000000"/>
              </a:solidFill>
              <a:latin typeface="Arial" panose="020B0604020202020204" pitchFamily="34" charset="0"/>
              <a:ea typeface="Comic Sans MS"/>
              <a:cs typeface="Arial" panose="020B0604020202020204" pitchFamily="34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rgbClr val="FFFFFF"/>
    </a:solidFill>
    <a:ln w="3175">
      <a:solidFill>
        <a:srgbClr val="000000"/>
      </a:solidFill>
      <a:prstDash val="solid"/>
    </a:ln>
  </c:spPr>
  <c:txPr>
    <a:bodyPr/>
    <a:lstStyle/>
    <a:p>
      <a:pPr>
        <a:defRPr sz="1400" b="0" i="0" u="none" strike="noStrike" baseline="0">
          <a:solidFill>
            <a:srgbClr val="000000"/>
          </a:solidFill>
          <a:latin typeface="Comic Sans MS"/>
          <a:ea typeface="Comic Sans MS"/>
          <a:cs typeface="Comic Sans MS"/>
        </a:defRPr>
      </a:pPr>
      <a:endParaRPr lang="pt-BR"/>
    </a:p>
  </c:txPr>
  <c:externalData r:id="rId1">
    <c:autoUpdate val="0"/>
  </c:externalData>
  <c:userShapes r:id="rId2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INDICADOR</a:t>
            </a:r>
            <a:r>
              <a:rPr lang="en-US" baseline="0"/>
              <a:t> DE ENTREGAS NO PRAZO GE/2026</a:t>
            </a:r>
            <a:endParaRPr lang="en-US"/>
          </a:p>
        </c:rich>
      </c:tx>
      <c:layout>
        <c:manualLayout>
          <c:xMode val="edge"/>
          <c:yMode val="edge"/>
          <c:x val="0.30929708761135821"/>
          <c:y val="3.7386717542535974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4.4317520539434913E-2"/>
          <c:y val="0.17283560956315666"/>
          <c:w val="0.91346616336136532"/>
          <c:h val="0.68614060220100181"/>
        </c:manualLayout>
      </c:layout>
      <c:barChart>
        <c:barDir val="col"/>
        <c:grouping val="clustered"/>
        <c:varyColors val="0"/>
        <c:ser>
          <c:idx val="1"/>
          <c:order val="1"/>
          <c:tx>
            <c:strRef>
              <c:f>IDF!$B$4</c:f>
              <c:strCache>
                <c:ptCount val="1"/>
                <c:pt idx="0">
                  <c:v>ITENS ENTREGUE (UND)</c:v>
                </c:pt>
              </c:strCache>
            </c:strRef>
          </c:tx>
          <c:spPr>
            <a:solidFill>
              <a:srgbClr val="FFFF00"/>
            </a:solidFill>
            <a:ln>
              <a:solidFill>
                <a:schemeClr val="tx1"/>
              </a:solidFill>
            </a:ln>
          </c:spPr>
          <c:invertIfNegative val="0"/>
          <c:cat>
            <c:numRef>
              <c:f>IDF!$A$5:$A$16</c:f>
              <c:numCache>
                <c:formatCode>mmm\-yy</c:formatCode>
                <c:ptCount val="12"/>
                <c:pt idx="0">
                  <c:v>46023</c:v>
                </c:pt>
                <c:pt idx="1">
                  <c:v>46054</c:v>
                </c:pt>
                <c:pt idx="2">
                  <c:v>46082</c:v>
                </c:pt>
                <c:pt idx="3">
                  <c:v>46113</c:v>
                </c:pt>
                <c:pt idx="4">
                  <c:v>46143</c:v>
                </c:pt>
                <c:pt idx="5">
                  <c:v>46174</c:v>
                </c:pt>
                <c:pt idx="6">
                  <c:v>46204</c:v>
                </c:pt>
                <c:pt idx="7">
                  <c:v>46235</c:v>
                </c:pt>
                <c:pt idx="8">
                  <c:v>46266</c:v>
                </c:pt>
                <c:pt idx="9">
                  <c:v>46296</c:v>
                </c:pt>
                <c:pt idx="10">
                  <c:v>46327</c:v>
                </c:pt>
                <c:pt idx="11">
                  <c:v>46357</c:v>
                </c:pt>
              </c:numCache>
            </c:numRef>
          </c:cat>
          <c:val>
            <c:numRef>
              <c:f>IDF!$B$5:$B$16</c:f>
              <c:numCache>
                <c:formatCode>General</c:formatCode>
                <c:ptCount val="12"/>
                <c:pt idx="0">
                  <c:v>69</c:v>
                </c:pt>
                <c:pt idx="1">
                  <c:v>76</c:v>
                </c:pt>
                <c:pt idx="2">
                  <c:v>93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1C7-4D69-AE60-5F1AA8B099CB}"/>
            </c:ext>
          </c:extLst>
        </c:ser>
        <c:ser>
          <c:idx val="2"/>
          <c:order val="2"/>
          <c:tx>
            <c:strRef>
              <c:f>IDF!$C$4</c:f>
              <c:strCache>
                <c:ptCount val="1"/>
                <c:pt idx="0">
                  <c:v> ENTREGAS NO PRAZO (%) </c:v>
                </c:pt>
              </c:strCache>
            </c:strRef>
          </c:tx>
          <c:spPr>
            <a:solidFill>
              <a:schemeClr val="accent1"/>
            </a:solidFill>
            <a:ln>
              <a:solidFill>
                <a:schemeClr val="tx2"/>
              </a:solidFill>
            </a:ln>
          </c:spPr>
          <c:invertIfNegative val="0"/>
          <c:cat>
            <c:numRef>
              <c:f>IDF!$A$5:$A$16</c:f>
              <c:numCache>
                <c:formatCode>mmm\-yy</c:formatCode>
                <c:ptCount val="12"/>
                <c:pt idx="0">
                  <c:v>46023</c:v>
                </c:pt>
                <c:pt idx="1">
                  <c:v>46054</c:v>
                </c:pt>
                <c:pt idx="2">
                  <c:v>46082</c:v>
                </c:pt>
                <c:pt idx="3">
                  <c:v>46113</c:v>
                </c:pt>
                <c:pt idx="4">
                  <c:v>46143</c:v>
                </c:pt>
                <c:pt idx="5">
                  <c:v>46174</c:v>
                </c:pt>
                <c:pt idx="6">
                  <c:v>46204</c:v>
                </c:pt>
                <c:pt idx="7">
                  <c:v>46235</c:v>
                </c:pt>
                <c:pt idx="8">
                  <c:v>46266</c:v>
                </c:pt>
                <c:pt idx="9">
                  <c:v>46296</c:v>
                </c:pt>
                <c:pt idx="10">
                  <c:v>46327</c:v>
                </c:pt>
                <c:pt idx="11">
                  <c:v>46357</c:v>
                </c:pt>
              </c:numCache>
            </c:numRef>
          </c:cat>
          <c:val>
            <c:numRef>
              <c:f>IDF!$C$5:$C$16</c:f>
              <c:numCache>
                <c:formatCode>General</c:formatCode>
                <c:ptCount val="12"/>
                <c:pt idx="0">
                  <c:v>86.95</c:v>
                </c:pt>
                <c:pt idx="1">
                  <c:v>100</c:v>
                </c:pt>
                <c:pt idx="2">
                  <c:v>100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1C7-4D69-AE60-5F1AA8B099CB}"/>
            </c:ext>
          </c:extLst>
        </c:ser>
        <c:ser>
          <c:idx val="3"/>
          <c:order val="3"/>
          <c:tx>
            <c:strRef>
              <c:f>IDF!$D$4</c:f>
              <c:strCache>
                <c:ptCount val="1"/>
                <c:pt idx="0">
                  <c:v>ENTREGAS EM ATRASO (UND)</c:v>
                </c:pt>
              </c:strCache>
            </c:strRef>
          </c:tx>
          <c:spPr>
            <a:solidFill>
              <a:srgbClr val="FF0000"/>
            </a:solidFill>
            <a:ln>
              <a:solidFill>
                <a:schemeClr val="tx1"/>
              </a:solidFill>
            </a:ln>
          </c:spPr>
          <c:invertIfNegative val="0"/>
          <c:cat>
            <c:numRef>
              <c:f>IDF!$A$5:$A$16</c:f>
              <c:numCache>
                <c:formatCode>mmm\-yy</c:formatCode>
                <c:ptCount val="12"/>
                <c:pt idx="0">
                  <c:v>46023</c:v>
                </c:pt>
                <c:pt idx="1">
                  <c:v>46054</c:v>
                </c:pt>
                <c:pt idx="2">
                  <c:v>46082</c:v>
                </c:pt>
                <c:pt idx="3">
                  <c:v>46113</c:v>
                </c:pt>
                <c:pt idx="4">
                  <c:v>46143</c:v>
                </c:pt>
                <c:pt idx="5">
                  <c:v>46174</c:v>
                </c:pt>
                <c:pt idx="6">
                  <c:v>46204</c:v>
                </c:pt>
                <c:pt idx="7">
                  <c:v>46235</c:v>
                </c:pt>
                <c:pt idx="8">
                  <c:v>46266</c:v>
                </c:pt>
                <c:pt idx="9">
                  <c:v>46296</c:v>
                </c:pt>
                <c:pt idx="10">
                  <c:v>46327</c:v>
                </c:pt>
                <c:pt idx="11">
                  <c:v>46357</c:v>
                </c:pt>
              </c:numCache>
            </c:numRef>
          </c:cat>
          <c:val>
            <c:numRef>
              <c:f>IDF!$D$5:$D$16</c:f>
              <c:numCache>
                <c:formatCode>General</c:formatCode>
                <c:ptCount val="12"/>
                <c:pt idx="0">
                  <c:v>9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1C7-4D69-AE60-5F1AA8B099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68886528"/>
        <c:axId val="68887680"/>
      </c:barChart>
      <c:lineChart>
        <c:grouping val="standard"/>
        <c:varyColors val="0"/>
        <c:ser>
          <c:idx val="0"/>
          <c:order val="0"/>
          <c:tx>
            <c:strRef>
              <c:f>IDF!$F$4</c:f>
              <c:strCache>
                <c:ptCount val="1"/>
                <c:pt idx="0">
                  <c:v>META ENTREGAS NO PRAZO 98%</c:v>
                </c:pt>
              </c:strCache>
            </c:strRef>
          </c:tx>
          <c:spPr>
            <a:ln w="12700">
              <a:solidFill>
                <a:schemeClr val="tx2">
                  <a:lumMod val="75000"/>
                </a:schemeClr>
              </a:solidFill>
            </a:ln>
          </c:spPr>
          <c:marker>
            <c:spPr>
              <a:solidFill>
                <a:srgbClr val="FF0000"/>
              </a:solidFill>
            </c:spPr>
          </c:marker>
          <c:val>
            <c:numRef>
              <c:f>IDF!$F$5:$F$16</c:f>
              <c:numCache>
                <c:formatCode>General</c:formatCode>
                <c:ptCount val="12"/>
                <c:pt idx="0">
                  <c:v>98</c:v>
                </c:pt>
                <c:pt idx="1">
                  <c:v>98</c:v>
                </c:pt>
                <c:pt idx="2">
                  <c:v>98</c:v>
                </c:pt>
                <c:pt idx="3">
                  <c:v>98</c:v>
                </c:pt>
                <c:pt idx="4">
                  <c:v>98</c:v>
                </c:pt>
                <c:pt idx="5">
                  <c:v>98</c:v>
                </c:pt>
                <c:pt idx="6">
                  <c:v>98</c:v>
                </c:pt>
                <c:pt idx="7">
                  <c:v>98</c:v>
                </c:pt>
                <c:pt idx="8">
                  <c:v>98</c:v>
                </c:pt>
                <c:pt idx="9">
                  <c:v>98</c:v>
                </c:pt>
                <c:pt idx="10">
                  <c:v>98</c:v>
                </c:pt>
                <c:pt idx="11">
                  <c:v>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1C7-4D69-AE60-5F1AA8B099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8886528"/>
        <c:axId val="68887680"/>
      </c:lineChart>
      <c:catAx>
        <c:axId val="68886528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txPr>
          <a:bodyPr rot="-1920000" vert="horz" anchor="ctr" anchorCtr="0"/>
          <a:lstStyle/>
          <a:p>
            <a:pPr>
              <a:defRPr/>
            </a:pPr>
            <a:endParaRPr lang="pt-BR"/>
          </a:p>
        </c:txPr>
        <c:crossAx val="68887680"/>
        <c:crosses val="autoZero"/>
        <c:auto val="1"/>
        <c:lblAlgn val="ctr"/>
        <c:lblOffset val="100"/>
        <c:noMultiLvlLbl val="0"/>
      </c:catAx>
      <c:valAx>
        <c:axId val="6888768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68886528"/>
        <c:crosses val="autoZero"/>
        <c:crossBetween val="between"/>
      </c:valAx>
      <c:spPr>
        <a:solidFill>
          <a:schemeClr val="bg1">
            <a:lumMod val="95000"/>
          </a:schemeClr>
        </a:solidFill>
        <a:ln>
          <a:solidFill>
            <a:schemeClr val="tx1"/>
          </a:solidFill>
        </a:ln>
      </c:spPr>
    </c:plotArea>
    <c:legend>
      <c:legendPos val="b"/>
      <c:layout>
        <c:manualLayout>
          <c:xMode val="edge"/>
          <c:yMode val="edge"/>
          <c:x val="0.15899912594164922"/>
          <c:y val="0.92444414899804894"/>
          <c:w val="0.6654803432098404"/>
          <c:h val="7.3107720044443908E-2"/>
        </c:manualLayout>
      </c:layout>
      <c:overlay val="0"/>
    </c:legend>
    <c:plotVisOnly val="1"/>
    <c:dispBlanksAs val="gap"/>
    <c:showDLblsOverMax val="0"/>
  </c:chart>
  <c:externalData r:id="rId1">
    <c:autoUpdate val="0"/>
  </c:externalData>
  <c:userShapes r:id="rId2"/>
</c:chartSpac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rawing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rawings/_rels/drawing3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0.10598</cdr:x>
      <cdr:y>0.08559</cdr:y>
    </cdr:from>
    <cdr:to>
      <cdr:x>0.93207</cdr:x>
      <cdr:y>0.11655</cdr:y>
    </cdr:to>
    <cdr:sp macro="" textlink="">
      <cdr:nvSpPr>
        <cdr:cNvPr id="135170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1133623" y="644859"/>
          <a:ext cx="8836334" cy="233269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>
          <a:noFill/>
          <a:miter lim="800000"/>
          <a:headEnd/>
          <a:tailEnd/>
        </a:ln>
      </cdr:spPr>
      <cdr:txBody>
        <a:bodyPr xmlns:a="http://schemas.openxmlformats.org/drawingml/2006/main" wrap="square" lIns="27432" tIns="41148" rIns="0" bIns="0" anchor="t" upright="1">
          <a:spAutoFit/>
        </a:bodyPr>
        <a:lstStyle xmlns:a="http://schemas.openxmlformats.org/drawingml/2006/main"/>
        <a:p xmlns:a="http://schemas.openxmlformats.org/drawingml/2006/main">
          <a:pPr algn="ctr" rtl="1">
            <a:defRPr sz="1000"/>
          </a:pPr>
          <a:r>
            <a:rPr lang="pt-BR" sz="1300" b="1" i="0" strike="noStrike">
              <a:solidFill>
                <a:srgbClr val="000099"/>
              </a:solidFill>
              <a:latin typeface="Arial" panose="020B0604020202020204" pitchFamily="34" charset="0"/>
              <a:cs typeface="Arial" panose="020B0604020202020204" pitchFamily="34" charset="0"/>
            </a:rPr>
            <a:t>Meta:</a:t>
          </a:r>
          <a:r>
            <a:rPr lang="pt-BR" sz="1300" b="1" i="0" strike="noStrike" baseline="0">
              <a:solidFill>
                <a:srgbClr val="000099"/>
              </a:solidFill>
              <a:latin typeface="Arial" panose="020B0604020202020204" pitchFamily="34" charset="0"/>
              <a:cs typeface="Arial" panose="020B0604020202020204" pitchFamily="34" charset="0"/>
            </a:rPr>
            <a:t> 90% das Aquisições no Prazo e/ou Antecipado - </a:t>
          </a:r>
          <a:r>
            <a:rPr lang="pt-BR" sz="1300" b="1" i="0" strike="noStrike">
              <a:solidFill>
                <a:srgbClr val="000099"/>
              </a:solidFill>
              <a:latin typeface="Arial" panose="020B0604020202020204" pitchFamily="34" charset="0"/>
              <a:cs typeface="Arial" panose="020B0604020202020204" pitchFamily="34" charset="0"/>
            </a:rPr>
            <a:t> Acima da linha</a:t>
          </a:r>
        </a:p>
      </cdr:txBody>
    </cdr:sp>
  </cdr:relSizeAnchor>
  <cdr:relSizeAnchor xmlns:cdr="http://schemas.openxmlformats.org/drawingml/2006/chartDrawing">
    <cdr:from>
      <cdr:x>0</cdr:x>
      <cdr:y>0.00189</cdr:y>
    </cdr:from>
    <cdr:to>
      <cdr:x>0.13582</cdr:x>
      <cdr:y>0.15049</cdr:y>
    </cdr:to>
    <cdr:pic>
      <cdr:nvPicPr>
        <cdr:cNvPr id="2" name="Imagem 1">
          <a:extLst xmlns:a="http://schemas.openxmlformats.org/drawingml/2006/main">
            <a:ext uri="{FF2B5EF4-FFF2-40B4-BE49-F238E27FC236}">
              <a16:creationId xmlns:a16="http://schemas.microsoft.com/office/drawing/2014/main" id="{0904E669-DADE-4AE2-98FB-97125E54A461}"/>
            </a:ext>
          </a:extLst>
        </cdr:cNvPr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 cstate="print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0" y="14224"/>
          <a:ext cx="1452784" cy="1119632"/>
        </a:xfrm>
        <a:prstGeom xmlns:a="http://schemas.openxmlformats.org/drawingml/2006/main" prst="rect">
          <a:avLst/>
        </a:prstGeom>
      </cdr:spPr>
    </cdr:pic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0.26908</cdr:x>
      <cdr:y>0.06736</cdr:y>
    </cdr:from>
    <cdr:to>
      <cdr:x>0.76375</cdr:x>
      <cdr:y>0.12219</cdr:y>
    </cdr:to>
    <cdr:sp macro="" textlink="">
      <cdr:nvSpPr>
        <cdr:cNvPr id="134146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2873665" y="510802"/>
          <a:ext cx="5282783" cy="415790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>
          <a:noFill/>
          <a:miter lim="800000"/>
          <a:headEnd/>
          <a:tailEnd/>
        </a:ln>
      </cdr:spPr>
      <cdr:txBody>
        <a:bodyPr xmlns:a="http://schemas.openxmlformats.org/drawingml/2006/main" vertOverflow="clip" wrap="square" lIns="36576" tIns="41148" rIns="0" bIns="0" anchor="t" upright="1"/>
        <a:lstStyle xmlns:a="http://schemas.openxmlformats.org/drawingml/2006/main"/>
        <a:p xmlns:a="http://schemas.openxmlformats.org/drawingml/2006/main">
          <a:pPr algn="l" rtl="1">
            <a:defRPr sz="1000"/>
          </a:pPr>
          <a:r>
            <a:rPr lang="pt-BR" sz="1300" b="1" i="0" strike="noStrike">
              <a:solidFill>
                <a:srgbClr val="000099"/>
              </a:solidFill>
              <a:latin typeface="Arial" panose="020B0604020202020204" pitchFamily="34" charset="0"/>
              <a:cs typeface="Arial" panose="020B0604020202020204" pitchFamily="34" charset="0"/>
            </a:rPr>
            <a:t>Meta: 90% das</a:t>
          </a:r>
          <a:r>
            <a:rPr lang="pt-BR" sz="1300" b="1" i="0" strike="noStrike" baseline="0">
              <a:solidFill>
                <a:srgbClr val="000099"/>
              </a:solidFill>
              <a:latin typeface="Arial" panose="020B0604020202020204" pitchFamily="34" charset="0"/>
              <a:cs typeface="Arial" panose="020B0604020202020204" pitchFamily="34" charset="0"/>
            </a:rPr>
            <a:t> Aquisições sem Devolução -</a:t>
          </a:r>
          <a:r>
            <a:rPr lang="pt-BR" sz="1300" b="1" i="0" strike="noStrike">
              <a:solidFill>
                <a:srgbClr val="000099"/>
              </a:solidFill>
              <a:latin typeface="Arial" panose="020B0604020202020204" pitchFamily="34" charset="0"/>
              <a:cs typeface="Arial" panose="020B0604020202020204" pitchFamily="34" charset="0"/>
            </a:rPr>
            <a:t> Acima da linha</a:t>
          </a:r>
        </a:p>
      </cdr:txBody>
    </cdr:sp>
  </cdr:relSizeAnchor>
  <cdr:relSizeAnchor xmlns:cdr="http://schemas.openxmlformats.org/drawingml/2006/chartDrawing">
    <cdr:from>
      <cdr:x>0</cdr:x>
      <cdr:y>0.00857</cdr:y>
    </cdr:from>
    <cdr:to>
      <cdr:x>0.13604</cdr:x>
      <cdr:y>0.15622</cdr:y>
    </cdr:to>
    <cdr:pic>
      <cdr:nvPicPr>
        <cdr:cNvPr id="2" name="Imagem 1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 cstate="print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0" y="65024"/>
          <a:ext cx="1452784" cy="1119632"/>
        </a:xfrm>
        <a:prstGeom xmlns:a="http://schemas.openxmlformats.org/drawingml/2006/main" prst="rect">
          <a:avLst/>
        </a:prstGeom>
      </cdr:spPr>
    </cdr:pic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0.00476</cdr:x>
      <cdr:y>0.00405</cdr:y>
    </cdr:from>
    <cdr:to>
      <cdr:x>0.13356</cdr:x>
      <cdr:y>0.14501</cdr:y>
    </cdr:to>
    <cdr:pic>
      <cdr:nvPicPr>
        <cdr:cNvPr id="3" name="Imagem 2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 cstate="print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50800" y="30480"/>
          <a:ext cx="1375664" cy="1060197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Sgq</dc:creator>
  <cp:keywords/>
  <dc:description/>
  <cp:lastModifiedBy>Sgq</cp:lastModifiedBy>
  <cp:revision>1</cp:revision>
  <dcterms:created xsi:type="dcterms:W3CDTF">2026-04-13T10:44:00Z</dcterms:created>
  <dcterms:modified xsi:type="dcterms:W3CDTF">2026-04-13T11:11:00Z</dcterms:modified>
</cp:coreProperties>
</file>