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pBdr>
          <w:bottom w:val="single" w:sz="8" w:space="4" w:color="C9A227"/>
        </w:pBdr>
      </w:pPr>
      <w:r>
        <w:rPr>
          <w:rFonts w:ascii="Georgia" w:hAnsi="Georgia"/>
          <w:color w:val="0F1B2E"/>
          <w:sz w:val="48"/>
        </w:rPr>
        <w:t>The 3-Month AI Practice Plan</w:t>
      </w:r>
    </w:p>
    <w:p>
      <w:r>
        <w:rPr>
          <w:rFonts w:ascii="Calibri" w:hAnsi="Calibri"/>
          <w:i/>
          <w:color w:val="1C2430"/>
        </w:rPr>
        <w:t>The Artificial Advantage Toolkit</w:t>
      </w:r>
    </w:p>
    <w:p>
      <w:r>
        <w:rPr>
          <w:rFonts w:ascii="Calibri" w:hAnsi="Calibri"/>
          <w:color w:val="1C2430"/>
        </w:rPr>
        <w:t>The full practice plan from Chapter 14, Building Your AI Practice. Put the three month headings in your calendar today, and come back to this file at the start of each one.</w:t>
      </w:r>
    </w:p>
    <w:p>
      <w:r>
        <w:rPr>
          <w:rFonts w:ascii="Calibri" w:hAnsi="Calibri"/>
          <w:color w:val="1C2430"/>
        </w:rPr>
        <w:t>This is a flexible framework, and it works best when you adapt it to your actual work. Treat the numbers below as targets to aim for. None of them is a quota. Some weeks you'll save two templates; some weeks none, because nothing recurred that was worth saving, and that's fine. Consistency matters far more than hitting a count. Treat the three months the way you'd treat training for anything physical. The first month, you show up. The second, you work on form. The third, you build the routine that makes it stick.</w:t>
      </w:r>
    </w:p>
    <w:p>
      <w:pPr>
        <w:keepNext/>
        <w:spacing w:before="240"/>
      </w:pPr>
      <w:r>
        <w:rPr>
          <w:rFonts w:ascii="Georgia" w:hAnsi="Georgia"/>
          <w:b/>
          <w:color w:val="0F1B2E"/>
          <w:sz w:val="26"/>
        </w:rPr>
        <w:t>First Week: Quick-Start</w:t>
      </w:r>
    </w:p>
    <w:p>
      <w:r>
        <w:rPr>
          <w:rFonts w:ascii="Calibri" w:hAnsi="Calibri"/>
          <w:color w:val="1C2430"/>
        </w:rPr>
        <w:t>Before you think about months, get one week under your belt. Each workday this week, use AI for one real task that needs doing anyway: draft an email, summarize a document, outline a presentation, research a decision. Keep the stakes low enough that a mistake doesn't cost you, yet high enough that the work still matters. At the end of the week, look back at the five sessions and pick the one task you'd do again. Write a full prompt for it (role, task, constraints) and save it. That single saved prompt is your first template, and it's the seed of everything below.</w:t>
      </w:r>
    </w:p>
    <w:p>
      <w:pPr>
        <w:keepNext/>
        <w:spacing w:before="240"/>
      </w:pPr>
      <w:r>
        <w:rPr>
          <w:rFonts w:ascii="Georgia" w:hAnsi="Georgia"/>
          <w:b/>
          <w:color w:val="0F1B2E"/>
          <w:sz w:val="26"/>
        </w:rPr>
        <w:t>Month 1: Make It Habitual</w:t>
      </w:r>
    </w:p>
    <w:p>
      <w:r>
        <w:rPr>
          <w:rFonts w:ascii="Calibri" w:hAnsi="Calibri"/>
          <w:color w:val="1C2430"/>
        </w:rPr>
        <w:t>The first month is about normalizing AI use, so reaching for it becomes automatic, a default move you stop thinking about.</w:t>
      </w:r>
    </w:p>
    <w:p>
      <w:r>
        <w:rPr>
          <w:rFonts w:ascii="Calibri" w:hAnsi="Calibri"/>
          <w:color w:val="1C2430"/>
        </w:rPr>
        <w:t>Watch how it went for Marcus. In week one he still paused before each session, half-deciding whether the task "qualified." By week three the pause was gone. He caught himself pasting his scratch notes for the Monday leadership sync into a session on reflex, the way he'd open a spreadsheet, and only noticed afterward that he hadn't debated it. That reflex is the whole goal of month one. His two saved prompts by then, the status update and the sync brief, weren't a library yet. They were proof the habit had taken.</w:t>
      </w:r>
    </w:p>
    <w:p>
      <w:r>
        <w:rPr>
          <w:rFonts w:ascii="Calibri" w:hAnsi="Calibri"/>
          <w:color w:val="1C2430"/>
        </w:rPr>
        <w:t>Daily practice: keep the quick-start rhythm going. One real work task every day, low-stakes but real. That combination builds confidence without pressure.</w:t>
      </w:r>
    </w:p>
    <w:p>
      <w:r>
        <w:rPr>
          <w:rFonts w:ascii="Calibri" w:hAnsi="Calibri"/>
          <w:color w:val="1C2430"/>
        </w:rPr>
        <w:t>Weekly goal: at the end of each week, find one task you did more than once and build a template for it, a fully engineered prompt, saved and ready for next time.</w:t>
      </w:r>
    </w:p>
    <w:p>
      <w:r>
        <w:rPr>
          <w:rFonts w:ascii="Calibri" w:hAnsi="Calibri"/>
          <w:color w:val="1C2430"/>
        </w:rPr>
        <w:t>Aim for three or four templates by the end of the month, and to feel comfortable opening AI without overthinking it.</w:t>
      </w:r>
    </w:p>
    <w:p>
      <w:r>
        <w:rPr>
          <w:rFonts w:ascii="Calibri" w:hAnsi="Calibri"/>
          <w:color w:val="1C2430"/>
        </w:rPr>
        <w:t>What success looks like: AI feels ordinary, another tool you use daily, like email or a spreadsheet. You stop asking "Should I use AI for this?" and use it.</w:t>
      </w:r>
    </w:p>
    <w:p>
      <w:r>
        <w:rPr>
          <w:rFonts w:ascii="Calibri" w:hAnsi="Calibri"/>
          <w:color w:val="1C2430"/>
        </w:rPr>
        <w:t>One mistake worth skipping: building templates before you've used AI consistently. Professionals sometimes try to design a full prompt library before they've used AI enough to know what they need. Templates built on thin experience go stale fast and feel like homework. Build them from sessions you've actually run.</w:t>
      </w:r>
    </w:p>
    <w:p>
      <w:pPr>
        <w:keepNext/>
        <w:spacing w:before="240"/>
      </w:pPr>
      <w:r>
        <w:rPr>
          <w:rFonts w:ascii="Georgia" w:hAnsi="Georgia"/>
          <w:b/>
          <w:color w:val="0F1B2E"/>
          <w:sz w:val="26"/>
        </w:rPr>
        <w:t>Month 2: Make It Strategic</w:t>
      </w:r>
    </w:p>
    <w:p>
      <w:r>
        <w:rPr>
          <w:rFonts w:ascii="Calibri" w:hAnsi="Calibri"/>
          <w:color w:val="1C2430"/>
        </w:rPr>
        <w:t>You've built the habit. The second month is about getting more out of each session by being deliberate.</w:t>
      </w:r>
    </w:p>
    <w:p>
      <w:r>
        <w:rPr>
          <w:rFonts w:ascii="Calibri" w:hAnsi="Calibri"/>
          <w:color w:val="1C2430"/>
        </w:rPr>
        <w:t>Marcus felt the shift on a launch-risk memo. His sync-brief template landed clean on the first try every week, and yet the emails he wrote to senior stakeholders still needed three rounds of edits each time. That contrast was the tell. He tried meta-prompting on the memo, asking the model to interview him before it wrote anything, and the answers he gave to its five questions turned out to be exactly the context his stakeholder emails had always been starved of. For the first time he could say out loud why one template worked and another limped. That naming is what month two buys you.</w:t>
      </w:r>
    </w:p>
    <w:p>
      <w:r>
        <w:rPr>
          <w:rFonts w:ascii="Calibri" w:hAnsi="Calibri"/>
          <w:color w:val="1C2430"/>
        </w:rPr>
        <w:t>Review the templates from month one. The ones that produced great results on the first try are working; the ones that needed iteration every time need sharper constraints or better context. As you refine them, keep a simple note, digital or paper, of the prompts that produced exceptional results and what made them different. You're saving your learning so you can reuse it.</w:t>
      </w:r>
    </w:p>
    <w:p>
      <w:r>
        <w:rPr>
          <w:rFonts w:ascii="Calibri" w:hAnsi="Calibri"/>
          <w:color w:val="1C2430"/>
        </w:rPr>
        <w:t>This is also the month to apply two skills from earlier on purpose. Try constraint architecture, which means ranking the two or three details that carry the most weight for a given task and front-loading them before the decorative ones. And try meta-prompting: on one complex task, ask AI to interview you first ("Before you help me with this, ask me five questions that would help you do it well") and notice how much closer the first draft lands.</w:t>
      </w:r>
    </w:p>
    <w:p>
      <w:r>
        <w:rPr>
          <w:rFonts w:ascii="Calibri" w:hAnsi="Calibri"/>
          <w:color w:val="1C2430"/>
        </w:rPr>
        <w:t>Aim for somewhere around eight templates in total by the end of the month, four or five new ones on top of month one's, and a clearer sense of what makes your best sessions work.</w:t>
      </w:r>
    </w:p>
    <w:p>
      <w:r>
        <w:rPr>
          <w:rFonts w:ascii="Calibri" w:hAnsi="Calibri"/>
          <w:color w:val="1C2430"/>
        </w:rPr>
        <w:t>What success looks like: you can say why a good output was good. When you can name what made it work and reproduce that on purpose, you're directing strategically instead of getting lucky.</w:t>
      </w:r>
    </w:p>
    <w:p>
      <w:pPr>
        <w:keepNext/>
        <w:spacing w:before="240"/>
      </w:pPr>
      <w:r>
        <w:rPr>
          <w:rFonts w:ascii="Georgia" w:hAnsi="Georgia"/>
          <w:b/>
          <w:color w:val="0F1B2E"/>
          <w:sz w:val="26"/>
        </w:rPr>
        <w:t>Month 3: Make It Systematic</w:t>
      </w:r>
    </w:p>
    <w:p>
      <w:r>
        <w:rPr>
          <w:rFonts w:ascii="Calibri" w:hAnsi="Calibri"/>
          <w:color w:val="1C2430"/>
        </w:rPr>
        <w:t>The third month is about building infrastructure that lasts, and the core of it is organizing the library you've been accumulating.</w:t>
      </w:r>
    </w:p>
    <w:p>
      <w:r>
        <w:rPr>
          <w:rFonts w:ascii="Calibri" w:hAnsi="Calibri"/>
          <w:color w:val="1C2430"/>
        </w:rPr>
        <w:t>For Marcus, month three is when the library stopped being his. He sorted his prompts by task type, emails, summaries, launch briefs, and walked one teammate through his best one over a coffee. A week later she asked for two more. Then someone she'd shown them asked. The template that once saved Marcus an afternoon on a hard stakeholder email started saving his whole team the same afternoon. The shared library his colleagues now open every week traces back to a single prompt he saved in week one.</w:t>
      </w:r>
    </w:p>
    <w:p>
      <w:r>
        <w:rPr>
          <w:rFonts w:ascii="Calibri" w:hAnsi="Calibri"/>
          <w:color w:val="1C2430"/>
        </w:rPr>
        <w:t>The library got its first real test a few weeks later, when the senior leadership team asked Marcus's function for a quarterly review: one deck covering what the team had shipped, what it had earned, and what deserved budget next. His company runs Microsoft 365, so the tool on every desktop was Copilot, already connected to the SharePoint folders where the team files its project wrap-up reports. Marcus drafts in Claude most days, and this job was the exception he'd learned to spot: the evidence lived in those folders, and the tool that could already see them beat the one he preferred. Rather than divide the slides and disappear into separate drafts, the team ran the deck through CLEAR, stage by stage.</w:t>
      </w:r>
    </w:p>
    <w:p>
      <w:r>
        <w:rPr>
          <w:rFonts w:ascii="Calibri" w:hAnsi="Calibri"/>
          <w:color w:val="1C2430"/>
        </w:rPr>
        <w:t>Choose Your Tools was settled by the environment: the sanctioned tool, already inside the folders where the evidence lived, was the natural pick for a job that was mostly grounded retrieval. Lead with Clear Direction turned the vague assignment into a brief: "You're preparing a quarterly business review for a senior leadership audience. From the project wrap-up reports in this folder, list every project shipped this quarter with its outcome and one measurable result. Table format, one row per project, and flag any project with no reported outcome." The first pass came back padded, wins that turned out to be status updates, so Evolve Your Outputs earned its keep: a tighter definition of shipped, a constraint against counting anything twice. Audit for Accuracy took the longest, and nobody argued after Chapter 13: every number on every slide traced back to a named wrap-up report before the deck left the team.</w:t>
      </w:r>
    </w:p>
    <w:p>
      <w:r>
        <w:rPr>
          <w:rFonts w:ascii="Calibri" w:hAnsi="Calibri"/>
          <w:color w:val="1C2430"/>
        </w:rPr>
        <w:t>The presentation ran clean. The follow-up questions were about the work itself rather than the numbers, which is the reception an audited deck buys you, and the head of finance asked to keep the appendix. One row came back flagged with no reported outcome, and it was one of his own projects. He left the flag in the deck and said so out loud before anyone had to ask. Repeat to Build a Practice closed the loop the following week, when the prompts went into the shared library under quarterly review and next quarter's deck stopped being a blank page.</w:t>
      </w:r>
    </w:p>
    <w:p>
      <w:r>
        <w:rPr>
          <w:rFonts w:ascii="Calibri" w:hAnsi="Calibri"/>
          <w:color w:val="1C2430"/>
        </w:rPr>
        <w:t>Build your prompt library, and think about how you organize it. The right structure is the one you'll actually keep using, and there are a few useful angles:</w:t>
      </w:r>
    </w:p>
    <w:p>
      <w:r>
        <w:rPr>
          <w:rFonts w:ascii="Calibri" w:hAnsi="Calibri"/>
          <w:color w:val="1C2430"/>
        </w:rPr>
        <w:t>By task type is the simplest and the best default: emails, summaries, research, drafting, planning.</w:t>
      </w:r>
    </w:p>
    <w:p>
      <w:r>
        <w:rPr>
          <w:rFonts w:ascii="Calibri" w:hAnsi="Calibri"/>
          <w:color w:val="1C2430"/>
        </w:rPr>
        <w:t>By workflow suits recurring multi-step projects: group the prompts in the order you use them, from first draft to final review.</w:t>
      </w:r>
    </w:p>
    <w:p>
      <w:r>
        <w:rPr>
          <w:rFonts w:ascii="Calibri" w:hAnsi="Calibri"/>
          <w:color w:val="1C2430"/>
        </w:rPr>
        <w:t>By persona helps if you lean on the same roles repeatedly: a folder for "the editor," "the analyst," "the skeptic who pokes holes in my plan."</w:t>
      </w:r>
    </w:p>
    <w:p>
      <w:r>
        <w:rPr>
          <w:rFonts w:ascii="Calibri" w:hAnsi="Calibri"/>
          <w:color w:val="1C2430"/>
        </w:rPr>
        <w:t>By project or client keeps everything for one engagement in one place.</w:t>
      </w:r>
    </w:p>
    <w:p>
      <w:r>
        <w:rPr>
          <w:rFonts w:ascii="Calibri" w:hAnsi="Calibri"/>
          <w:color w:val="1C2430"/>
        </w:rPr>
        <w:t>Pick one angle and start. A library you'll maintain beats a perfect taxonomy you abandon, so keep it simple and accessible: one cloud document or notes page, clear headings, the changeable parts in brackets. Here's what a single entry looks like, filed under "Research":</w:t>
      </w:r>
    </w:p>
    <w:p>
      <w:r>
        <w:rPr>
          <w:rFonts w:ascii="Calibri" w:hAnsi="Calibri"/>
          <w:color w:val="1C2430"/>
        </w:rPr>
        <w:t>Research / Decision Brief</w:t>
      </w:r>
    </w:p>
    <w:p>
      <w:r>
        <w:rPr>
          <w:rFonts w:ascii="Calibri" w:hAnsi="Calibri"/>
          <w:color w:val="1C2430"/>
        </w:rPr>
        <w:t>"You are a sharp research analyst. I'm deciding [the decision]. Lay out the three or four realistic options, the key trade-off of each, and what I'd have to believe for each to be the right call. Flag the single piece of information that would most change the answer. Neutral tone, no recommendation yet, under 400 words."</w:t>
      </w:r>
    </w:p>
    <w:p>
      <w:r>
        <w:rPr>
          <w:rFonts w:ascii="Calibri" w:hAnsi="Calibri"/>
          <w:color w:val="1C2430"/>
        </w:rPr>
        <w:t>Keep it lean. Set a recurring reminder for the last day of each month and spend fifteen minutes reviewing the library: which templates you used most, which worked best, and which you can archive because you've stopped reaching for them. Pruning is part of maintenance.</w:t>
      </w:r>
    </w:p>
    <w:p>
      <w:r>
        <w:rPr>
          <w:rFonts w:ascii="Calibri" w:hAnsi="Calibri"/>
          <w:color w:val="1C2430"/>
        </w:rPr>
        <w:t>Teach one person. Walk a colleague through your best template and explain why it works. Teaching forces you to articulate what you've learned, which sharpens it.</w:t>
      </w:r>
    </w:p>
    <w:p>
      <w:r>
        <w:rPr>
          <w:rFonts w:ascii="Calibri" w:hAnsi="Calibri"/>
          <w:color w:val="1C2430"/>
        </w:rPr>
        <w:t>What success looks like: picture an ordinary Tuesday at week twelve. A request lands that would once have eaten your afternoon. You open your library, pull the template that fits, drop in the specifics, and send a strong draft for review twenty minutes later. The tool has become infrastructure, and your advantage grows with every proven template you add. The deeper change is harder to see on a calendar. Three months of naming what you need before you ask for it builds a habit of thought that outlasts any single task. That's the part you keep.</w:t>
      </w:r>
    </w:p>
    <w:p>
      <w:r>
        <w:rPr>
          <w:rFonts w:ascii="Calibri" w:hAnsi="Calibri"/>
          <w:color w:val="1C2430"/>
        </w:rPr>
        <w:t>A note on where this goes next. Organizing a library by hand is the foundation, and it's also the doorway to something larger: getting AI to remember your context and run as a system around your work. Later volumes in this series go deeper into working with memory and building those systems. For now, a simple, well-kept library is the thing everything else stands on.</w:t>
      </w:r>
    </w:p>
    <w:p>
      <w:pPr>
        <w:keepNext/>
        <w:spacing w:before="320"/>
      </w:pPr>
      <w:r>
        <w:rPr>
          <w:rFonts w:ascii="Georgia" w:hAnsi="Georgia"/>
          <w:b/>
          <w:color w:val="0F1B2E"/>
          <w:sz w:val="32"/>
        </w:rPr>
        <w:t>Month-end check-ins</w:t>
      </w:r>
    </w:p>
    <w:p>
      <w:pPr>
        <w:ind w:left="340"/>
      </w:pPr>
      <w:r>
        <w:rPr>
          <w:rFonts w:ascii="Calibri" w:hAnsi="Calibri"/>
          <w:color w:val="1C2430"/>
        </w:rPr>
        <w:t>☐ End of Month 1: AI feels ordinary. What did you stop hesitating over?</w:t>
      </w:r>
    </w:p>
    <w:p>
      <w:pPr>
        <w:ind w:left="340"/>
      </w:pPr>
      <w:r>
        <w:rPr>
          <w:rFonts w:ascii="Calibri" w:hAnsi="Calibri"/>
          <w:color w:val="1C2430"/>
        </w:rPr>
        <w:t>☐ End of Month 2: which tasks now go to AI first, and which stay with you?</w:t>
      </w:r>
    </w:p>
    <w:p>
      <w:pPr>
        <w:ind w:left="340"/>
      </w:pPr>
      <w:r>
        <w:rPr>
          <w:rFonts w:ascii="Calibri" w:hAnsi="Calibri"/>
          <w:color w:val="1C2430"/>
        </w:rPr>
        <w:t>☐ End of Month 3: which prompts and workflows are saved, named and reused?</w:t>
      </w:r>
    </w:p>
    <w:p>
      <w:r>
        <w:rPr>
          <w:rFonts w:ascii="Calibri" w:hAnsi="Calibri"/>
          <w:b/>
          <w:color w:val="1C2430"/>
        </w:rPr>
        <w:t>Your notes</w:t>
      </w:r>
    </w:p>
    <w:tbl>
      <w:tblPr>
        <w:tblW w:type="auto" w:w="0"/>
        <w:tblLook w:firstColumn="1" w:firstRow="1" w:lastColumn="0" w:lastRow="0" w:noHBand="0" w:noVBand="1" w:val="04A0"/>
      </w:tblPr>
      <w:tblGrid>
        <w:gridCol w:w="9746"/>
      </w:tblGrid>
      <w:tr>
        <w:trPr>
          <w:trHeight w:val="510"/>
        </w:trPr>
        <w:tc>
          <w:tcPr>
            <w:tcW w:type="dxa" w:w="9746"/>
            <w:tcBorders>
              <w:top w:val="nil"/>
              <w:left w:val="nil"/>
              <w:right w:val="nil"/>
              <w:bottom w:val="single" w:sz="4" w:color="BFC6CF"/>
            </w:tcBorders>
          </w:tcPr>
          <w:p/>
        </w:tc>
      </w:tr>
      <w:tr>
        <w:trPr>
          <w:trHeight w:val="510"/>
        </w:trPr>
        <w:tc>
          <w:tcPr>
            <w:tcW w:type="dxa" w:w="9746"/>
            <w:tcBorders>
              <w:top w:val="nil"/>
              <w:left w:val="nil"/>
              <w:right w:val="nil"/>
              <w:bottom w:val="single" w:sz="4" w:color="BFC6CF"/>
            </w:tcBorders>
          </w:tcPr>
          <w:p/>
        </w:tc>
      </w:tr>
      <w:tr>
        <w:trPr>
          <w:trHeight w:val="510"/>
        </w:trPr>
        <w:tc>
          <w:tcPr>
            <w:tcW w:type="dxa" w:w="9746"/>
            <w:tcBorders>
              <w:top w:val="nil"/>
              <w:left w:val="nil"/>
              <w:right w:val="nil"/>
              <w:bottom w:val="single" w:sz="4" w:color="BFC6CF"/>
            </w:tcBorders>
          </w:tcPr>
          <w:p/>
        </w:tc>
      </w:tr>
    </w:tbl>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777"/>
        <w:sz w:val="18"/>
      </w:rPr>
      <w:t>The Artificial Advantage Toolkit  ·  elvinpeters.com/toolkit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color w:val="1C24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