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D49EE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W w:w="92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0"/>
      </w:tblGrid>
      <w:tr w:rsidR="00A960F5" w14:paraId="721D49F0" w14:textId="77777777">
        <w:trPr>
          <w:trHeight w:val="1547"/>
        </w:trPr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49EF" w14:textId="77777777" w:rsidR="00A960F5" w:rsidRDefault="009F0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0"/>
              <w:jc w:val="right"/>
              <w:rPr>
                <w:rFonts w:ascii="Verdana" w:eastAsia="Verdana" w:hAnsi="Verdana" w:cs="Verdana"/>
                <w:b/>
                <w:color w:val="C0C0C0"/>
                <w:sz w:val="120"/>
                <w:szCs w:val="120"/>
              </w:rPr>
            </w:pPr>
            <w:proofErr w:type="spellStart"/>
            <w:r>
              <w:rPr>
                <w:rFonts w:ascii="Verdana" w:eastAsia="Verdana" w:hAnsi="Verdana" w:cs="Verdana"/>
                <w:b/>
                <w:color w:val="C0C0C0"/>
                <w:sz w:val="120"/>
                <w:szCs w:val="120"/>
              </w:rPr>
              <w:t>PPBio</w:t>
            </w:r>
            <w:proofErr w:type="spellEnd"/>
            <w:r>
              <w:rPr>
                <w:rFonts w:ascii="Verdana" w:eastAsia="Verdana" w:hAnsi="Verdana" w:cs="Verdana"/>
                <w:b/>
                <w:color w:val="C0C0C0"/>
                <w:sz w:val="120"/>
                <w:szCs w:val="120"/>
              </w:rPr>
              <w:t xml:space="preserve"> 2006</w:t>
            </w:r>
          </w:p>
        </w:tc>
      </w:tr>
      <w:tr w:rsidR="00A960F5" w14:paraId="721D49F2" w14:textId="77777777">
        <w:trPr>
          <w:trHeight w:val="751"/>
        </w:trPr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49F1" w14:textId="77777777" w:rsidR="00A960F5" w:rsidRDefault="009F0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82"/>
              <w:jc w:val="right"/>
              <w:rPr>
                <w:rFonts w:ascii="Verdana" w:eastAsia="Verdana" w:hAnsi="Verdana" w:cs="Verdana"/>
                <w:b/>
                <w:color w:val="000000"/>
                <w:sz w:val="56"/>
                <w:szCs w:val="56"/>
              </w:rPr>
            </w:pPr>
            <w:r>
              <w:rPr>
                <w:rFonts w:ascii="Verdana" w:eastAsia="Verdana" w:hAnsi="Verdana" w:cs="Verdana"/>
                <w:b/>
                <w:sz w:val="56"/>
                <w:szCs w:val="56"/>
              </w:rPr>
              <w:t>Outliers multivariados com base no desvio padrão</w:t>
            </w:r>
          </w:p>
        </w:tc>
      </w:tr>
    </w:tbl>
    <w:p w14:paraId="721D49F3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D49F4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D49F5" w14:textId="77777777" w:rsidR="00A960F5" w:rsidRDefault="00A960F5">
      <w:pPr>
        <w:widowControl w:val="0"/>
        <w:spacing w:before="8" w:line="240" w:lineRule="auto"/>
        <w:ind w:left="1817"/>
        <w:rPr>
          <w:rFonts w:ascii="Verdana" w:eastAsia="Verdana" w:hAnsi="Verdana" w:cs="Verdana"/>
          <w:sz w:val="15"/>
          <w:szCs w:val="15"/>
        </w:rPr>
      </w:pPr>
    </w:p>
    <w:tbl>
      <w:tblPr>
        <w:tblStyle w:val="a0"/>
        <w:tblW w:w="9105" w:type="dxa"/>
        <w:tblInd w:w="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5"/>
      </w:tblGrid>
      <w:tr w:rsidR="00A960F5" w14:paraId="721D49F7" w14:textId="77777777">
        <w:trPr>
          <w:trHeight w:val="205"/>
        </w:trPr>
        <w:tc>
          <w:tcPr>
            <w:tcW w:w="9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49F6" w14:textId="77777777" w:rsidR="00A960F5" w:rsidRDefault="009F08C2">
            <w:pPr>
              <w:widowControl w:val="0"/>
              <w:spacing w:before="240" w:after="240" w:line="240" w:lineRule="auto"/>
              <w:jc w:val="right"/>
              <w:rPr>
                <w:rFonts w:ascii="Verdana" w:eastAsia="Verdana" w:hAnsi="Verdana" w:cs="Verdana"/>
                <w:color w:val="FFFFFF"/>
                <w:sz w:val="26"/>
                <w:szCs w:val="26"/>
                <w:highlight w:val="darkGray"/>
              </w:rPr>
            </w:pPr>
            <w:r>
              <w:rPr>
                <w:rFonts w:ascii="Verdana" w:eastAsia="Verdana" w:hAnsi="Verdana" w:cs="Verdana"/>
                <w:b/>
                <w:sz w:val="26"/>
                <w:szCs w:val="26"/>
              </w:rPr>
              <w:t>Exemplo de conjunto de dados ecológicos do PPBIO-Semiárido no ano de 2006. Peixes.</w:t>
            </w:r>
          </w:p>
        </w:tc>
      </w:tr>
    </w:tbl>
    <w:p w14:paraId="721D49F8" w14:textId="77777777" w:rsidR="00A960F5" w:rsidRDefault="00A960F5">
      <w:pPr>
        <w:widowControl w:val="0"/>
      </w:pPr>
    </w:p>
    <w:p w14:paraId="721D49F9" w14:textId="420F7BCD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1"/>
        <w:rPr>
          <w:rFonts w:ascii="Verdana" w:eastAsia="Verdana" w:hAnsi="Verdana" w:cs="Verdana"/>
          <w:b/>
          <w:color w:val="000000"/>
          <w:sz w:val="39"/>
          <w:szCs w:val="39"/>
        </w:rPr>
      </w:pPr>
      <w:r>
        <w:rPr>
          <w:rFonts w:ascii="Verdana" w:eastAsia="Verdana" w:hAnsi="Verdana" w:cs="Verdana"/>
          <w:b/>
          <w:sz w:val="39"/>
          <w:szCs w:val="39"/>
        </w:rPr>
        <w:t>Apresentação</w:t>
      </w:r>
    </w:p>
    <w:p w14:paraId="721D49FA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135"/>
        <w:rPr>
          <w:rFonts w:ascii="Verdana" w:eastAsia="Verdana" w:hAnsi="Verdana" w:cs="Verdana"/>
          <w:b/>
          <w:color w:val="808080"/>
          <w:sz w:val="27"/>
          <w:szCs w:val="27"/>
        </w:rPr>
      </w:pPr>
      <w:r>
        <w:rPr>
          <w:rFonts w:ascii="Verdana" w:eastAsia="Verdana" w:hAnsi="Verdana" w:cs="Verdana"/>
          <w:b/>
          <w:color w:val="808080"/>
          <w:sz w:val="27"/>
          <w:szCs w:val="27"/>
        </w:rPr>
        <w:t>Resumo</w:t>
      </w:r>
      <w:r>
        <w:rPr>
          <w:rFonts w:ascii="Verdana" w:eastAsia="Verdana" w:hAnsi="Verdana" w:cs="Verdana"/>
          <w:b/>
          <w:color w:val="808080"/>
          <w:sz w:val="27"/>
          <w:szCs w:val="27"/>
        </w:rPr>
        <w:t xml:space="preserve"> </w:t>
      </w:r>
      <w:r>
        <w:rPr>
          <w:rFonts w:ascii="Verdana" w:eastAsia="Verdana" w:hAnsi="Verdana" w:cs="Verdana"/>
          <w:b/>
          <w:color w:val="808080"/>
          <w:sz w:val="27"/>
          <w:szCs w:val="27"/>
        </w:rPr>
        <w:t xml:space="preserve"> </w:t>
      </w:r>
    </w:p>
    <w:p w14:paraId="721D49FB" w14:textId="048F14B8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3" w:lineRule="auto"/>
        <w:ind w:left="1818" w:right="101" w:hanging="8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Para entender a distribuição das espécies de peixes e seu uso de habitat, uma série de variáveis ​​ambientais foram avaliadas como preditores da composição e riqueza da assembleia de peixes em sistemas aquáticos tropicais semiáridos. Nós pesquisamos a comp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osição de espécies de </w:t>
      </w:r>
      <w:r w:rsidR="00D566DE">
        <w:rPr>
          <w:rFonts w:ascii="Verdana" w:eastAsia="Verdana" w:hAnsi="Verdana" w:cs="Verdana"/>
          <w:color w:val="000000"/>
          <w:sz w:val="18"/>
          <w:szCs w:val="18"/>
        </w:rPr>
        <w:t>assembleias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 de peixes em sistemas aquáticos semiáridos e estabelecemos seu grau de associação com a estrutura do habitat aquático. Os locais consistiam em trechos de riachos com fluxo de água superficial, poças temporárias isoladas e </w:t>
      </w:r>
      <w:r>
        <w:rPr>
          <w:rFonts w:ascii="Verdana" w:eastAsia="Verdana" w:hAnsi="Verdana" w:cs="Verdana"/>
          <w:color w:val="000000"/>
          <w:sz w:val="18"/>
          <w:szCs w:val="18"/>
        </w:rPr>
        <w:t>reservatórios artificiais (açudes). A amostragem de peixes foi realizada em quatro ocasiões durante as estações chuvosa (abril e junho de 2006) e seca (setembro e dezembro de 2006)</w:t>
      </w:r>
      <w:r>
        <w:rPr>
          <w:rFonts w:ascii="Verdana" w:eastAsia="Verdana" w:hAnsi="Verdana" w:cs="Verdana"/>
          <w:sz w:val="18"/>
          <w:szCs w:val="18"/>
        </w:rPr>
        <w:t>.</w:t>
      </w:r>
    </w:p>
    <w:p w14:paraId="721D49FC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819"/>
        <w:rPr>
          <w:rFonts w:ascii="Verdana" w:eastAsia="Verdana" w:hAnsi="Verdana" w:cs="Verdana"/>
          <w:color w:val="000000"/>
          <w:sz w:val="15"/>
          <w:szCs w:val="15"/>
        </w:rPr>
      </w:pPr>
      <w:r>
        <w:rPr>
          <w:rFonts w:ascii="Verdana" w:eastAsia="Verdana" w:hAnsi="Verdana" w:cs="Verdana"/>
          <w:color w:val="000000"/>
          <w:sz w:val="15"/>
          <w:szCs w:val="15"/>
        </w:rPr>
        <w:t xml:space="preserve">  </w:t>
      </w:r>
    </w:p>
    <w:p w14:paraId="721D49FD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35"/>
        <w:rPr>
          <w:rFonts w:ascii="Verdana" w:eastAsia="Verdana" w:hAnsi="Verdana" w:cs="Verdana"/>
          <w:b/>
          <w:color w:val="808080"/>
          <w:sz w:val="27"/>
          <w:szCs w:val="27"/>
        </w:rPr>
      </w:pPr>
      <w:r>
        <w:rPr>
          <w:rFonts w:ascii="Verdana" w:eastAsia="Verdana" w:hAnsi="Verdana" w:cs="Verdana"/>
          <w:b/>
          <w:color w:val="808080"/>
          <w:sz w:val="27"/>
          <w:szCs w:val="27"/>
        </w:rPr>
        <w:t>Métodos</w:t>
      </w:r>
      <w:r>
        <w:rPr>
          <w:rFonts w:ascii="Verdana" w:eastAsia="Verdana" w:hAnsi="Verdana" w:cs="Verdana"/>
          <w:b/>
          <w:color w:val="808080"/>
          <w:sz w:val="27"/>
          <w:szCs w:val="27"/>
        </w:rPr>
        <w:t xml:space="preserve">  </w:t>
      </w:r>
    </w:p>
    <w:p w14:paraId="721D49FE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1821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Este estudo foi realizado na região semiárida brasileira, em bacias hidrográficas que fluem através de uma floresta aberta arbustiva seca decidual (a “Caatinga”). A amplitude térmica é baixa na área de estudo, com médias variando de aproximadamente 25 a 30</w:t>
      </w:r>
      <w:r>
        <w:rPr>
          <w:rFonts w:ascii="Verdana" w:eastAsia="Verdana" w:hAnsi="Verdana" w:cs="Verdana"/>
          <w:color w:val="000000"/>
          <w:sz w:val="18"/>
          <w:szCs w:val="18"/>
        </w:rPr>
        <w:t>,0 ° C, e a precipitação média anual varia entre 600 e 1100 mm. As altitudes variam entre 100 e 1000 m.</w:t>
      </w:r>
    </w:p>
    <w:p w14:paraId="721D49FF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1821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Seis locais foram selecionados para representar ambientes temporários artificiais e naturais típicos (Figura 1). Os locais consistiam em trechos de riac</w:t>
      </w:r>
      <w:r>
        <w:rPr>
          <w:rFonts w:ascii="Verdana" w:eastAsia="Verdana" w:hAnsi="Verdana" w:cs="Verdana"/>
          <w:color w:val="000000"/>
          <w:sz w:val="18"/>
          <w:szCs w:val="18"/>
        </w:rPr>
        <w:t>hos com fluxo de água superficial (durante a estação chuvosa) ou poças temporárias isoladas (durante a estação seca) e reservatórios artificiais criados a partir do represamento de riachos. A amostragem foi realizada durante o ano de 2006 em quatro ocasiõe</w:t>
      </w:r>
      <w:r>
        <w:rPr>
          <w:rFonts w:ascii="Verdana" w:eastAsia="Verdana" w:hAnsi="Verdana" w:cs="Verdana"/>
          <w:color w:val="000000"/>
          <w:sz w:val="18"/>
          <w:szCs w:val="18"/>
        </w:rPr>
        <w:t>s durante as estações chuvosa (abril e junho) e seca (setembro e dezembro).</w:t>
      </w:r>
    </w:p>
    <w:p w14:paraId="721D4A00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1821"/>
        <w:rPr>
          <w:rFonts w:ascii="Verdana" w:eastAsia="Verdana" w:hAnsi="Verdana" w:cs="Verdana"/>
          <w:sz w:val="15"/>
          <w:szCs w:val="15"/>
        </w:rPr>
      </w:pPr>
    </w:p>
    <w:p w14:paraId="721D4A01" w14:textId="1475C642" w:rsidR="00A960F5" w:rsidRDefault="009F08C2">
      <w:pPr>
        <w:widowControl w:val="0"/>
        <w:spacing w:before="485" w:line="243" w:lineRule="auto"/>
        <w:rPr>
          <w:rFonts w:ascii="Verdana" w:eastAsia="Verdana" w:hAnsi="Verdana" w:cs="Verdana"/>
          <w:i/>
          <w:color w:val="333333"/>
          <w:sz w:val="15"/>
          <w:szCs w:val="15"/>
        </w:rPr>
      </w:pPr>
      <w:r>
        <w:rPr>
          <w:rFonts w:ascii="Verdana" w:eastAsia="Verdana" w:hAnsi="Verdana" w:cs="Verdana"/>
          <w:i/>
          <w:color w:val="333333"/>
          <w:sz w:val="15"/>
          <w:szCs w:val="15"/>
        </w:rPr>
        <w:t>Figura 1. Área de estudo mostrando os estados do Rio Grande do Norte (RN), Paraíba (PB), Pernambuco (PE) e Alagoas (AL), principais sistemas fluviais e pontos de amostragem na reg</w:t>
      </w:r>
      <w:r>
        <w:rPr>
          <w:rFonts w:ascii="Verdana" w:eastAsia="Verdana" w:hAnsi="Verdana" w:cs="Verdana"/>
          <w:i/>
          <w:color w:val="333333"/>
          <w:sz w:val="15"/>
          <w:szCs w:val="15"/>
        </w:rPr>
        <w:t xml:space="preserve">ião </w:t>
      </w:r>
      <w:r w:rsidR="00D566DE">
        <w:rPr>
          <w:rFonts w:ascii="Verdana" w:eastAsia="Verdana" w:hAnsi="Verdana" w:cs="Verdana"/>
          <w:i/>
          <w:color w:val="333333"/>
          <w:sz w:val="15"/>
          <w:szCs w:val="15"/>
        </w:rPr>
        <w:t>semiárida</w:t>
      </w:r>
      <w:r>
        <w:rPr>
          <w:rFonts w:ascii="Verdana" w:eastAsia="Verdana" w:hAnsi="Verdana" w:cs="Verdana"/>
          <w:i/>
          <w:color w:val="333333"/>
          <w:sz w:val="15"/>
          <w:szCs w:val="15"/>
        </w:rPr>
        <w:t xml:space="preserve"> do Brasil. RE, reservatório do Recanto; CI, riacho Cipó; SE, riacho Seridó; EP, riacho Escama-Peixe; MU, açude Mulungu e SA, açude Salobro.  </w:t>
      </w:r>
    </w:p>
    <w:p w14:paraId="721D4A02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jc w:val="right"/>
        <w:rPr>
          <w:rFonts w:ascii="Verdana" w:eastAsia="Verdana" w:hAnsi="Verdana" w:cs="Verdana"/>
          <w:sz w:val="15"/>
          <w:szCs w:val="15"/>
        </w:rPr>
      </w:pPr>
      <w:r>
        <w:rPr>
          <w:rFonts w:ascii="Verdana" w:eastAsia="Verdana" w:hAnsi="Verdana" w:cs="Verdana"/>
          <w:noProof/>
          <w:sz w:val="15"/>
          <w:szCs w:val="15"/>
        </w:rPr>
        <w:lastRenderedPageBreak/>
        <w:drawing>
          <wp:inline distT="114300" distB="114300" distL="114300" distR="114300" wp14:anchorId="721D4A42" wp14:editId="721D4A43">
            <wp:extent cx="4424969" cy="317053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4969" cy="3170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D4A03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1821"/>
        <w:rPr>
          <w:rFonts w:ascii="Verdana" w:eastAsia="Verdana" w:hAnsi="Verdana" w:cs="Verdana"/>
          <w:sz w:val="15"/>
          <w:szCs w:val="15"/>
        </w:rPr>
      </w:pPr>
    </w:p>
    <w:p w14:paraId="721D4A04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35"/>
        <w:rPr>
          <w:rFonts w:ascii="Verdana" w:eastAsia="Verdana" w:hAnsi="Verdana" w:cs="Verdana"/>
          <w:b/>
          <w:color w:val="808080"/>
          <w:sz w:val="27"/>
          <w:szCs w:val="27"/>
        </w:rPr>
      </w:pPr>
      <w:r>
        <w:rPr>
          <w:rFonts w:ascii="Verdana" w:eastAsia="Verdana" w:hAnsi="Verdana" w:cs="Verdana"/>
          <w:b/>
          <w:color w:val="808080"/>
          <w:sz w:val="27"/>
          <w:szCs w:val="27"/>
        </w:rPr>
        <w:t>Arquivos fornecidos</w:t>
      </w:r>
    </w:p>
    <w:p w14:paraId="721D4A05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D4A06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4" w:right="65" w:hanging="13"/>
        <w:rPr>
          <w:rFonts w:ascii="Verdana" w:eastAsia="Verdana" w:hAnsi="Verdana" w:cs="Verdana"/>
          <w:color w:val="000000"/>
          <w:sz w:val="15"/>
          <w:szCs w:val="15"/>
        </w:rPr>
      </w:pPr>
      <w:r>
        <w:rPr>
          <w:rFonts w:ascii="Verdana" w:eastAsia="Verdana" w:hAnsi="Verdana" w:cs="Verdana"/>
          <w:color w:val="000000"/>
          <w:sz w:val="15"/>
          <w:szCs w:val="15"/>
        </w:rPr>
        <w:t>ppbio06.xlsx - O arquivo ppbio06.xlsx traz os dados brutos que serão usados ​​nessa</w:t>
      </w:r>
    </w:p>
    <w:p w14:paraId="721D4A07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4" w:right="65" w:hanging="13"/>
        <w:rPr>
          <w:rFonts w:ascii="Verdana" w:eastAsia="Verdana" w:hAnsi="Verdana" w:cs="Verdana"/>
          <w:color w:val="000000"/>
          <w:sz w:val="15"/>
          <w:szCs w:val="15"/>
        </w:rPr>
      </w:pPr>
      <w:r>
        <w:rPr>
          <w:rFonts w:ascii="Verdana" w:eastAsia="Verdana" w:hAnsi="Verdana" w:cs="Verdana"/>
          <w:color w:val="000000"/>
          <w:sz w:val="15"/>
          <w:szCs w:val="15"/>
        </w:rPr>
        <w:t>análise. A matriz de dados brutos contendo 26 locais/ocasiões (objetos) x 35 espécies (atributos), antes de qualquer modificação. Os valores são contagens de indivíduos</w:t>
      </w:r>
      <w:r>
        <w:rPr>
          <w:rFonts w:ascii="Verdana" w:eastAsia="Verdana" w:hAnsi="Verdana" w:cs="Verdana"/>
          <w:sz w:val="15"/>
          <w:szCs w:val="15"/>
        </w:rPr>
        <w:t xml:space="preserve"> com</w:t>
      </w:r>
      <w:r>
        <w:rPr>
          <w:rFonts w:ascii="Verdana" w:eastAsia="Verdana" w:hAnsi="Verdana" w:cs="Verdana"/>
          <w:sz w:val="15"/>
          <w:szCs w:val="15"/>
        </w:rPr>
        <w:t xml:space="preserve"> uma alta amplitude de variação, </w:t>
      </w:r>
      <w:r>
        <w:rPr>
          <w:rFonts w:ascii="Verdana" w:eastAsia="Verdana" w:hAnsi="Verdana" w:cs="Verdana"/>
          <w:color w:val="000000"/>
          <w:sz w:val="15"/>
          <w:szCs w:val="15"/>
        </w:rPr>
        <w:t>portanto, o uso de uma matriz relativizada é sugerido.</w:t>
      </w:r>
    </w:p>
    <w:p w14:paraId="721D4A08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35"/>
        <w:rPr>
          <w:rFonts w:ascii="Verdana" w:eastAsia="Verdana" w:hAnsi="Verdana" w:cs="Verdana"/>
          <w:b/>
          <w:color w:val="808080"/>
          <w:sz w:val="27"/>
          <w:szCs w:val="27"/>
        </w:rPr>
      </w:pPr>
      <w:r>
        <w:rPr>
          <w:rFonts w:ascii="Verdana" w:eastAsia="Verdana" w:hAnsi="Verdana" w:cs="Verdana"/>
          <w:b/>
          <w:color w:val="808080"/>
          <w:sz w:val="27"/>
          <w:szCs w:val="27"/>
        </w:rPr>
        <w:t xml:space="preserve">Codificação para variáveis </w:t>
      </w:r>
      <w:r>
        <w:rPr>
          <w:rFonts w:ascii="Verdana" w:eastAsia="Verdana" w:hAnsi="Verdana" w:cs="Verdana"/>
          <w:b/>
          <w:color w:val="808080"/>
          <w:sz w:val="27"/>
          <w:szCs w:val="27"/>
        </w:rPr>
        <w:t xml:space="preserve"> </w:t>
      </w:r>
    </w:p>
    <w:p w14:paraId="721D4A09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right="1044"/>
        <w:jc w:val="right"/>
        <w:rPr>
          <w:rFonts w:ascii="Verdana" w:eastAsia="Verdana" w:hAnsi="Verdana" w:cs="Verdana"/>
          <w:sz w:val="15"/>
          <w:szCs w:val="15"/>
        </w:rPr>
        <w:sectPr w:rsidR="00A960F5">
          <w:pgSz w:w="11900" w:h="16840"/>
          <w:pgMar w:top="567" w:right="1302" w:bottom="893" w:left="1309" w:header="0" w:footer="720" w:gutter="0"/>
          <w:pgNumType w:start="1"/>
          <w:cols w:space="720"/>
        </w:sectPr>
      </w:pPr>
    </w:p>
    <w:p w14:paraId="721D4A0A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ap-davis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Apareiodon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hasemani</w:t>
      </w:r>
      <w:proofErr w:type="spellEnd"/>
    </w:p>
    <w:p w14:paraId="721D4A0B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as-</w:t>
      </w:r>
      <w:proofErr w:type="spellStart"/>
      <w:r>
        <w:rPr>
          <w:rFonts w:ascii="Verdana" w:eastAsia="Verdana" w:hAnsi="Verdana" w:cs="Verdana"/>
          <w:sz w:val="16"/>
          <w:szCs w:val="16"/>
        </w:rPr>
        <w:t>bimac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Astyanax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bimaculatus</w:t>
      </w:r>
      <w:proofErr w:type="spellEnd"/>
    </w:p>
    <w:p w14:paraId="721D4A0C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as-</w:t>
      </w:r>
      <w:proofErr w:type="spellStart"/>
      <w:r>
        <w:rPr>
          <w:rFonts w:ascii="Verdana" w:eastAsia="Verdana" w:hAnsi="Verdana" w:cs="Verdana"/>
          <w:sz w:val="16"/>
          <w:szCs w:val="16"/>
        </w:rPr>
        <w:t>fasci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Astyanax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fasciatus</w:t>
      </w:r>
      <w:proofErr w:type="spellEnd"/>
    </w:p>
    <w:p w14:paraId="721D4A0D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ch-bimac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Characidium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bimaculatum</w:t>
      </w:r>
      <w:proofErr w:type="spellEnd"/>
    </w:p>
    <w:p w14:paraId="721D4A0E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ci-ocela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Cichla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ocellaris</w:t>
      </w:r>
      <w:proofErr w:type="spellEnd"/>
    </w:p>
    <w:p w14:paraId="721D4A0F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ci-orien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Cichlasoma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orientale</w:t>
      </w:r>
      <w:proofErr w:type="spellEnd"/>
    </w:p>
    <w:p w14:paraId="721D4A10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co-macro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Colossoma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macropomum</w:t>
      </w:r>
      <w:proofErr w:type="spellEnd"/>
    </w:p>
    <w:p w14:paraId="721D4A11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co-hetero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Compsura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heterura</w:t>
      </w:r>
      <w:proofErr w:type="spellEnd"/>
    </w:p>
    <w:p w14:paraId="721D4A12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cr-menez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Crenicichla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menezesi</w:t>
      </w:r>
      <w:proofErr w:type="spellEnd"/>
    </w:p>
    <w:p w14:paraId="721D4A13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cu-</w:t>
      </w:r>
      <w:proofErr w:type="spellStart"/>
      <w:r>
        <w:rPr>
          <w:rFonts w:ascii="Verdana" w:eastAsia="Verdana" w:hAnsi="Verdana" w:cs="Verdana"/>
          <w:sz w:val="16"/>
          <w:szCs w:val="16"/>
        </w:rPr>
        <w:t>lepid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Curimatella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lepidura</w:t>
      </w:r>
      <w:proofErr w:type="spellEnd"/>
      <w:r>
        <w:rPr>
          <w:rFonts w:ascii="Verdana" w:eastAsia="Verdana" w:hAnsi="Verdana" w:cs="Verdana"/>
          <w:sz w:val="16"/>
          <w:szCs w:val="16"/>
        </w:rPr>
        <w:t>.</w:t>
      </w:r>
    </w:p>
    <w:p w14:paraId="721D4A14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cy-gilbe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Cyphocharax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Gilbert</w:t>
      </w:r>
    </w:p>
    <w:p w14:paraId="721D4A15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ge-brasi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Geophagus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brasiliensis</w:t>
      </w:r>
    </w:p>
    <w:p w14:paraId="721D4A16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he-margi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Hemigrammus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marginatus</w:t>
      </w:r>
      <w:proofErr w:type="spellEnd"/>
    </w:p>
    <w:p w14:paraId="721D4A17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ho-malab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Hoplias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malabaricus</w:t>
      </w:r>
      <w:proofErr w:type="spellEnd"/>
    </w:p>
    <w:p w14:paraId="721D4A18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hy-pusar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Hypostomus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pusarum</w:t>
      </w:r>
      <w:proofErr w:type="spellEnd"/>
    </w:p>
    <w:p w14:paraId="721D4A19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le-melan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Leporinus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melanopleura</w:t>
      </w:r>
      <w:proofErr w:type="spellEnd"/>
    </w:p>
    <w:p w14:paraId="721D4A1A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le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-piau: </w:t>
      </w:r>
      <w:proofErr w:type="spellStart"/>
      <w:r>
        <w:rPr>
          <w:rFonts w:ascii="Verdana" w:eastAsia="Verdana" w:hAnsi="Verdana" w:cs="Verdana"/>
          <w:sz w:val="16"/>
          <w:szCs w:val="16"/>
        </w:rPr>
        <w:t>Leporinus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piau</w:t>
      </w:r>
    </w:p>
    <w:p w14:paraId="721D4A1B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le-taeni:taeniatus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Leporinus</w:t>
      </w:r>
      <w:proofErr w:type="spellEnd"/>
    </w:p>
    <w:p w14:paraId="721D4A1C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mo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-costa: </w:t>
      </w:r>
      <w:proofErr w:type="spellStart"/>
      <w:r>
        <w:rPr>
          <w:rFonts w:ascii="Verdana" w:eastAsia="Verdana" w:hAnsi="Verdana" w:cs="Verdana"/>
          <w:sz w:val="16"/>
          <w:szCs w:val="16"/>
        </w:rPr>
        <w:t>Moenkhausia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costae</w:t>
      </w:r>
      <w:proofErr w:type="spellEnd"/>
    </w:p>
    <w:p w14:paraId="721D4A1D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mo-lepid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Moenkhausia</w:t>
      </w:r>
      <w:proofErr w:type="spellEnd"/>
    </w:p>
    <w:p w14:paraId="721D4A1E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or-nilot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Oreochromis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niloticus</w:t>
      </w:r>
      <w:proofErr w:type="spellEnd"/>
    </w:p>
    <w:p w14:paraId="721D4A1F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pa-manag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Parachromis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managuensis</w:t>
      </w:r>
      <w:proofErr w:type="spellEnd"/>
    </w:p>
    <w:p w14:paraId="721D4A20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pimel-sp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Pimelodella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enochi</w:t>
      </w:r>
      <w:proofErr w:type="spellEnd"/>
    </w:p>
    <w:p w14:paraId="721D4A21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po-retic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Poecilia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reticulata</w:t>
      </w:r>
      <w:proofErr w:type="spellEnd"/>
    </w:p>
    <w:p w14:paraId="721D4A22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po-vivip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Poecilia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vivipara</w:t>
      </w:r>
      <w:proofErr w:type="spellEnd"/>
    </w:p>
    <w:p w14:paraId="721D4A23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pr-brevi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Prochilodus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brevis</w:t>
      </w:r>
      <w:proofErr w:type="spellEnd"/>
    </w:p>
    <w:p w14:paraId="721D4A24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ps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-losango: </w:t>
      </w:r>
      <w:proofErr w:type="spellStart"/>
      <w:r>
        <w:rPr>
          <w:rFonts w:ascii="Verdana" w:eastAsia="Verdana" w:hAnsi="Verdana" w:cs="Verdana"/>
          <w:sz w:val="16"/>
          <w:szCs w:val="16"/>
        </w:rPr>
        <w:t>rhomboides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branquinha </w:t>
      </w:r>
      <w:proofErr w:type="spellStart"/>
      <w:r>
        <w:rPr>
          <w:rFonts w:ascii="Verdana" w:eastAsia="Verdana" w:hAnsi="Verdana" w:cs="Verdana"/>
          <w:sz w:val="16"/>
          <w:szCs w:val="16"/>
        </w:rPr>
        <w:t>ps-rhomb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: </w:t>
      </w:r>
      <w:proofErr w:type="spellStart"/>
      <w:r>
        <w:rPr>
          <w:rFonts w:ascii="Verdana" w:eastAsia="Verdana" w:hAnsi="Verdana" w:cs="Verdana"/>
          <w:sz w:val="16"/>
          <w:szCs w:val="16"/>
        </w:rPr>
        <w:t>Psectrogaster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rhomboides</w:t>
      </w:r>
      <w:proofErr w:type="spellEnd"/>
    </w:p>
    <w:p w14:paraId="721D4A25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ps-genise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Pseudancistrus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papariae</w:t>
      </w:r>
      <w:proofErr w:type="spellEnd"/>
    </w:p>
    <w:p w14:paraId="721D4A26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se-</w:t>
      </w:r>
      <w:proofErr w:type="spellStart"/>
      <w:r>
        <w:rPr>
          <w:rFonts w:ascii="Verdana" w:eastAsia="Verdana" w:hAnsi="Verdana" w:cs="Verdana"/>
          <w:sz w:val="16"/>
          <w:szCs w:val="16"/>
        </w:rPr>
        <w:t>heter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Serrapinnus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heterodon</w:t>
      </w:r>
      <w:proofErr w:type="spellEnd"/>
    </w:p>
    <w:p w14:paraId="721D4A27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se-piaba: </w:t>
      </w:r>
      <w:proofErr w:type="spellStart"/>
      <w:r>
        <w:rPr>
          <w:rFonts w:ascii="Verdana" w:eastAsia="Verdana" w:hAnsi="Verdana" w:cs="Verdana"/>
          <w:sz w:val="16"/>
          <w:szCs w:val="16"/>
        </w:rPr>
        <w:t>Serrapinnus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piaba</w:t>
      </w:r>
    </w:p>
    <w:p w14:paraId="721D4A28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se-</w:t>
      </w:r>
      <w:proofErr w:type="spellStart"/>
      <w:r>
        <w:rPr>
          <w:rFonts w:ascii="Verdana" w:eastAsia="Verdana" w:hAnsi="Verdana" w:cs="Verdana"/>
          <w:sz w:val="16"/>
          <w:szCs w:val="16"/>
        </w:rPr>
        <w:t>spilo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Serrasalmus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rhombeus</w:t>
      </w:r>
      <w:proofErr w:type="spellEnd"/>
    </w:p>
    <w:p w14:paraId="721D4A29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st-noton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Steindachnerina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noto</w:t>
      </w:r>
      <w:r>
        <w:rPr>
          <w:rFonts w:ascii="Verdana" w:eastAsia="Verdana" w:hAnsi="Verdana" w:cs="Verdana"/>
          <w:sz w:val="16"/>
          <w:szCs w:val="16"/>
        </w:rPr>
        <w:t>nota</w:t>
      </w:r>
      <w:proofErr w:type="spellEnd"/>
    </w:p>
    <w:p w14:paraId="721D4A2A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sy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-marmo: </w:t>
      </w:r>
      <w:proofErr w:type="spellStart"/>
      <w:r>
        <w:rPr>
          <w:rFonts w:ascii="Verdana" w:eastAsia="Verdana" w:hAnsi="Verdana" w:cs="Verdana"/>
          <w:sz w:val="16"/>
          <w:szCs w:val="16"/>
        </w:rPr>
        <w:t>Synbranchus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marmoratus</w:t>
      </w:r>
      <w:proofErr w:type="spellEnd"/>
    </w:p>
    <w:p w14:paraId="721D4A2B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te-</w:t>
      </w:r>
      <w:proofErr w:type="spellStart"/>
      <w:r>
        <w:rPr>
          <w:rFonts w:ascii="Verdana" w:eastAsia="Verdana" w:hAnsi="Verdana" w:cs="Verdana"/>
          <w:sz w:val="16"/>
          <w:szCs w:val="16"/>
        </w:rPr>
        <w:t>chalc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: </w:t>
      </w:r>
      <w:proofErr w:type="spellStart"/>
      <w:r>
        <w:rPr>
          <w:rFonts w:ascii="Verdana" w:eastAsia="Verdana" w:hAnsi="Verdana" w:cs="Verdana"/>
          <w:sz w:val="16"/>
          <w:szCs w:val="16"/>
        </w:rPr>
        <w:t>Tetragonopterus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chalceus</w:t>
      </w:r>
      <w:proofErr w:type="spellEnd"/>
    </w:p>
    <w:p w14:paraId="721D4A2C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</w:pPr>
      <w:proofErr w:type="spellStart"/>
      <w:r>
        <w:rPr>
          <w:rFonts w:ascii="Verdana" w:eastAsia="Verdana" w:hAnsi="Verdana" w:cs="Verdana"/>
          <w:sz w:val="16"/>
          <w:szCs w:val="16"/>
        </w:rPr>
        <w:t>tr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-signa: </w:t>
      </w:r>
      <w:proofErr w:type="spellStart"/>
      <w:r>
        <w:rPr>
          <w:rFonts w:ascii="Verdana" w:eastAsia="Verdana" w:hAnsi="Verdana" w:cs="Verdana"/>
          <w:sz w:val="16"/>
          <w:szCs w:val="16"/>
        </w:rPr>
        <w:t>Triportheus</w:t>
      </w:r>
      <w:proofErr w:type="spellEnd"/>
      <w:r>
        <w:rPr>
          <w:rFonts w:ascii="Verdana" w:eastAsia="Verdana" w:hAnsi="Verdana" w:cs="Verdana"/>
          <w:sz w:val="16"/>
          <w:szCs w:val="16"/>
        </w:rPr>
        <w:t xml:space="preserve"> </w:t>
      </w:r>
      <w:proofErr w:type="spellStart"/>
      <w:r>
        <w:rPr>
          <w:rFonts w:ascii="Verdana" w:eastAsia="Verdana" w:hAnsi="Verdana" w:cs="Verdana"/>
          <w:sz w:val="16"/>
          <w:szCs w:val="16"/>
        </w:rPr>
        <w:t>signatus</w:t>
      </w:r>
      <w:proofErr w:type="spellEnd"/>
    </w:p>
    <w:p w14:paraId="721D4A2D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4"/>
        <w:rPr>
          <w:rFonts w:ascii="Verdana" w:eastAsia="Verdana" w:hAnsi="Verdana" w:cs="Verdana"/>
          <w:sz w:val="16"/>
          <w:szCs w:val="16"/>
        </w:rPr>
        <w:sectPr w:rsidR="00A960F5">
          <w:type w:val="continuous"/>
          <w:pgSz w:w="11900" w:h="16840"/>
          <w:pgMar w:top="567" w:right="1302" w:bottom="893" w:left="1309" w:header="0" w:footer="720" w:gutter="0"/>
          <w:cols w:num="2" w:space="720" w:equalWidth="0">
            <w:col w:w="4286" w:space="720"/>
            <w:col w:w="4286" w:space="0"/>
          </w:cols>
        </w:sectPr>
      </w:pPr>
    </w:p>
    <w:p w14:paraId="721D4A2E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3" w:lineRule="auto"/>
        <w:ind w:left="1816" w:right="349" w:hanging="3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 xml:space="preserve">Nos códigos dos sítios está o desenho amostral. Duas áreas, ao norte o </w:t>
      </w:r>
      <w:r>
        <w:rPr>
          <w:rFonts w:ascii="Verdana" w:eastAsia="Verdana" w:hAnsi="Verdana" w:cs="Verdana"/>
          <w:sz w:val="16"/>
          <w:szCs w:val="16"/>
        </w:rPr>
        <w:t>Seridó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 (S) e ao sul Buíque (B). Em cada </w:t>
      </w:r>
      <w:r>
        <w:rPr>
          <w:rFonts w:ascii="Verdana" w:eastAsia="Verdana" w:hAnsi="Verdana" w:cs="Verdana"/>
          <w:sz w:val="16"/>
          <w:szCs w:val="16"/>
        </w:rPr>
        <w:t>área existem dois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 tipos de ambiente, açude (A) e rio (R). Ao </w:t>
      </w:r>
      <w:r>
        <w:rPr>
          <w:rFonts w:ascii="Verdana" w:eastAsia="Verdana" w:hAnsi="Verdana" w:cs="Verdana"/>
          <w:sz w:val="16"/>
          <w:szCs w:val="16"/>
        </w:rPr>
        <w:t>norte estão três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 </w:t>
      </w:r>
      <w:r>
        <w:rPr>
          <w:rFonts w:ascii="Verdana" w:eastAsia="Verdana" w:hAnsi="Verdana" w:cs="Verdana"/>
          <w:sz w:val="16"/>
          <w:szCs w:val="16"/>
        </w:rPr>
        <w:t>sítios,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 TA, CP e CT, e ao sul três </w:t>
      </w:r>
      <w:r>
        <w:rPr>
          <w:rFonts w:ascii="Verdana" w:eastAsia="Verdana" w:hAnsi="Verdana" w:cs="Verdana"/>
          <w:sz w:val="16"/>
          <w:szCs w:val="16"/>
        </w:rPr>
        <w:t>sítios,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 PC, MU e GU. Em cada </w:t>
      </w:r>
      <w:r>
        <w:rPr>
          <w:rFonts w:ascii="Verdana" w:eastAsia="Verdana" w:hAnsi="Verdana" w:cs="Verdana"/>
          <w:sz w:val="16"/>
          <w:szCs w:val="16"/>
        </w:rPr>
        <w:t>sítios há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 quatro por ano, trimestre 1, 2, 3 e 4. </w:t>
      </w:r>
    </w:p>
    <w:p w14:paraId="721D4A2F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Resumo:</w:t>
      </w:r>
    </w:p>
    <w:p w14:paraId="721D4A30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sz w:val="16"/>
          <w:szCs w:val="16"/>
        </w:rPr>
        <w:sectPr w:rsidR="00A960F5">
          <w:type w:val="continuous"/>
          <w:pgSz w:w="11900" w:h="16840"/>
          <w:pgMar w:top="567" w:right="1302" w:bottom="893" w:left="1309" w:header="0" w:footer="720" w:gutter="0"/>
          <w:cols w:space="720"/>
        </w:sectPr>
      </w:pPr>
    </w:p>
    <w:p w14:paraId="721D4A31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 xml:space="preserve">S: </w:t>
      </w:r>
      <w:r>
        <w:rPr>
          <w:rFonts w:ascii="Verdana" w:eastAsia="Verdana" w:hAnsi="Verdana" w:cs="Verdana"/>
          <w:sz w:val="16"/>
          <w:szCs w:val="16"/>
        </w:rPr>
        <w:t>Seridó</w:t>
      </w:r>
    </w:p>
    <w:p w14:paraId="721D4A32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 xml:space="preserve">B: </w:t>
      </w:r>
      <w:r>
        <w:rPr>
          <w:rFonts w:ascii="Verdana" w:eastAsia="Verdana" w:hAnsi="Verdana" w:cs="Verdana"/>
          <w:sz w:val="16"/>
          <w:szCs w:val="16"/>
        </w:rPr>
        <w:t>Buíque</w:t>
      </w:r>
    </w:p>
    <w:p w14:paraId="721D4A33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A: Açude</w:t>
      </w:r>
    </w:p>
    <w:p w14:paraId="721D4A34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R: Rio</w:t>
      </w:r>
    </w:p>
    <w:p w14:paraId="721D4A35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sz w:val="16"/>
          <w:szCs w:val="16"/>
        </w:rPr>
      </w:pPr>
    </w:p>
    <w:p w14:paraId="721D4A36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sz w:val="16"/>
          <w:szCs w:val="16"/>
        </w:rPr>
      </w:pPr>
    </w:p>
    <w:p w14:paraId="721D4A37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TA: Rio Taperoá</w:t>
      </w:r>
    </w:p>
    <w:p w14:paraId="721D4A38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CP: Riacho Cipó</w:t>
      </w:r>
    </w:p>
    <w:p w14:paraId="721D4A39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 xml:space="preserve">CT: Riacho </w:t>
      </w:r>
      <w:proofErr w:type="spellStart"/>
      <w:r>
        <w:rPr>
          <w:rFonts w:ascii="Verdana" w:eastAsia="Verdana" w:hAnsi="Verdana" w:cs="Verdana"/>
          <w:color w:val="000000"/>
          <w:sz w:val="16"/>
          <w:szCs w:val="16"/>
        </w:rPr>
        <w:t>Catureré</w:t>
      </w:r>
      <w:proofErr w:type="spellEnd"/>
    </w:p>
    <w:p w14:paraId="721D4A3A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PC: Riacho Poço da Cruz</w:t>
      </w:r>
    </w:p>
    <w:p w14:paraId="721D4A3B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color w:val="000000"/>
          <w:sz w:val="16"/>
          <w:szCs w:val="16"/>
        </w:rPr>
      </w:pPr>
      <w:r>
        <w:rPr>
          <w:rFonts w:ascii="Verdana" w:eastAsia="Verdana" w:hAnsi="Verdana" w:cs="Verdana"/>
          <w:color w:val="000000"/>
          <w:sz w:val="16"/>
          <w:szCs w:val="16"/>
        </w:rPr>
        <w:t>MU: Açude Mulungu</w:t>
      </w:r>
    </w:p>
    <w:p w14:paraId="721D4A3C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6" w:right="349" w:hanging="3"/>
        <w:rPr>
          <w:rFonts w:ascii="Verdana" w:eastAsia="Verdana" w:hAnsi="Verdana" w:cs="Verdana"/>
          <w:color w:val="000000"/>
          <w:sz w:val="16"/>
          <w:szCs w:val="16"/>
        </w:rPr>
        <w:sectPr w:rsidR="00A960F5">
          <w:type w:val="continuous"/>
          <w:pgSz w:w="11900" w:h="16840"/>
          <w:pgMar w:top="567" w:right="1302" w:bottom="893" w:left="1309" w:header="0" w:footer="720" w:gutter="0"/>
          <w:cols w:num="2" w:space="720" w:equalWidth="0">
            <w:col w:w="4286" w:space="720"/>
            <w:col w:w="4286" w:space="0"/>
          </w:cols>
        </w:sectPr>
      </w:pPr>
      <w:r>
        <w:rPr>
          <w:rFonts w:ascii="Verdana" w:eastAsia="Verdana" w:hAnsi="Verdana" w:cs="Verdana"/>
          <w:color w:val="000000"/>
          <w:sz w:val="16"/>
          <w:szCs w:val="16"/>
        </w:rPr>
        <w:t xml:space="preserve">GU: Açude </w:t>
      </w:r>
      <w:proofErr w:type="spellStart"/>
      <w:r>
        <w:rPr>
          <w:rFonts w:ascii="Verdana" w:eastAsia="Verdana" w:hAnsi="Verdana" w:cs="Verdana"/>
          <w:color w:val="000000"/>
          <w:sz w:val="16"/>
          <w:szCs w:val="16"/>
        </w:rPr>
        <w:t>Gurjão</w:t>
      </w:r>
      <w:proofErr w:type="spellEnd"/>
    </w:p>
    <w:p w14:paraId="721D4A3D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1D4A3E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1D4A3F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"/>
        <w:rPr>
          <w:rFonts w:ascii="Verdana" w:eastAsia="Verdana" w:hAnsi="Verdana" w:cs="Verdana"/>
          <w:b/>
          <w:color w:val="000000"/>
          <w:sz w:val="39"/>
          <w:szCs w:val="39"/>
        </w:rPr>
      </w:pPr>
      <w:r>
        <w:rPr>
          <w:rFonts w:ascii="Verdana" w:eastAsia="Verdana" w:hAnsi="Verdana" w:cs="Verdana"/>
          <w:b/>
          <w:sz w:val="39"/>
          <w:szCs w:val="39"/>
        </w:rPr>
        <w:t>Análises de exemplos</w:t>
      </w:r>
      <w:r>
        <w:rPr>
          <w:rFonts w:ascii="Verdana" w:eastAsia="Verdana" w:hAnsi="Verdana" w:cs="Verdana"/>
          <w:b/>
          <w:color w:val="000000"/>
          <w:sz w:val="39"/>
          <w:szCs w:val="39"/>
        </w:rPr>
        <w:t xml:space="preserve">  </w:t>
      </w:r>
    </w:p>
    <w:p w14:paraId="721D4A40" w14:textId="77777777" w:rsidR="00A960F5" w:rsidRDefault="009F08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18"/>
        <w:rPr>
          <w:rFonts w:ascii="Verdana" w:eastAsia="Verdana" w:hAnsi="Verdana" w:cs="Verdana"/>
          <w:b/>
          <w:color w:val="808080"/>
          <w:sz w:val="27"/>
          <w:szCs w:val="27"/>
        </w:rPr>
      </w:pPr>
      <w:r>
        <w:rPr>
          <w:rFonts w:ascii="Verdana" w:eastAsia="Verdana" w:hAnsi="Verdana" w:cs="Verdana"/>
          <w:b/>
          <w:color w:val="808080"/>
          <w:sz w:val="27"/>
          <w:szCs w:val="27"/>
        </w:rPr>
        <w:t xml:space="preserve">Análise de outliers baseado nos desvios padrões  </w:t>
      </w:r>
    </w:p>
    <w:p w14:paraId="721D4A41" w14:textId="77777777" w:rsidR="00A960F5" w:rsidRDefault="00A96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sectPr w:rsidR="00A960F5">
      <w:type w:val="continuous"/>
      <w:pgSz w:w="11900" w:h="16840"/>
      <w:pgMar w:top="567" w:right="1302" w:bottom="893" w:left="1309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0F5"/>
    <w:rsid w:val="00A960F5"/>
    <w:rsid w:val="00D5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D49EE"/>
  <w15:docId w15:val="{AB3641D1-B5CC-4006-9D59-F19BEF8EE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641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Elvio Medeiros</cp:lastModifiedBy>
  <cp:revision>2</cp:revision>
  <dcterms:created xsi:type="dcterms:W3CDTF">2022-11-01T14:16:00Z</dcterms:created>
  <dcterms:modified xsi:type="dcterms:W3CDTF">2022-11-01T14:23:00Z</dcterms:modified>
</cp:coreProperties>
</file>