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96.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8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2026-05-27</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7" w:name="references"/>
    <w:p>
      <w:pPr>
        <w:pStyle w:val="Ttulo1"/>
      </w:pPr>
      <w:r>
        <w:t xml:space="preserve">References</w:t>
      </w:r>
    </w:p>
    <w:bookmarkStart w:id="86"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57">
        <w:r>
          <w:rPr>
            <w:rStyle w:val="Hyperlink"/>
          </w:rPr>
          <w:t xml:space="preserve">https://doi.org/10.1590/S1519-69842010000200004</w:t>
        </w:r>
      </w:hyperlink>
    </w:p>
    <w:bookmarkEnd w:id="58"/>
    <w:bookmarkStart w:id="60"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2"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2"/>
    <w:bookmarkStart w:id="6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3">
        <w:r>
          <w:rPr>
            <w:rStyle w:val="Hyperlink"/>
          </w:rPr>
          <w:t xml:space="preserve">https://doi.org/10.1007/s10750-006-0252-7</w:t>
        </w:r>
      </w:hyperlink>
    </w:p>
    <w:bookmarkEnd w:id="64"/>
    <w:bookmarkStart w:id="6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5">
        <w:r>
          <w:rPr>
            <w:rStyle w:val="Hyperlink"/>
          </w:rPr>
          <w:t xml:space="preserve">https://doi.org/10.1038/35002501</w:t>
        </w:r>
      </w:hyperlink>
    </w:p>
    <w:bookmarkEnd w:id="66"/>
    <w:bookmarkStart w:id="67"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7"/>
    <w:bookmarkStart w:id="69"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8">
        <w:r>
          <w:rPr>
            <w:rStyle w:val="Hyperlink"/>
          </w:rPr>
          <w:t xml:space="preserve">https://doi.org/10.1590/S1413-70542006000500027</w:t>
        </w:r>
      </w:hyperlink>
    </w:p>
    <w:bookmarkEnd w:id="69"/>
    <w:bookmarkStart w:id="70"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70"/>
    <w:bookmarkStart w:id="72"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71">
        <w:r>
          <w:rPr>
            <w:rStyle w:val="Hyperlink"/>
          </w:rPr>
          <w:t xml:space="preserve">https://www.R-project.org/</w:t>
        </w:r>
      </w:hyperlink>
    </w:p>
    <w:bookmarkEnd w:id="72"/>
    <w:bookmarkStart w:id="73" w:name="ref-rstudioteam"/>
    <w:p>
      <w:pPr>
        <w:pStyle w:val="Bibliografia"/>
      </w:pPr>
      <w:r>
        <w:t xml:space="preserve">RStudio Team. (n.d.).</w:t>
      </w:r>
      <w:r>
        <w:t xml:space="preserve"> </w:t>
      </w:r>
      <w:r>
        <w:rPr>
          <w:i/>
          <w:iCs/>
        </w:rPr>
        <w:t xml:space="preserve">RStudio: Integrated Development Environment for R</w:t>
      </w:r>
      <w:r>
        <w:t xml:space="preserve">.</w:t>
      </w:r>
    </w:p>
    <w:bookmarkEnd w:id="73"/>
    <w:bookmarkStart w:id="7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4"/>
    <w:bookmarkStart w:id="76"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5">
        <w:r>
          <w:rPr>
            <w:rStyle w:val="Hyperlink"/>
          </w:rPr>
          <w:t xml:space="preserve">https://doi.org/10.1016/j.cbpc.2017.08.008</w:t>
        </w:r>
      </w:hyperlink>
    </w:p>
    <w:bookmarkEnd w:id="76"/>
    <w:bookmarkStart w:id="78"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7">
        <w:r>
          <w:rPr>
            <w:rStyle w:val="Hyperlink"/>
          </w:rPr>
          <w:t xml:space="preserve">https://doi.org/10.5016/DT000610176</w:t>
        </w:r>
      </w:hyperlink>
    </w:p>
    <w:bookmarkEnd w:id="78"/>
    <w:bookmarkStart w:id="8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9">
        <w:r>
          <w:rPr>
            <w:rStyle w:val="Hyperlink"/>
          </w:rPr>
          <w:t xml:space="preserve">https://doi.org/10.1016/S0027-5107(97)00265-0</w:t>
        </w:r>
      </w:hyperlink>
    </w:p>
    <w:bookmarkEnd w:id="80"/>
    <w:bookmarkStart w:id="8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81">
        <w:r>
          <w:rPr>
            <w:rStyle w:val="Hyperlink"/>
          </w:rPr>
          <w:t xml:space="preserve">https://doi.org/10.1016/j.mrfmmm.2004.06.006</w:t>
        </w:r>
      </w:hyperlink>
    </w:p>
    <w:bookmarkEnd w:id="82"/>
    <w:bookmarkStart w:id="8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3"/>
    <w:bookmarkStart w:id="8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4"/>
    <w:bookmarkStart w:id="85"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5"/>
    <w:bookmarkEnd w:id="86"/>
    <w:bookmarkEnd w:id="87"/>
    <w:bookmarkStart w:id="133" w:name="figures-and-tables"/>
    <w:p>
      <w:pPr>
        <w:pStyle w:val="Ttulo1"/>
      </w:pPr>
      <w:r>
        <w:t xml:space="preserve">Figures and Tables</w:t>
      </w:r>
    </w:p>
    <w:bookmarkStart w:id="13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1" w:name="fig-mapa"/>
          <w:p>
            <w:pPr>
              <w:pStyle w:val="Compact"/>
              <w:jc w:val="center"/>
            </w:pPr>
            <w:r>
              <w:drawing>
                <wp:inline>
                  <wp:extent cx="5600700" cy="3959578"/>
                  <wp:effectExtent b="0" l="0" r="0" t="0"/>
                  <wp:docPr descr="" title="" id="89" name="Picture"/>
                  <a:graphic>
                    <a:graphicData uri="http://schemas.openxmlformats.org/drawingml/2006/picture">
                      <pic:pic>
                        <pic:nvPicPr>
                          <pic:cNvPr descr="imagens/mapa.png" id="90" name="Picture"/>
                          <pic:cNvPicPr>
                            <a:picLocks noChangeArrowheads="1" noChangeAspect="1"/>
                          </pic:cNvPicPr>
                        </pic:nvPicPr>
                        <pic:blipFill>
                          <a:blip r:embed="rId88"/>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9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fig-refsites"/>
          <w:p>
            <w:pPr>
              <w:pStyle w:val="Compact"/>
              <w:jc w:val="center"/>
            </w:pPr>
            <w:r>
              <w:drawing>
                <wp:inline>
                  <wp:extent cx="5600700" cy="4657626"/>
                  <wp:effectExtent b="0" l="0" r="0" t="0"/>
                  <wp:docPr descr="" title="" id="93" name="Picture"/>
                  <a:graphic>
                    <a:graphicData uri="http://schemas.openxmlformats.org/drawingml/2006/picture">
                      <pic:pic>
                        <pic:nvPicPr>
                          <pic:cNvPr descr="imagens/refsites.png" id="94" name="Picture"/>
                          <pic:cNvPicPr>
                            <a:picLocks noChangeArrowheads="1" noChangeAspect="1"/>
                          </pic:cNvPicPr>
                        </pic:nvPicPr>
                        <pic:blipFill>
                          <a:blip r:embed="rId92"/>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hab_PCA_fviz"/>
          <w:p>
            <w:pPr>
              <w:pStyle w:val="Compact"/>
              <w:jc w:val="center"/>
            </w:pPr>
            <w:r>
              <w:drawing>
                <wp:inline>
                  <wp:extent cx="5600700" cy="4582390"/>
                  <wp:effectExtent b="0" l="0" r="0" t="0"/>
                  <wp:docPr descr="" title="" id="97" name="Picture"/>
                  <a:graphic>
                    <a:graphicData uri="http://schemas.openxmlformats.org/drawingml/2006/picture">
                      <pic:pic>
                        <pic:nvPicPr>
                          <pic:cNvPr descr="fig-hab_PCA_fviz.png" id="98" name="Picture"/>
                          <pic:cNvPicPr>
                            <a:picLocks noChangeArrowheads="1" noChangeAspect="1"/>
                          </pic:cNvPicPr>
                        </pic:nvPicPr>
                        <pic:blipFill>
                          <a:blip r:embed="rId96"/>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 using the fviz function.</w:t>
            </w:r>
          </w:p>
          <w:bookmarkEnd w:id="99"/>
        </w:tc>
      </w:tr>
    </w:tbl>
    <w:p>
      <w:pPr>
        <w:pStyle w:val="CaptionedFigure"/>
      </w:pPr>
      <w:r>
        <w:drawing>
          <wp:inline>
            <wp:extent cx="5600700" cy="4582390"/>
            <wp:effectExtent b="0" l="0" r="0" t="0"/>
            <wp:docPr descr="Principal Component Analysis of the environmental variables using the fviz function" title="" id="100" name="Picture"/>
            <a:graphic>
              <a:graphicData uri="http://schemas.openxmlformats.org/drawingml/2006/picture">
                <pic:pic>
                  <pic:nvPicPr>
                    <pic:cNvPr descr="fig-hab_PCA_fviz.png" id="101" name="Picture"/>
                    <pic:cNvPicPr>
                      <a:picLocks noChangeArrowheads="1" noChangeAspect="1"/>
                    </pic:cNvPicPr>
                  </pic:nvPicPr>
                  <pic:blipFill>
                    <a:blip r:embed="rId96"/>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5" w:name="fig-boxtpinandout"/>
          <w:p>
            <w:pPr>
              <w:pStyle w:val="Compact"/>
              <w:jc w:val="center"/>
            </w:pPr>
            <w:r>
              <w:drawing>
                <wp:inline>
                  <wp:extent cx="5600700" cy="3843033"/>
                  <wp:effectExtent b="0" l="0" r="0" t="0"/>
                  <wp:docPr descr="" title="" id="103" name="Picture"/>
                  <a:graphic>
                    <a:graphicData uri="http://schemas.openxmlformats.org/drawingml/2006/picture">
                      <pic:pic>
                        <pic:nvPicPr>
                          <pic:cNvPr descr="imagens/Figura%203.png" id="104" name="Picture"/>
                          <pic:cNvPicPr>
                            <a:picLocks noChangeArrowheads="1" noChangeAspect="1"/>
                          </pic:cNvPicPr>
                        </pic:nvPicPr>
                        <pic:blipFill>
                          <a:blip r:embed="rId10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Total protein (mg) variance of data inside and outside ReBio Guaribas.</w:t>
            </w:r>
          </w:p>
          <w:bookmarkEnd w:id="10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fig-boxtpsites"/>
          <w:p>
            <w:pPr>
              <w:pStyle w:val="Compact"/>
              <w:jc w:val="center"/>
            </w:pPr>
            <w:r>
              <w:drawing>
                <wp:inline>
                  <wp:extent cx="5600700" cy="3843033"/>
                  <wp:effectExtent b="0" l="0" r="0" t="0"/>
                  <wp:docPr descr="" title="" id="107" name="Picture"/>
                  <a:graphic>
                    <a:graphicData uri="http://schemas.openxmlformats.org/drawingml/2006/picture">
                      <pic:pic>
                        <pic:nvPicPr>
                          <pic:cNvPr descr="imagens/Figura%204.png" id="108" name="Picture"/>
                          <pic:cNvPicPr>
                            <a:picLocks noChangeArrowheads="1" noChangeAspect="1"/>
                          </pic:cNvPicPr>
                        </pic:nvPicPr>
                        <pic:blipFill>
                          <a:blip r:embed="rId10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mcsites"/>
          <w:p>
            <w:pPr>
              <w:pStyle w:val="Compact"/>
              <w:jc w:val="center"/>
            </w:pPr>
            <w:r>
              <w:drawing>
                <wp:inline>
                  <wp:extent cx="5600700" cy="3843033"/>
                  <wp:effectExtent b="0" l="0" r="0" t="0"/>
                  <wp:docPr descr="" title="" id="111" name="Picture"/>
                  <a:graphic>
                    <a:graphicData uri="http://schemas.openxmlformats.org/drawingml/2006/picture">
                      <pic:pic>
                        <pic:nvPicPr>
                          <pic:cNvPr descr="imagens/Figura%205.png" id="112" name="Picture"/>
                          <pic:cNvPicPr>
                            <a:picLocks noChangeArrowheads="1" noChangeAspect="1"/>
                          </pic:cNvPicPr>
                        </pic:nvPicPr>
                        <pic:blipFill>
                          <a:blip r:embed="rId11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Moisture content (%) of tissues from sampling sites inside and outside the ReBio Guaribas, with the respective p-value between each locality.</w:t>
            </w:r>
          </w:p>
          <w:bookmarkEnd w:id="11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7" w:name="fig-boxmmcsites"/>
          <w:p>
            <w:pPr>
              <w:pStyle w:val="Compact"/>
              <w:jc w:val="center"/>
            </w:pPr>
            <w:r>
              <w:drawing>
                <wp:inline>
                  <wp:extent cx="5600700" cy="3843033"/>
                  <wp:effectExtent b="0" l="0" r="0" t="0"/>
                  <wp:docPr descr="" title="" id="115" name="Picture"/>
                  <a:graphic>
                    <a:graphicData uri="http://schemas.openxmlformats.org/drawingml/2006/picture">
                      <pic:pic>
                        <pic:nvPicPr>
                          <pic:cNvPr descr="imagens/Figura%206.png" id="116" name="Picture"/>
                          <pic:cNvPicPr>
                            <a:picLocks noChangeArrowheads="1" noChangeAspect="1"/>
                          </pic:cNvPicPr>
                        </pic:nvPicPr>
                        <pic:blipFill>
                          <a:blip r:embed="rId11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fig-fluorescence"/>
          <w:p>
            <w:pPr>
              <w:pStyle w:val="Compact"/>
              <w:jc w:val="center"/>
            </w:pPr>
            <w:r>
              <w:drawing>
                <wp:inline>
                  <wp:extent cx="5600700" cy="3843033"/>
                  <wp:effectExtent b="0" l="0" r="0" t="0"/>
                  <wp:docPr descr="" title="" id="119" name="Picture"/>
                  <a:graphic>
                    <a:graphicData uri="http://schemas.openxmlformats.org/drawingml/2006/picture">
                      <pic:pic>
                        <pic:nvPicPr>
                          <pic:cNvPr descr="imagens/Figura%207.png" id="120" name="Picture"/>
                          <pic:cNvPicPr>
                            <a:picLocks noChangeArrowheads="1" noChangeAspect="1"/>
                          </pic:cNvPicPr>
                        </pic:nvPicPr>
                        <pic:blipFill>
                          <a:blip r:embed="rId11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fluorescence data from sampling sites inside and outside the ReBio Guaribas, expressed by relative fluorescence units/milligrammes of tissue (gill).</w:t>
            </w:r>
          </w:p>
          <w:bookmarkEnd w:id="12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fig-boxmxr"/>
          <w:p>
            <w:pPr>
              <w:pStyle w:val="Compact"/>
              <w:jc w:val="center"/>
            </w:pPr>
            <w:r>
              <w:drawing>
                <wp:inline>
                  <wp:extent cx="5600700" cy="3843033"/>
                  <wp:effectExtent b="0" l="0" r="0" t="0"/>
                  <wp:docPr descr="" title="" id="123" name="Picture"/>
                  <a:graphic>
                    <a:graphicData uri="http://schemas.openxmlformats.org/drawingml/2006/picture">
                      <pic:pic>
                        <pic:nvPicPr>
                          <pic:cNvPr descr="imagens/Figura%208.png" id="124" name="Picture"/>
                          <pic:cNvPicPr>
                            <a:picLocks noChangeArrowheads="1" noChangeAspect="1"/>
                          </pic:cNvPicPr>
                        </pic:nvPicPr>
                        <pic:blipFill>
                          <a:blip r:embed="rId12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fig-bar"/>
          <w:p>
            <w:pPr>
              <w:pStyle w:val="Compact"/>
              <w:jc w:val="center"/>
            </w:pPr>
            <w:r>
              <w:drawing>
                <wp:inline>
                  <wp:extent cx="5600700" cy="3843033"/>
                  <wp:effectExtent b="0" l="0" r="0" t="0"/>
                  <wp:docPr descr="" title="" id="127" name="Picture"/>
                  <a:graphic>
                    <a:graphicData uri="http://schemas.openxmlformats.org/drawingml/2006/picture">
                      <pic:pic>
                        <pic:nvPicPr>
                          <pic:cNvPr descr="imagens/Figure%209.png" id="128" name="Picture"/>
                          <pic:cNvPicPr>
                            <a:picLocks noChangeArrowheads="1" noChangeAspect="1"/>
                          </pic:cNvPicPr>
                        </pic:nvPicPr>
                        <pic:blipFill>
                          <a:blip r:embed="rId12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9"/>
        </w:tc>
      </w:tr>
    </w:tbl>
    <w:bookmarkEnd w:id="130"/>
    <w:bookmarkStart w:id="132"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1" w:name="tbl-abund"/>
          <w:p>
            <w:pPr>
              <w:jc w:val="center"/>
            </w:pPr>
            <w:pPr>
              <w:jc w:val="star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31"/>
        </w:tc>
      </w:tr>
    </w:tbl>
    <w:bookmarkEnd w:id="132"/>
    <w:bookmarkEnd w:id="133"/>
    <w:bookmarkStart w:id="134" w:name="apendices"/>
    <w:p>
      <w:pPr>
        <w:pStyle w:val="Ttulo1"/>
      </w:pPr>
      <w:r>
        <w:t xml:space="preserve">Apendices</w:t>
      </w:r>
    </w:p>
    <w:bookmarkEnd w:id="134"/>
    <w:bookmarkStart w:id="138"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RStudio\RESOUR~1\app\bin\quarto\share\formats\docx\warning.png" id="137" name="Picture"/>
                          <pic:cNvPicPr>
                            <a:picLocks noChangeArrowheads="1" noChangeAspect="1"/>
                          </pic:cNvPicPr>
                        </pic:nvPicPr>
                        <pic:blipFill>
                          <a:blip r:embed="rId1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38"/>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57" Target="https://doi.org/10.1590/S1519-69842010000200004" TargetMode="External" /><Relationship Type="http://schemas.openxmlformats.org/officeDocument/2006/relationships/hyperlink" Id="rId77"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57" Target="https://doi.org/10.1590/S1519-69842010000200004" TargetMode="External" /><Relationship Type="http://schemas.openxmlformats.org/officeDocument/2006/relationships/hyperlink" Id="rId77"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2026-05-27T17:47:05Z</dcterms:created>
  <dcterms:modified xsi:type="dcterms:W3CDTF">2026-05-27T17:47:05Z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2026-05-27</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