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9.png" ContentType="image/png"/>
  <Override PartName="/word/media/rId91.png" ContentType="image/png"/>
  <Override PartName="/word/media/rId97.png" ContentType="image/png"/>
  <Override PartName="/word/media/rId101.png" ContentType="image/png"/>
  <Override PartName="/word/media/rId105.png" ContentType="image/png"/>
  <Override PartName="/word/media/rId109.png" ContentType="image/png"/>
  <Override PartName="/word/media/rId113.png" ContentType="image/png"/>
  <Override PartName="/word/media/rId117.png" ContentType="image/png"/>
  <Override PartName="/word/media/rId121.png" ContentType="image/png"/>
  <Override PartName="/word/media/rId83.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a"/>
      </w:pPr>
      <w:r>
        <w:t xml:space="preserve">2026-05-25</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 Pollution decreases abundance and richness of local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2025)</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1" w:name="material-and-methods"/>
    <w:p>
      <w:pPr>
        <w:pStyle w:val="Ttulo1"/>
      </w:pPr>
      <w:r>
        <w:t xml:space="preserve">2. Material and Methods</w:t>
      </w:r>
    </w:p>
    <w:p>
      <w:pPr>
        <w:pStyle w:val="FirstParagraph"/>
      </w:pPr>
      <w:r>
        <w:rPr>
          <w:b/>
          <w:bCs/>
        </w:rPr>
        <w:t xml:space="preserve">Study area and sampling design.</w:t>
      </w:r>
      <w:r>
        <w:t xml:space="preserve"> </w:t>
      </w:r>
      <w:r>
        <w:t xml:space="preserve">The present study was performed…</w:t>
      </w:r>
      <w:r>
        <w:t xml:space="preserve"> </w:t>
      </w:r>
      <w:r>
        <w:t xml:space="preserve">Gouveia et al. (2017)</w:t>
      </w:r>
      <w:r>
        <w:t xml:space="preserve">.</w:t>
      </w:r>
      <w:r>
        <w:t xml:space="preserve"> </w:t>
      </w:r>
      <w:hyperlink w:anchor="fig-mapa">
        <w:r>
          <w:rPr>
            <w:rStyle w:val="Hyperlink"/>
          </w:rPr>
          <w:t xml:space="preserve">Figure 1</w:t>
        </w:r>
      </w:hyperlink>
    </w:p>
    <w:p>
      <w:pPr>
        <w:pStyle w:val="Corpodetexto"/>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conservation unit and are well preserved, with intact riparian forest and no crop fields nearby (at least 1 km distant), free flowing water (≥ 0.25 m/s), high dissolved oxygen concentration (≥ 6 mg/L) and temperature below 28 °C. Type II sites, are those that occur within the conservation unit, but are not well preserved, failing in one or more of the water quality criteria and/or having its riparian vegetation removed or managed. Type III sites are those outside the conservation unit but meet the water quality criteria for a type I site, and type IV sites are those that fall outside the conservation unit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Corpodetexto"/>
      </w:pPr>
      <w:r>
        <w:rPr>
          <w:b/>
          <w:bCs/>
        </w:rPr>
        <w:t xml:space="preserve">Environmental data collection.</w:t>
      </w:r>
      <w:r>
        <w:t xml:space="preserve"> </w:t>
      </w:r>
      <w:r>
        <w:t xml:space="preserve">Environmental characteristics of each sampling site were measured in four sets of variables: (a) site morphology, (b) water quality, (c) sediment composition, and (d) marginal habitat structure</w:t>
      </w:r>
      <w:r>
        <w:t xml:space="preserv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(Mugodo et al., 2006; Pusey et al., 2004)</w:t>
      </w:r>
      <w:r>
        <w:t xml:space="preserve">.</w:t>
      </w:r>
    </w:p>
    <w:p>
      <w:pPr>
        <w:pStyle w:val="Corpodetexto"/>
      </w:pPr>
      <w:r>
        <w:rPr>
          <w:b/>
          <w:bCs/>
        </w:rPr>
        <w:t xml:space="preserve">Fish collection and maintenance.</w:t>
      </w:r>
      <w:r>
        <w:t xml:space="preserve"> </w:t>
      </w:r>
      <w:r>
        <w:t xml:space="preserve">Fish were collected ….</w:t>
      </w:r>
      <w:r>
        <w:t xml:space="preserve"> </w:t>
      </w:r>
      <w:r>
        <w:t xml:space="preserve">Gouveia et al. (2017)</w:t>
      </w:r>
      <w:r>
        <w:t xml:space="preserve">;</w:t>
      </w:r>
      <w:r>
        <w:t xml:space="preserve"> </w:t>
      </w:r>
      <w:r>
        <w:t xml:space="preserve">Medeiros et al. (2024)</w:t>
      </w:r>
      <w:r>
        <w:t xml:space="preserve"> </w:t>
      </w:r>
      <w:r>
        <w:t xml:space="preserve">between October and November 2023.</w:t>
      </w:r>
    </w:p>
    <w:p>
      <w:pPr>
        <w:pStyle w:val="Corpodetexto"/>
      </w:pPr>
      <w:r>
        <w:t xml:space="preserve">The specimens were transported in plastic bags with air and local water to the Animal Ecophysiology Laboratory (LEFA) from UEPB - campus V (João Pessoa, Brazil). To analyze the osmoregulatory function of the fish, blood samples were collected from some specimens (38 fish from inside the reserve and 40 from outside, a total of 78). For that, those specimens were anesthetized with eugenol, and a blood aliquot was obtained by puncturing the heart using a pipette with a heparinized tip. The samples were kept on ice, and plasma was subsequently separated from cells by centrifugation. Due to low volume of obtained plasma, because of the small size of fish, the chlorine ions assay could not be performed. From those same specimens, gill and muscle were collected in order to calculate the moisture content of tissues. Plasma and tissues samples were stored in a freezer at -20°C until the analyses were performed. The other part of collected specimens (54 fish from inside the reserve and 57 from outside, a total of 111) was used in the multixenobiotic resistance (MXR) phenotype assay</w:t>
      </w:r>
      <w:r>
        <w:t xml:space="preserve"> </w:t>
      </w:r>
      <w:r>
        <w:t xml:space="preserve">(David et al., 2018; Macêdo et al., 2019; Santos et al., 2017)</w:t>
      </w:r>
      <w:r>
        <w:t xml:space="preserve">.</w:t>
      </w:r>
    </w:p>
    <w:p>
      <w:pPr>
        <w:pStyle w:val="Corpodetexto"/>
      </w:pPr>
      <w:r>
        <w:rPr>
          <w:b/>
          <w:bCs/>
        </w:rPr>
        <w:t xml:space="preserve">Plasmatic protein dosage.</w:t>
      </w:r>
      <w:r>
        <w:t xml:space="preserve"> </w:t>
      </w: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p>
      <w:pPr>
        <w:pStyle w:val="Corpodetexto"/>
      </w:pPr>
      <w:r>
        <w:rPr>
          <w:b/>
          <w:bCs/>
        </w:rPr>
        <w:t xml:space="preserve">Moisture content.</w:t>
      </w:r>
      <w:r>
        <w:t xml:space="preserve"> </w:t>
      </w: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p>
      <w:pPr>
        <w:pStyle w:val="Corpodetexto"/>
      </w:pPr>
      <w:r>
        <w:rPr>
          <w:b/>
          <w:bCs/>
        </w:rPr>
        <w:t xml:space="preserve">MXR phenotype activity.</w:t>
      </w:r>
      <w:r>
        <w:t xml:space="preserve"> </w:t>
      </w: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p>
      <w:pPr>
        <w:pStyle w:val="Corpodetexto"/>
      </w:pPr>
      <w:r>
        <w:rPr>
          <w:b/>
          <w:bCs/>
        </w:rPr>
        <w:t xml:space="preserve">Statistical analysis.</w:t>
      </w:r>
      <w:r>
        <w:t xml:space="preserve"> </w:t>
      </w:r>
      <w:r>
        <w:t xml:space="preserve">Environmental variables were checked for multivariate collinearity and square root transformed before analyses</w:t>
      </w:r>
      <w:r>
        <w:t xml:space="preserve"> </w:t>
      </w:r>
      <w:r>
        <w:t xml:space="preserve">Sokal &amp; Rohlf (1995)</w:t>
      </w:r>
      <w:r>
        <w:t xml:space="preserve">.</w:t>
      </w:r>
    </w:p>
    <w:p>
      <w:pPr>
        <w:pStyle w:val="Corpodetexto"/>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bookmarkEnd w:id="21"/>
    <w:bookmarkStart w:id="22" w:name="results"/>
    <w:p>
      <w:pPr>
        <w:pStyle w:val="Ttulo1"/>
      </w:pPr>
      <w:r>
        <w:t xml:space="preserve">3. Results</w:t>
      </w:r>
    </w:p>
    <w:p>
      <w:pPr>
        <w:pStyle w:val="FirstParagraph"/>
      </w:pPr>
      <w:r>
        <w:rPr>
          <w:b/>
          <w:bCs/>
        </w:rPr>
        <w:t xml:space="preserve">Environmental variables.</w:t>
      </w:r>
      <w:r>
        <w:t xml:space="preserve"> </w:t>
      </w:r>
      <w:r>
        <w:t xml:space="preserve">Water flow was present only in smaller streams in lower altitudes (sites 4-6) and during the rainy season (0.10-0.17 m/s). Stream sites tended to be narrower with widths ranging from 5.4 to 29.6 m, compared with 72.2 to 330 m for reservoirs. Littoral depths varied widely from 4.7 to 81.3 cm across all sites. Dissolved oxygen (DO) ranged from 1.8 to 9.4 mg/L and temperatures from 24.0 and 35.2 °C. Turbidity was low with Secchi depths reaching 90 cm, even though some sites had depths as low as 16 cm of the Secchi disk. Mud and sand were the main substrates across all sampled sites (with average covers of 54.4 and 37.9%, respectively). The habitat elements that gave greater overall contributions were attached and filamentous algae (12% on average), littoral grass (9.0%) and aquatic macrophytes (8.4%), but these contributions varied widely across sites and season.</w:t>
      </w:r>
    </w:p>
    <w:p>
      <w:pPr>
        <w:pStyle w:val="Corpodetexto"/>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41.9% of the variance in the environmental variables, with the first axis (27.6%) showing a gradient from large reservoirs to smaller streams sites. Large scale morphology variables such as altitude, river length and site width were important to describe most reservoirs, whereas river sites were better described by local physical, chemical and habitat variables, such as margins depth and water temperature. Among the habitat structure variations, overhanging vegetation and roots, were also important to describe stream sites. Larger reservoirs were mostly associated with a muddy substrate whereas river sites included a more diverse array of substrates, the most important being sand and gravel. Other variables such as slope (morphology), submerged vegetation and leaf litter (habitat structure) and water velocity (water quality) were important in explaining specific sites at given sampling occasions.</w:t>
      </w:r>
    </w:p>
    <w:p>
      <w:pPr>
        <w:pStyle w:val="Corpodetexto"/>
      </w:pPr>
      <w:r>
        <w:rPr>
          <w:b/>
          <w:bCs/>
        </w:rPr>
        <w:t xml:space="preserve">Fish community.</w:t>
      </w:r>
      <w:r>
        <w:t xml:space="preserve"> </w:t>
      </w:r>
      <w:r>
        <w:t xml:space="preserve">A total amount of 28155 individuals was collected, divided into 32 taxonomic groups. Out of these, Thiaridae (1340.15 ind./m2 ± 3068.95), larvae of Chironomidae (629.07 ind./m2 ± 1424.72), and Oligochaeta (380.49 ind./m2 ± 856.62) were the most the representative.</w:t>
      </w:r>
    </w:p>
    <w:p>
      <w:pPr>
        <w:pStyle w:val="Corpodetexto"/>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4</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"C:/Users/ellen/Downloads/Manuscritos/mxr23_Q"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Corpodetexto"/>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6</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Corpodetexto"/>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8</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9</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10</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w:t>
      </w:r>
      <w:r>
        <w:rPr>
          <w:b/>
          <w:bCs/>
        </w:rPr>
        <w:t xml:space="preserve">masullo2020a?</w:t>
      </w:r>
      <w:r>
        <w:t xml:space="preserve">)</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Ttulo1"/>
      </w:pPr>
      <w:r>
        <w:t xml:space="preserve">Conclusions</w:t>
      </w:r>
    </w:p>
    <w:bookmarkEnd w:id="24"/>
    <w:bookmarkStart w:id="25" w:name="acknowledgements"/>
    <w:p>
      <w:pPr>
        <w:pStyle w:val="Ttulo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grated. MMSM and LRCS are grateful to Programa de Iniciação Científica (PIBIC-UEPB) and CNPq for scholarship granted.</w:t>
      </w:r>
    </w:p>
    <w:bookmarkEnd w:id="25"/>
    <w:bookmarkStart w:id="26"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Adamastor Coutinho Pinto: Conceptualization, Data curation, Formal analysis, Investigation, Software, Visualization, Writing – review &amp; editing, Writing – original draft.</w:t>
      </w:r>
    </w:p>
    <w:p>
      <w:pPr>
        <w:pStyle w:val="Corpodetexto"/>
      </w:pPr>
      <w:r>
        <w:t xml:space="preserve">Mayara Mirelly da Silva Monteiro: Data curation, Formal analysis, Software, Writing – review &amp; editing.</w:t>
      </w:r>
    </w:p>
    <w:p>
      <w:pPr>
        <w:pStyle w:val="Corpodetexto"/>
      </w:pPr>
      <w:r>
        <w:t xml:space="preserve">Alice da Silva Barros: Data curation, Formal analysis, Software, Writing – review &amp; editing.</w:t>
      </w:r>
    </w:p>
    <w:p>
      <w:pPr>
        <w:pStyle w:val="Corpodetexto"/>
      </w:pPr>
      <w:r>
        <w:t xml:space="preserve">Larissa Rafaela Caetano da Silva:Data curation, Formal analysis, Software, Writing – review &amp; editing.</w:t>
      </w:r>
    </w:p>
    <w:p>
      <w:pPr>
        <w:pStyle w:val="Corpodetexto"/>
      </w:pPr>
      <w:r>
        <w:t xml:space="preserve">Enelise Marcelle Amado: Conceptualization, Data curation, Methodology, Project administration, Resources, Supervision, Validation, Writing – review &amp; editing.</w:t>
      </w:r>
    </w:p>
    <w:p>
      <w:pPr>
        <w:pStyle w:val="Corpodetexto"/>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Ttulo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82" w:name="references"/>
    <w:p>
      <w:pPr>
        <w:pStyle w:val="Ttulo1"/>
      </w:pPr>
      <w:r>
        <w:t xml:space="preserve">References</w:t>
      </w:r>
    </w:p>
    <w:bookmarkStart w:id="81" w:name="refs"/>
    <w:bookmarkStart w:id="29"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28">
        <w:r>
          <w:rPr>
            <w:rStyle w:val="Hyperlink"/>
          </w:rPr>
          <w:t xml:space="preserve">https://doi.org/10.1002/wer.1221</w:t>
        </w:r>
      </w:hyperlink>
    </w:p>
    <w:bookmarkEnd w:id="29"/>
    <w:bookmarkStart w:id="30"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0"/>
    <w:bookmarkStart w:id="32"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1">
        <w:r>
          <w:rPr>
            <w:rStyle w:val="Hyperlink"/>
          </w:rPr>
          <w:t xml:space="preserve">https://doi.org/10.14393/SN-v34-2022-60335</w:t>
        </w:r>
      </w:hyperlink>
    </w:p>
    <w:bookmarkEnd w:id="32"/>
    <w:bookmarkStart w:id="34"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3">
        <w:r>
          <w:rPr>
            <w:rStyle w:val="Hyperlink"/>
          </w:rPr>
          <w:t xml:space="preserve">https://doi.org/10.1007/s10669-011-9380-3</w:t>
        </w:r>
      </w:hyperlink>
    </w:p>
    <w:bookmarkEnd w:id="34"/>
    <w:bookmarkStart w:id="35"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5"/>
    <w:bookmarkStart w:id="37"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36">
        <w:r>
          <w:rPr>
            <w:rStyle w:val="Hyperlink"/>
          </w:rPr>
          <w:t xml:space="preserve">https://credit.niso.org/</w:t>
        </w:r>
      </w:hyperlink>
    </w:p>
    <w:bookmarkEnd w:id="37"/>
    <w:bookmarkStart w:id="39"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38">
        <w:r>
          <w:rPr>
            <w:rStyle w:val="Hyperlink"/>
          </w:rPr>
          <w:t xml:space="preserve">https://doi.org/10.1016/j.ecoenv.2018.09.111</w:t>
        </w:r>
      </w:hyperlink>
    </w:p>
    <w:bookmarkEnd w:id="39"/>
    <w:bookmarkStart w:id="40"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0"/>
    <w:bookmarkStart w:id="42"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1">
        <w:r>
          <w:rPr>
            <w:rStyle w:val="Hyperlink"/>
          </w:rPr>
          <w:t xml:space="preserve">https://doi.org/10.15560/13.5.581</w:t>
        </w:r>
      </w:hyperlink>
    </w:p>
    <w:bookmarkEnd w:id="42"/>
    <w:bookmarkStart w:id="44" w:name="ref-haredi2020"/>
    <w:p>
      <w:pPr>
        <w:pStyle w:val="Bibliografia"/>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43">
        <w:r>
          <w:rPr>
            <w:rStyle w:val="Hyperlink"/>
          </w:rPr>
          <w:t xml:space="preserve">https://doi.org/10.1007/s13530-020-00042-w</w:t>
        </w:r>
      </w:hyperlink>
    </w:p>
    <w:bookmarkEnd w:id="44"/>
    <w:bookmarkStart w:id="45"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45"/>
    <w:bookmarkStart w:id="47"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46">
        <w:r>
          <w:rPr>
            <w:rStyle w:val="Hyperlink"/>
          </w:rPr>
          <w:t xml:space="preserve">https://doi.org/10.1023/A:1026560922731</w:t>
        </w:r>
      </w:hyperlink>
    </w:p>
    <w:bookmarkEnd w:id="47"/>
    <w:bookmarkStart w:id="48" w:name="ref-lê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48"/>
    <w:bookmarkStart w:id="50"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49">
        <w:r>
          <w:rPr>
            <w:rStyle w:val="Hyperlink"/>
          </w:rPr>
          <w:t xml:space="preserve">https://doi.org/10.1002/jez.2320</w:t>
        </w:r>
      </w:hyperlink>
    </w:p>
    <w:bookmarkEnd w:id="50"/>
    <w:bookmarkStart w:id="52" w:name="ref-maitland1990"/>
    <w:p>
      <w:pPr>
        <w:pStyle w:val="Bibliografia"/>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51">
        <w:r>
          <w:rPr>
            <w:rStyle w:val="Hyperlink"/>
          </w:rPr>
          <w:t xml:space="preserve">https://doi.org/10.1007/978-1-4613-0501-9_5</w:t>
        </w:r>
      </w:hyperlink>
    </w:p>
    <w:bookmarkEnd w:id="52"/>
    <w:bookmarkStart w:id="53" w:name="ref-mccune2002"/>
    <w:p>
      <w:pPr>
        <w:pStyle w:val="Bibliografia"/>
      </w:pPr>
      <w:r>
        <w:t xml:space="preserve">McCune, B., &amp; Grace, J. B. (2002).</w:t>
      </w:r>
      <w:r>
        <w:t xml:space="preserve"> </w:t>
      </w:r>
      <w:r>
        <w:rPr>
          <w:i/>
          <w:iCs/>
        </w:rPr>
        <w:t xml:space="preserve">Analysis of ecological communities</w:t>
      </w:r>
      <w:r>
        <w:t xml:space="preserve">. MjM Software Design.</w:t>
      </w:r>
    </w:p>
    <w:bookmarkEnd w:id="53"/>
    <w:bookmarkStart w:id="55" w:name="ref-medeiros2024"/>
    <w:p>
      <w:pPr>
        <w:pStyle w:val="Bibliografia"/>
      </w:pPr>
      <w:r>
        <w:t xml:space="preserve">Medeiros, E. S. F., Silva, M. J. D., Ramos, T. P. A., &amp; Ramos, R. T. C. (2024). Environmental variables as predictors of fish community composition in semiarid aquatic systems.</w:t>
      </w:r>
      <w:r>
        <w:t xml:space="preserve"> </w:t>
      </w:r>
      <w:r>
        <w:rPr>
          <w:i/>
          <w:iCs/>
        </w:rPr>
        <w:t xml:space="preserve">Acta Limnologica Brasiliensia</w:t>
      </w:r>
      <w:r>
        <w:t xml:space="preserve">,</w:t>
      </w:r>
      <w:r>
        <w:t xml:space="preserve"> </w:t>
      </w:r>
      <w:r>
        <w:rPr>
          <w:i/>
          <w:iCs/>
        </w:rPr>
        <w:t xml:space="preserve">36</w:t>
      </w:r>
      <w:r>
        <w:t xml:space="preserve">, e4.</w:t>
      </w:r>
      <w:r>
        <w:t xml:space="preserve"> </w:t>
      </w:r>
      <w:hyperlink r:id="rId54">
        <w:r>
          <w:rPr>
            <w:rStyle w:val="Hyperlink"/>
          </w:rPr>
          <w:t xml:space="preserve">https://doi.org/10.1590/s2179-975x3023</w:t>
        </w:r>
      </w:hyperlink>
    </w:p>
    <w:bookmarkEnd w:id="55"/>
    <w:bookmarkStart w:id="56"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56"/>
    <w:bookmarkStart w:id="58" w:name="ref-ministériodomeioambiente2025"/>
    <w:p>
      <w:pPr>
        <w:pStyle w:val="Bibliografia"/>
      </w:pPr>
      <w:r>
        <w:t xml:space="preserve">Ministério do Meio Ambiente. (2025).</w:t>
      </w:r>
      <w:r>
        <w:t xml:space="preserve"> </w:t>
      </w:r>
      <w:r>
        <w:rPr>
          <w:i/>
          <w:iCs/>
        </w:rPr>
        <w:t xml:space="preserve">Painel unidades de conservação. retrieved</w:t>
      </w:r>
      <w:r>
        <w:t xml:space="preserve">.</w:t>
      </w:r>
      <w:r>
        <w:t xml:space="preserve"> </w:t>
      </w:r>
      <w:hyperlink r:id="rId57">
        <w:r>
          <w:rPr>
            <w:rStyle w:val="Hyperlink"/>
          </w:rPr>
          <w:t xml:space="preserve">https://encurtador.com.br/kLle</w:t>
        </w:r>
      </w:hyperlink>
    </w:p>
    <w:bookmarkEnd w:id="58"/>
    <w:bookmarkStart w:id="59"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59"/>
    <w:bookmarkStart w:id="61" w:name="ref-mugodo2006"/>
    <w:p>
      <w:pPr>
        <w:pStyle w:val="Bibliografia"/>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60">
        <w:r>
          <w:rPr>
            <w:rStyle w:val="Hyperlink"/>
          </w:rPr>
          <w:t xml:space="preserve">https://doi.org/10.1007/s10750-006-0252-7</w:t>
        </w:r>
      </w:hyperlink>
    </w:p>
    <w:bookmarkEnd w:id="61"/>
    <w:bookmarkStart w:id="63"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2">
        <w:r>
          <w:rPr>
            <w:rStyle w:val="Hyperlink"/>
          </w:rPr>
          <w:t xml:space="preserve">https://doi.org/10.1038/35002501</w:t>
        </w:r>
      </w:hyperlink>
    </w:p>
    <w:bookmarkEnd w:id="63"/>
    <w:bookmarkStart w:id="65"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4">
        <w:r>
          <w:rPr>
            <w:rStyle w:val="Hyperlink"/>
          </w:rPr>
          <w:t xml:space="preserve">https://doi.org/10.1590/S1413-70542006000500027</w:t>
        </w:r>
      </w:hyperlink>
    </w:p>
    <w:bookmarkEnd w:id="65"/>
    <w:bookmarkStart w:id="66" w:name="ref-pusey2004"/>
    <w:p>
      <w:pPr>
        <w:pStyle w:val="Bibliografia"/>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66"/>
    <w:bookmarkStart w:id="68"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67">
        <w:r>
          <w:rPr>
            <w:rStyle w:val="Hyperlink"/>
          </w:rPr>
          <w:t xml:space="preserve">https://www.R-project.org/</w:t>
        </w:r>
      </w:hyperlink>
    </w:p>
    <w:bookmarkEnd w:id="68"/>
    <w:bookmarkStart w:id="69" w:name="ref-rstudioteam"/>
    <w:p>
      <w:pPr>
        <w:pStyle w:val="Bibliografia"/>
      </w:pPr>
      <w:r>
        <w:t xml:space="preserve">RStudio Team. (n.d.).</w:t>
      </w:r>
      <w:r>
        <w:t xml:space="preserve"> </w:t>
      </w:r>
      <w:r>
        <w:rPr>
          <w:i/>
          <w:iCs/>
        </w:rPr>
        <w:t xml:space="preserve">RStudio: Integrated Development Environment for R</w:t>
      </w:r>
      <w:r>
        <w:t xml:space="preserve">.</w:t>
      </w:r>
    </w:p>
    <w:bookmarkEnd w:id="69"/>
    <w:bookmarkStart w:id="70"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70"/>
    <w:bookmarkStart w:id="72" w:name="ref-santos2017"/>
    <w:p>
      <w:pPr>
        <w:pStyle w:val="Bibliografia"/>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71">
        <w:r>
          <w:rPr>
            <w:rStyle w:val="Hyperlink"/>
          </w:rPr>
          <w:t xml:space="preserve">https://doi.org/10.1016/j.cbpc.2017.08.008</w:t>
        </w:r>
      </w:hyperlink>
    </w:p>
    <w:bookmarkEnd w:id="72"/>
    <w:bookmarkStart w:id="74"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73">
        <w:r>
          <w:rPr>
            <w:rStyle w:val="Hyperlink"/>
          </w:rPr>
          <w:t xml:space="preserve">https://doi.org/10.5016/DT000610176</w:t>
        </w:r>
      </w:hyperlink>
    </w:p>
    <w:bookmarkEnd w:id="74"/>
    <w:bookmarkStart w:id="76"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5">
        <w:r>
          <w:rPr>
            <w:rStyle w:val="Hyperlink"/>
          </w:rPr>
          <w:t xml:space="preserve">https://doi.org/10.1016/S0027-5107(97)00265-0</w:t>
        </w:r>
      </w:hyperlink>
    </w:p>
    <w:bookmarkEnd w:id="76"/>
    <w:bookmarkStart w:id="78" w:name="ref-smital2004"/>
    <w:p>
      <w:pPr>
        <w:pStyle w:val="Bibliografia"/>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77">
        <w:r>
          <w:rPr>
            <w:rStyle w:val="Hyperlink"/>
          </w:rPr>
          <w:t xml:space="preserve">https://doi.org/10.1016/j.mrfmmm.2004.06.006</w:t>
        </w:r>
      </w:hyperlink>
    </w:p>
    <w:bookmarkEnd w:id="78"/>
    <w:bookmarkStart w:id="79" w:name="ref-sokal1995"/>
    <w:p>
      <w:pPr>
        <w:pStyle w:val="Bibliografia"/>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79"/>
    <w:bookmarkStart w:id="80"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80"/>
    <w:bookmarkEnd w:id="81"/>
    <w:bookmarkEnd w:id="82"/>
    <w:bookmarkStart w:id="127" w:name="figures-and-tables"/>
    <w:p>
      <w:pPr>
        <w:pStyle w:val="Ttulo1"/>
      </w:pPr>
      <w:r>
        <w:t xml:space="preserve">Figures and Tables</w:t>
      </w:r>
    </w:p>
    <w:bookmarkStart w:id="125"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6" w:name="fig-mapa"/>
          <w:p>
            <w:pPr>
              <w:pStyle w:val="Compact"/>
              <w:jc w:val="center"/>
            </w:pPr>
            <w:r>
              <w:drawing>
                <wp:inline>
                  <wp:extent cx="5600700" cy="3959578"/>
                  <wp:effectExtent b="0" l="0" r="0" t="0"/>
                  <wp:docPr descr="" title="" id="84" name="Picture"/>
                  <a:graphic>
                    <a:graphicData uri="http://schemas.openxmlformats.org/drawingml/2006/picture">
                      <pic:pic>
                        <pic:nvPicPr>
                          <pic:cNvPr descr="imagens/mapa.png" id="85" name="Picture"/>
                          <pic:cNvPicPr>
                            <a:picLocks noChangeArrowheads="1" noChangeAspect="1"/>
                          </pic:cNvPicPr>
                        </pic:nvPicPr>
                        <pic:blipFill>
                          <a:blip r:embed="rId83"/>
                          <a:stretch>
                            <a:fillRect/>
                          </a:stretch>
                        </pic:blipFill>
                        <pic:spPr bwMode="auto">
                          <a:xfrm>
                            <a:off x="0" y="0"/>
                            <a:ext cx="5600700" cy="3959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(P5 - 06°43’06,58555’’ S, 35°10’54,70041’</w:t>
            </w:r>
            <w:r>
              <w:t xml:space="preserve">‘W -, P6 - 06°42’38,71927’</w:t>
            </w:r>
            <w:r>
              <w:t xml:space="preserve">‘S, 35°10’38,68013’</w:t>
            </w:r>
            <w:r>
              <w:t xml:space="preserve">‘W - and P7 - 06°43’06,58555’</w:t>
            </w:r>
            <w:r>
              <w:t xml:space="preserve">‘S, 35°10’54,70041’</w:t>
            </w:r>
            <w:r>
              <w:t xml:space="preserve">‘W) and surrounding ReBio Guaribas (P8 - 06°41’46,29119’</w:t>
            </w:r>
            <w:r>
              <w:t xml:space="preserve">‘S, 35°10’36,09933’</w:t>
            </w:r>
            <w:r>
              <w:t xml:space="preserve">‘W -, P9 - 06°40’56,47593’</w:t>
            </w:r>
            <w:r>
              <w:t xml:space="preserve">‘S, 35°10’27,84963’</w:t>
            </w:r>
            <w:r>
              <w:t xml:space="preserve">‘W - and P10 - 06°40’18,97010’</w:t>
            </w:r>
            <w:r>
              <w:t xml:space="preserve">‘S, 35°10’34,68148’</w:t>
            </w:r>
            <w:r>
              <w:t xml:space="preserve">’W). In total, 92 fish were collected inside the Conservation Unity and 97 outside it.</w:t>
            </w:r>
          </w:p>
          <w:bookmarkEnd w:id="86"/>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0" w:name="fig-refsites"/>
          <w:p>
            <w:pPr>
              <w:pStyle w:val="Compact"/>
              <w:jc w:val="center"/>
            </w:pPr>
            <w:r>
              <w:drawing>
                <wp:inline>
                  <wp:extent cx="5600700" cy="4657626"/>
                  <wp:effectExtent b="0" l="0" r="0" t="0"/>
                  <wp:docPr descr="" title="" id="88" name="Picture"/>
                  <a:graphic>
                    <a:graphicData uri="http://schemas.openxmlformats.org/drawingml/2006/picture">
                      <pic:pic>
                        <pic:nvPicPr>
                          <pic:cNvPr descr="imagens/refsites.png" id="89" name="Picture"/>
                          <pic:cNvPicPr>
                            <a:picLocks noChangeArrowheads="1" noChangeAspect="1"/>
                          </pic:cNvPicPr>
                        </pic:nvPicPr>
                        <pic:blipFill>
                          <a:blip r:embed="rId87"/>
                          <a:stretch>
                            <a:fillRect/>
                          </a:stretch>
                        </pic:blipFill>
                        <pic:spPr bwMode="auto">
                          <a:xfrm>
                            <a:off x="0" y="0"/>
                            <a:ext cx="5600700" cy="46576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90"/>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4" w:name="fig-hab_PCA_fviz"/>
          <w:p>
            <w:pPr>
              <w:pStyle w:val="Compact"/>
              <w:jc w:val="center"/>
            </w:pPr>
            <w:r>
              <w:drawing>
                <wp:inline>
                  <wp:extent cx="5600700" cy="4582390"/>
                  <wp:effectExtent b="0" l="0" r="0" t="0"/>
                  <wp:docPr descr="" title="" id="92" name="Picture"/>
                  <a:graphic>
                    <a:graphicData uri="http://schemas.openxmlformats.org/drawingml/2006/picture">
                      <pic:pic>
                        <pic:nvPicPr>
                          <pic:cNvPr descr="fig-hab_PCA_fviz.png" id="93" name="Picture"/>
                          <pic:cNvPicPr>
                            <a:picLocks noChangeArrowheads="1" noChangeAspect="1"/>
                          </pic:cNvPicPr>
                        </pic:nvPicPr>
                        <pic:blipFill>
                          <a:blip r:embed="rId91"/>
                          <a:stretch>
                            <a:fillRect/>
                          </a:stretch>
                        </pic:blipFill>
                        <pic:spPr bwMode="auto">
                          <a:xfrm>
                            <a:off x="0" y="0"/>
                            <a:ext cx="5600700" cy="4582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 using the fviz function.</w:t>
            </w:r>
          </w:p>
          <w:bookmarkEnd w:id="94"/>
        </w:tc>
      </w:tr>
    </w:tbl>
    <w:p>
      <w:pPr>
        <w:pStyle w:val="CaptionedFigure"/>
      </w:pPr>
      <w:r>
        <w:drawing>
          <wp:inline>
            <wp:extent cx="5600700" cy="4582390"/>
            <wp:effectExtent b="0" l="0" r="0" t="0"/>
            <wp:docPr descr="Principal Component Analysis of the environmental variables using the fviz function" title="" id="95" name="Picture"/>
            <a:graphic>
              <a:graphicData uri="http://schemas.openxmlformats.org/drawingml/2006/picture">
                <pic:pic>
                  <pic:nvPicPr>
                    <pic:cNvPr descr="fig-hab_PCA_fviz.png" id="96" name="Picture"/>
                    <pic:cNvPicPr>
                      <a:picLocks noChangeArrowheads="1" noChangeAspect="1"/>
                    </pic:cNvPicPr>
                  </pic:nvPicPr>
                  <pic:blipFill>
                    <a:blip r:embed="rId91"/>
                    <a:stretch>
                      <a:fillRect/>
                    </a:stretch>
                  </pic:blipFill>
                  <pic:spPr bwMode="auto">
                    <a:xfrm>
                      <a:off x="0" y="0"/>
                      <a:ext cx="5600700" cy="4582390"/>
                    </a:xfrm>
                    <a:prstGeom prst="rect">
                      <a:avLst/>
                    </a:prstGeom>
                    <a:noFill/>
                    <a:ln w="9525">
                      <a:noFill/>
                      <a:headEnd/>
                      <a:tailEnd/>
                    </a:ln>
                  </pic:spPr>
                </pic:pic>
              </a:graphicData>
            </a:graphic>
          </wp:inline>
        </w:drawing>
      </w:r>
    </w:p>
    <w:p>
      <w:pPr>
        <w:pStyle w:val="ImageCaption"/>
      </w:pPr>
      <w:r>
        <w:t xml:space="preserve">Principal Component Analysis of the environmental variables using the fviz function</w:t>
      </w:r>
    </w:p>
    <w:tbl>
      <w:tblPr>
        <w:tblStyle w:val="Table"/>
        <w:tblW w:type="pct" w:w="5000"/>
        <w:tblLayout w:type="fixed"/>
        <w:tblLook w:firstRow="0" w:lastRow="0" w:firstColumn="0" w:lastColumn="0" w:noHBand="0" w:noVBand="0" w:val="0000"/>
      </w:tblPr>
      <w:tblGrid>
        <w:gridCol w:w="7920"/>
      </w:tblGrid>
      <w:tr>
        <w:tc>
          <w:tcPr/>
          <w:bookmarkStart w:id="100" w:name="fig-boxtpinandout"/>
          <w:p>
            <w:pPr>
              <w:pStyle w:val="Compact"/>
              <w:jc w:val="center"/>
            </w:pPr>
            <w:r>
              <w:drawing>
                <wp:inline>
                  <wp:extent cx="5600700" cy="3843033"/>
                  <wp:effectExtent b="0" l="0" r="0" t="0"/>
                  <wp:docPr descr="" title="" id="98" name="Picture"/>
                  <a:graphic>
                    <a:graphicData uri="http://schemas.openxmlformats.org/drawingml/2006/picture">
                      <pic:pic>
                        <pic:nvPicPr>
                          <pic:cNvPr descr="imagens/Figura%203.png" id="99" name="Picture"/>
                          <pic:cNvPicPr>
                            <a:picLocks noChangeArrowheads="1" noChangeAspect="1"/>
                          </pic:cNvPicPr>
                        </pic:nvPicPr>
                        <pic:blipFill>
                          <a:blip r:embed="rId97"/>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Total protein (mg) variance of data inside and outside ReBio Guaribas.</w:t>
            </w:r>
          </w:p>
          <w:bookmarkEnd w:id="100"/>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4" w:name="fig-boxtpsites"/>
          <w:p>
            <w:pPr>
              <w:pStyle w:val="Compact"/>
              <w:jc w:val="center"/>
            </w:pPr>
            <w:r>
              <w:drawing>
                <wp:inline>
                  <wp:extent cx="5600700" cy="3843033"/>
                  <wp:effectExtent b="0" l="0" r="0" t="0"/>
                  <wp:docPr descr="" title="" id="102" name="Picture"/>
                  <a:graphic>
                    <a:graphicData uri="http://schemas.openxmlformats.org/drawingml/2006/picture">
                      <pic:pic>
                        <pic:nvPicPr>
                          <pic:cNvPr descr="imagens/Figura%204.png" id="103" name="Picture"/>
                          <pic:cNvPicPr>
                            <a:picLocks noChangeArrowheads="1" noChangeAspect="1"/>
                          </pic:cNvPicPr>
                        </pic:nvPicPr>
                        <pic:blipFill>
                          <a:blip r:embed="rId101"/>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Boxplot with total protein data of collected fish from the sampling sites inside (green) and outside ReBio Guaribas (red), including its respective grouping by similarity above each box.</w:t>
            </w:r>
          </w:p>
          <w:bookmarkEnd w:id="10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8" w:name="fig-mcsites"/>
          <w:p>
            <w:pPr>
              <w:pStyle w:val="Compact"/>
              <w:jc w:val="center"/>
            </w:pPr>
            <w:r>
              <w:drawing>
                <wp:inline>
                  <wp:extent cx="5600700" cy="3843033"/>
                  <wp:effectExtent b="0" l="0" r="0" t="0"/>
                  <wp:docPr descr="" title="" id="106" name="Picture"/>
                  <a:graphic>
                    <a:graphicData uri="http://schemas.openxmlformats.org/drawingml/2006/picture">
                      <pic:pic>
                        <pic:nvPicPr>
                          <pic:cNvPr descr="imagens/Figura%205.png" id="107" name="Picture"/>
                          <pic:cNvPicPr>
                            <a:picLocks noChangeArrowheads="1" noChangeAspect="1"/>
                          </pic:cNvPicPr>
                        </pic:nvPicPr>
                        <pic:blipFill>
                          <a:blip r:embed="rId105"/>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Moisture content (%) of tissues from sampling sites inside and outside the ReBio Guaribas, with the respective p-value between each locality.</w:t>
            </w:r>
          </w:p>
          <w:bookmarkEnd w:id="10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2" w:name="fig-boxmmcsites"/>
          <w:p>
            <w:pPr>
              <w:pStyle w:val="Compact"/>
              <w:jc w:val="center"/>
            </w:pPr>
            <w:r>
              <w:drawing>
                <wp:inline>
                  <wp:extent cx="5600700" cy="3843033"/>
                  <wp:effectExtent b="0" l="0" r="0" t="0"/>
                  <wp:docPr descr="" title="" id="110" name="Picture"/>
                  <a:graphic>
                    <a:graphicData uri="http://schemas.openxmlformats.org/drawingml/2006/picture">
                      <pic:pic>
                        <pic:nvPicPr>
                          <pic:cNvPr descr="imagens/Figura%206.png" id="111" name="Picture"/>
                          <pic:cNvPicPr>
                            <a:picLocks noChangeArrowheads="1" noChangeAspect="1"/>
                          </pic:cNvPicPr>
                        </pic:nvPicPr>
                        <pic:blipFill>
                          <a:blip r:embed="rId109"/>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Boxplot with gill and muscle moisture content data of fish collected from sites inside (green) and outside ReBio Guaribas (red), with its respective grouping by similarity above each box.</w:t>
            </w:r>
          </w:p>
          <w:bookmarkEnd w:id="112"/>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6" w:name="fig-fluorescence"/>
          <w:p>
            <w:pPr>
              <w:pStyle w:val="Compact"/>
              <w:jc w:val="center"/>
            </w:pPr>
            <w:r>
              <w:drawing>
                <wp:inline>
                  <wp:extent cx="5600700" cy="3843033"/>
                  <wp:effectExtent b="0" l="0" r="0" t="0"/>
                  <wp:docPr descr="" title="" id="114" name="Picture"/>
                  <a:graphic>
                    <a:graphicData uri="http://schemas.openxmlformats.org/drawingml/2006/picture">
                      <pic:pic>
                        <pic:nvPicPr>
                          <pic:cNvPr descr="imagens/Figura%207.png" id="115" name="Picture"/>
                          <pic:cNvPicPr>
                            <a:picLocks noChangeArrowheads="1" noChangeAspect="1"/>
                          </pic:cNvPicPr>
                        </pic:nvPicPr>
                        <pic:blipFill>
                          <a:blip r:embed="rId113"/>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Average fluorescence data from sampling sites inside and outside the ReBio Guaribas, expressed by relative fluorescence units/milligrammes of tissue (gill).</w:t>
            </w:r>
          </w:p>
          <w:bookmarkEnd w:id="116"/>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0" w:name="fig-boxmxr"/>
          <w:p>
            <w:pPr>
              <w:pStyle w:val="Compact"/>
              <w:jc w:val="center"/>
            </w:pPr>
            <w:r>
              <w:drawing>
                <wp:inline>
                  <wp:extent cx="5600700" cy="3843033"/>
                  <wp:effectExtent b="0" l="0" r="0" t="0"/>
                  <wp:docPr descr="" title="" id="118" name="Picture"/>
                  <a:graphic>
                    <a:graphicData uri="http://schemas.openxmlformats.org/drawingml/2006/picture">
                      <pic:pic>
                        <pic:nvPicPr>
                          <pic:cNvPr descr="imagens/Figura%208.png" id="119" name="Picture"/>
                          <pic:cNvPicPr>
                            <a:picLocks noChangeArrowheads="1" noChangeAspect="1"/>
                          </pic:cNvPicPr>
                        </pic:nvPicPr>
                        <pic:blipFill>
                          <a:blip r:embed="rId117"/>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Boxplot with the MXR phenotype activity data of fish collected from sites inside (green) and outside the ReBio Guaribas (red), with its respective grouping by similarity above each box.</w:t>
            </w:r>
          </w:p>
          <w:bookmarkEnd w:id="120"/>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4" w:name="fig-bar"/>
          <w:p>
            <w:pPr>
              <w:pStyle w:val="Compact"/>
              <w:jc w:val="center"/>
            </w:pPr>
            <w:r>
              <w:drawing>
                <wp:inline>
                  <wp:extent cx="5600700" cy="3843033"/>
                  <wp:effectExtent b="0" l="0" r="0" t="0"/>
                  <wp:docPr descr="" title="" id="122" name="Picture"/>
                  <a:graphic>
                    <a:graphicData uri="http://schemas.openxmlformats.org/drawingml/2006/picture">
                      <pic:pic>
                        <pic:nvPicPr>
                          <pic:cNvPr descr="imagens/Figure%209.png" id="123" name="Picture"/>
                          <pic:cNvPicPr>
                            <a:picLocks noChangeArrowheads="1" noChangeAspect="1"/>
                          </pic:cNvPicPr>
                        </pic:nvPicPr>
                        <pic:blipFill>
                          <a:blip r:embed="rId121"/>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24"/>
        </w:tc>
      </w:tr>
    </w:tbl>
    <w:bookmarkEnd w:id="125"/>
    <w:bookmarkStart w:id="126" w:name="tables"/>
    <w:p>
      <w:pPr>
        <w:pStyle w:val="Ttulo2"/>
      </w:pPr>
      <w:r>
        <w:t xml:space="preserve">Tables</w:t>
      </w:r>
    </w:p>
    <w:bookmarkEnd w:id="126"/>
    <w:bookmarkEnd w:id="127"/>
    <w:bookmarkStart w:id="128" w:name="apendices"/>
    <w:p>
      <w:pPr>
        <w:pStyle w:val="Ttulo1"/>
      </w:pPr>
      <w:r>
        <w:t xml:space="preserve">Apendices</w:t>
      </w:r>
    </w:p>
    <w:bookmarkEnd w:id="128"/>
    <w:bookmarkStart w:id="132"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C:\PROGRA~1\RStudio\RESOUR~1\app\bin\quarto\share\formats\docx\warning.png" id="131"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32"/>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9" Target="media/rId129.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hyperlink" Id="rId36" Target="https://credit.niso.org/" TargetMode="External" /><Relationship Type="http://schemas.openxmlformats.org/officeDocument/2006/relationships/hyperlink" Id="rId49"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1"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60" Target="https://doi.org/10.1007/s10750-006-0252-7" TargetMode="External" /><Relationship Type="http://schemas.openxmlformats.org/officeDocument/2006/relationships/hyperlink" Id="rId43" Target="https://doi.org/10.1007/s13530-020-00042-w" TargetMode="External" /><Relationship Type="http://schemas.openxmlformats.org/officeDocument/2006/relationships/hyperlink" Id="rId75" Target="https://doi.org/10.1016/S0027-5107(97)00265-0" TargetMode="External" /><Relationship Type="http://schemas.openxmlformats.org/officeDocument/2006/relationships/hyperlink" Id="rId71" Target="https://doi.org/10.1016/j.cbpc.2017.08.008" TargetMode="External" /><Relationship Type="http://schemas.openxmlformats.org/officeDocument/2006/relationships/hyperlink" Id="rId38" Target="https://doi.org/10.1016/j.ecoenv.2018.09.111" TargetMode="External" /><Relationship Type="http://schemas.openxmlformats.org/officeDocument/2006/relationships/hyperlink" Id="rId77" Target="https://doi.org/10.1016/j.mrfmmm.2004.06.006" TargetMode="External" /><Relationship Type="http://schemas.openxmlformats.org/officeDocument/2006/relationships/hyperlink" Id="rId46" Target="https://doi.org/10.1023/A:1026560922731" TargetMode="External" /><Relationship Type="http://schemas.openxmlformats.org/officeDocument/2006/relationships/hyperlink" Id="rId62" Target="https://doi.org/10.1038/35002501" TargetMode="External" /><Relationship Type="http://schemas.openxmlformats.org/officeDocument/2006/relationships/hyperlink" Id="rId31" Target="https://doi.org/10.14393/SN-v34-2022-60335" TargetMode="External" /><Relationship Type="http://schemas.openxmlformats.org/officeDocument/2006/relationships/hyperlink" Id="rId41" Target="https://doi.org/10.15560/13.5.581" TargetMode="External" /><Relationship Type="http://schemas.openxmlformats.org/officeDocument/2006/relationships/hyperlink" Id="rId64" Target="https://doi.org/10.1590/S1413-70542006000500027" TargetMode="External" /><Relationship Type="http://schemas.openxmlformats.org/officeDocument/2006/relationships/hyperlink" Id="rId54" Target="https://doi.org/10.1590/s2179-975x3023" TargetMode="External" /><Relationship Type="http://schemas.openxmlformats.org/officeDocument/2006/relationships/hyperlink" Id="rId73" Target="https://doi.org/10.5016/DT000610176" TargetMode="External" /><Relationship Type="http://schemas.openxmlformats.org/officeDocument/2006/relationships/hyperlink" Id="rId57" Target="https://encurtador.com.br/kLle" TargetMode="External" /><Relationship Type="http://schemas.openxmlformats.org/officeDocument/2006/relationships/hyperlink" Id="rId6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36" Target="https://credit.niso.org/" TargetMode="External" /><Relationship Type="http://schemas.openxmlformats.org/officeDocument/2006/relationships/hyperlink" Id="rId49"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1"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60" Target="https://doi.org/10.1007/s10750-006-0252-7" TargetMode="External" /><Relationship Type="http://schemas.openxmlformats.org/officeDocument/2006/relationships/hyperlink" Id="rId43" Target="https://doi.org/10.1007/s13530-020-00042-w" TargetMode="External" /><Relationship Type="http://schemas.openxmlformats.org/officeDocument/2006/relationships/hyperlink" Id="rId75" Target="https://doi.org/10.1016/S0027-5107(97)00265-0" TargetMode="External" /><Relationship Type="http://schemas.openxmlformats.org/officeDocument/2006/relationships/hyperlink" Id="rId71" Target="https://doi.org/10.1016/j.cbpc.2017.08.008" TargetMode="External" /><Relationship Type="http://schemas.openxmlformats.org/officeDocument/2006/relationships/hyperlink" Id="rId38" Target="https://doi.org/10.1016/j.ecoenv.2018.09.111" TargetMode="External" /><Relationship Type="http://schemas.openxmlformats.org/officeDocument/2006/relationships/hyperlink" Id="rId77" Target="https://doi.org/10.1016/j.mrfmmm.2004.06.006" TargetMode="External" /><Relationship Type="http://schemas.openxmlformats.org/officeDocument/2006/relationships/hyperlink" Id="rId46" Target="https://doi.org/10.1023/A:1026560922731" TargetMode="External" /><Relationship Type="http://schemas.openxmlformats.org/officeDocument/2006/relationships/hyperlink" Id="rId62" Target="https://doi.org/10.1038/35002501" TargetMode="External" /><Relationship Type="http://schemas.openxmlformats.org/officeDocument/2006/relationships/hyperlink" Id="rId31" Target="https://doi.org/10.14393/SN-v34-2022-60335" TargetMode="External" /><Relationship Type="http://schemas.openxmlformats.org/officeDocument/2006/relationships/hyperlink" Id="rId41" Target="https://doi.org/10.15560/13.5.581" TargetMode="External" /><Relationship Type="http://schemas.openxmlformats.org/officeDocument/2006/relationships/hyperlink" Id="rId64" Target="https://doi.org/10.1590/S1413-70542006000500027" TargetMode="External" /><Relationship Type="http://schemas.openxmlformats.org/officeDocument/2006/relationships/hyperlink" Id="rId54" Target="https://doi.org/10.1590/s2179-975x3023" TargetMode="External" /><Relationship Type="http://schemas.openxmlformats.org/officeDocument/2006/relationships/hyperlink" Id="rId73" Target="https://doi.org/10.5016/DT000610176" TargetMode="External" /><Relationship Type="http://schemas.openxmlformats.org/officeDocument/2006/relationships/hyperlink" Id="rId57" Target="https://encurtador.com.br/kLle" TargetMode="External" /><Relationship Type="http://schemas.openxmlformats.org/officeDocument/2006/relationships/hyperlink" Id="rId6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2026-05-25T21:57:01Z</dcterms:created>
  <dcterms:modified xsi:type="dcterms:W3CDTF">2026-05-25T21:57:01Z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2026-05-25</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Physiological biomarkers of fish as predictors of habitat quality in an Atlantic Forest stream Linking fish physiological biomarkers to habitat integrity in an Atlantic Forest Stream</vt:lpwstr>
  </property>
  <property fmtid="{D5CDD505-2E9C-101B-9397-08002B2CF9AE}" pid="20" name="toc-title">
    <vt:lpwstr>Table of contents</vt:lpwstr>
  </property>
</Properties>
</file>