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2.png" ContentType="image/png"/>
  <Override PartName="/word/media/rId85.png" ContentType="image/png"/>
  <Override PartName="/word/media/rId89.png" ContentType="image/png"/>
  <Override PartName="/word/media/rId93.png" ContentType="image/png"/>
  <Override PartName="/word/media/rId97.png" ContentType="image/png"/>
  <Override PartName="/word/media/rId101.png" ContentType="image/png"/>
  <Override PartName="/word/media/rId105.png" ContentType="image/png"/>
  <Override PartName="/word/media/rId109.png" ContentType="image/png"/>
  <Override PartName="/word/media/rId113.png" ContentType="image/png"/>
  <Override PartName="/word/media/rId77.png" ContentType="image/png"/>
  <Override PartName="/word/media/rId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Physiological biomarkers of stream fish from the Atlantic Forest within a Conservation Unit and its surroundings</w:t>
      </w:r>
    </w:p>
    <w:p>
      <w:pPr>
        <w:pStyle w:val="Subttulo"/>
      </w:pPr>
      <w:r>
        <w:t xml:space="preserve">Physiological biomarkers of fish as predictors of habitat quality in an Atlantic Forest stream</w:t>
      </w:r>
      <w:r>
        <w:t xml:space="preserve"> </w:t>
      </w:r>
      <w:r>
        <w:t xml:space="preserve">Linking fish physiological biomarkers to habitat integrity in an Atlantic Forest Stream</w:t>
      </w:r>
    </w:p>
    <w:p>
      <w:pPr>
        <w:pStyle w:val="Author"/>
      </w:pPr>
      <w:r>
        <w:t xml:space="preserve">Adamastor Coutinho Pinto</w:t>
      </w:r>
    </w:p>
    <w:p>
      <w:pPr>
        <w:pStyle w:val="Author"/>
      </w:pPr>
      <w:r>
        <w:t xml:space="preserve">Mayara Mirelly da Silva Monteiro</w:t>
      </w:r>
    </w:p>
    <w:p>
      <w:pPr>
        <w:pStyle w:val="Author"/>
      </w:pPr>
      <w:r>
        <w:t xml:space="preserve">Alice da Silva Barros</w:t>
      </w:r>
    </w:p>
    <w:p>
      <w:pPr>
        <w:pStyle w:val="Author"/>
      </w:pPr>
      <w:r>
        <w:t xml:space="preserve">Larissa Rafaela Caetano da Silva</w:t>
      </w:r>
    </w:p>
    <w:p>
      <w:pPr>
        <w:pStyle w:val="Author"/>
      </w:pPr>
      <w:r>
        <w:t xml:space="preserve">Enelise Marcelle Amado</w:t>
      </w:r>
    </w:p>
    <w:p>
      <w:pPr>
        <w:pStyle w:val="Author"/>
      </w:pPr>
      <w:r>
        <w:t xml:space="preserve">Elvio Sergio Figueredo Medeiros</w:t>
      </w:r>
    </w:p>
    <w:p>
      <w:pPr>
        <w:pStyle w:val="Data"/>
      </w:pPr>
      <w:r>
        <w:t xml:space="preserve">2026-05-28</w:t>
      </w:r>
    </w:p>
    <w:p>
      <w:pPr>
        <w:pStyle w:val="AbstractTitle"/>
      </w:pPr>
      <w:r>
        <w:t xml:space="preserve">Abstract</w:t>
      </w:r>
    </w:p>
    <w:p>
      <w:pPr>
        <w:pStyle w:val="Abstract"/>
      </w:pPr>
      <w:r>
        <w:t xml:space="preserve">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w:t>
      </w:r>
    </w:p>
    <w:sdt>
      <w:sdtPr>
        <w:docPartObj>
          <w:docPartGallery w:val="Table of Contents"/>
          <w:docPartUnique/>
        </w:docPartObj>
      </w:sdtPr>
      <w:sdtContent>
        <w:p>
          <w:pPr>
            <w:pStyle w:val="CabealhodoSumrio"/>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Ttulo1"/>
      </w:pPr>
      <w:r>
        <w:t xml:space="preserve">1. Introduction</w:t>
      </w:r>
    </w:p>
    <w:p>
      <w:pPr>
        <w:pStyle w:val="FirstParagraph"/>
      </w:pPr>
      <w:r>
        <w:t xml:space="preserve">The devastation of rivers and streams from the Atlantic forest, biogeographical province</w:t>
      </w:r>
      <w:r>
        <w:t xml:space="preserve"> </w:t>
      </w:r>
      <w:r>
        <w:t xml:space="preserve">(Udvardy, 1975)</w:t>
      </w:r>
      <w:r>
        <w:t xml:space="preserve"> </w:t>
      </w:r>
      <w:r>
        <w:t xml:space="preserve">included in the list of the world’s Hotspots (high biodiversity rates, endemism and anthropic pressure -</w:t>
      </w:r>
      <w:r>
        <w:t xml:space="preserve"> </w:t>
      </w:r>
      <w:r>
        <w:t xml:space="preserve">(Myers et al., 2000)</w:t>
      </w:r>
      <w:r>
        <w:t xml:space="preserve">, is caused mainly by pollution, deforestation, damming and introduction of exotic species. Pollution decreases abundance and richness of local fish, being aggravated by loss of riparian vegetation when there is deforestation or change of river course due to damming. These population reductions are also caused in the presence of invasive species, introduced accidentally or intentionally by humans, modifying the original competition/prey relation</w:t>
      </w:r>
      <w:r>
        <w:t xml:space="preserve"> </w:t>
      </w:r>
      <w:r>
        <w:t xml:space="preserve">(Miranda, 2012)</w:t>
      </w:r>
      <w:r>
        <w:t xml:space="preserve">. With about 2-5% of the original vegetation preserved in Atlantic forest, one of the main strategies for conserving and preserving biodiversity from this and other biogeographical provinces is the delimitation of areas known as Conservative Units (CU), regulated in Brazil by the National System of Conservative Unit (SNUC) and implemented by Chico Mendes Institute (ICMBio) to be managed at federal, state and local levels</w:t>
      </w:r>
      <w:r>
        <w:t xml:space="preserve"> </w:t>
      </w:r>
      <w:r>
        <w:t xml:space="preserve">(Arruda et al., 2013; Miranda, 2012)</w:t>
      </w:r>
      <w:r>
        <w:t xml:space="preserve">.</w:t>
      </w:r>
    </w:p>
    <w:p>
      <w:pPr>
        <w:pStyle w:val="Corpodetexto"/>
      </w:pPr>
      <w:r>
        <w:t xml:space="preserve">Ecological data, such as richness and species abundance, are the most studied and represent how aquatic animals deal with general pollution, but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As physiological, morphological and behavioural aspects represent how their functions are performed in the ecosystem, they are nominated functional characteristics, commonly studied by parameters of strength and resilience. Changes on these parameters reflect environmental changes that could not be seen by parameters of taxonomical diversity, which happens when different species possess similar functions, highlighting how these, still scarce studies, can be promising</w:t>
      </w:r>
      <w:r>
        <w:t xml:space="preserve"> </w:t>
      </w:r>
      <w:r>
        <w:t xml:space="preserve">(Júnior, 2021)</w:t>
      </w:r>
      <w:r>
        <w:t xml:space="preserve">. Taking it into account, as also the relevance of Conservation Units for the Atlantic forest species, this study brings up the possibility to compare the ecological health from these waterbodies by identifying physiological stress markers from the fish within and near CU’s.</w:t>
      </w:r>
    </w:p>
    <w:p>
      <w:pPr>
        <w:pStyle w:val="Corpodetexto"/>
      </w:pPr>
      <w:r>
        <w:t xml:space="preserve">One of the main physiological functions affected by pollutants (such as pesticides, heavy metals, drugs and microplastics) is the osmoregulation one, that, as well as the pH control, is predominantly done by gills. Being also critical to gas exchange, ionic regulation and nitrogen excretion, its functions are partially performed by hormonal control of blood flow (carried out by catecholamines, which reduce vascular resistance in the gills and increase blood flow in the efferent artery via beta and alpha-adrenoreceptors, in that order) and mainly by the transport of ions, probably made in the chloride cells from the filament epithelium, that possess transport enzymes called sodium/potassium-dependent ATPases</w:t>
      </w:r>
      <w:r>
        <w:t xml:space="preserve"> </w:t>
      </w:r>
      <w:r>
        <w:t xml:space="preserve">(Evans, 1987)</w:t>
      </w:r>
      <w:r>
        <w:t xml:space="preserve">.</w:t>
      </w:r>
    </w:p>
    <w:p>
      <w:pPr>
        <w:pStyle w:val="Corpodetexto"/>
      </w:pPr>
      <w:r>
        <w:t xml:space="preserve">The action of toxic compounds in the gills leads to a series of histopathologies in response to stress, such as necrosis and epithelial desquamation, frequently generated by flaws in cellular osmoregulation due to ATPase inhibition and physiological failure of the chloride cells or gills as a whole. The effects of this action on the organism can be measured through a few blood markers, mainly lower levels of Chlorine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The hydration level of gills and muscles is another physiological parameter tied to the animal’s capacity of dealing with salinity variation, and, for that, suffers mensurable effects from the action of toxic compounds in the environment. This active control parameter was suggested by</w:t>
      </w:r>
      <w:r>
        <w:t xml:space="preserve"> </w:t>
      </w:r>
      <w:r>
        <w:t xml:space="preserve">Ayrapetyan (2012)</w:t>
      </w:r>
      <w:r>
        <w:t xml:space="preserve"> </w:t>
      </w:r>
      <w:r>
        <w:t xml:space="preserve">as a universal biomarker for detecting pollution in the environment, being upheld by</w:t>
      </w:r>
      <w:r>
        <w:t xml:space="preserve"> </w:t>
      </w:r>
      <w:r>
        <w:t xml:space="preserve">David et al. (2018)</w:t>
      </w:r>
      <w:r>
        <w:t xml:space="preserve"> </w:t>
      </w:r>
      <w:r>
        <w:t xml:space="preserve">in a study with osmoconforming and euryhaline oysters under effect of different - but common - levels of salinity, and, more discretely, by</w:t>
      </w:r>
      <w:r>
        <w:t xml:space="preserve"> </w:t>
      </w:r>
      <w:r>
        <w:t xml:space="preserve">Sabae &amp; Mohamed (2015)</w:t>
      </w:r>
      <w:r>
        <w:t xml:space="preserve"> </w:t>
      </w:r>
      <w:r>
        <w:t xml:space="preserve">in a study with freshwater fish.</w:t>
      </w:r>
    </w:p>
    <w:p>
      <w:pPr>
        <w:pStyle w:val="Corpodetexto"/>
      </w:pPr>
      <w:r>
        <w:t xml:space="preserve">Another relevant biomarker is the abnormal activity of the multixenobiotic resistance (MXR) phenotype, an innate gene of many aquatic species that is expressed in organs such as gills, kidneys, blood-brain barrier, liver and pancreas. It is activated by exposure to pollutants and results in the production of P-glycoproteins (Pgp) in the membrane, which act to remove endogenous or exogenous toxic compounds out of the cell, protecting DNA and inducing its excretion. Although the MXR activity explains how some species are more resistant to the presence of pollutants, some substances can reverse its effectiveness, being called chemosensitizers (or simply MXR-inhibitors). Those compounds can cancel the Pgp activity, alter the mechanism regulation, saturate or even reverse MXR activity, acting, in this case, by saturating the Pgp pump and allowing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(Smital &amp; Kurelec, 1998)</w:t>
      </w:r>
      <w:r>
        <w:t xml:space="preserve">.</w:t>
      </w:r>
    </w:p>
    <w:p>
      <w:pPr>
        <w:pStyle w:val="Corpodetexto"/>
      </w:pPr>
      <w:r>
        <w:t xml:space="preserve">The hypothesis of markers linked to physiological stress of fish providing evidence of the environmental 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w:t>
      </w:r>
      <w:hyperlink w:anchor="fig-mapa">
        <w:r>
          <w:rPr>
            <w:rStyle w:val="Hyperlink"/>
          </w:rPr>
          <w:t xml:space="preserve">Figure 1</w:t>
        </w:r>
      </w:hyperlink>
      <w:r>
        <w:t xml:space="preserve">).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 Ministério do Meio Ambiente, 2025)</w:t>
      </w:r>
      <w:r>
        <w:t xml:space="preserve">.</w:t>
      </w:r>
    </w:p>
    <w:p>
      <w:pPr>
        <w:pStyle w:val="Corpodetexto"/>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r>
        <w:t xml:space="preserve"> </w:t>
      </w:r>
      <w:r>
        <w:t xml:space="preserve">(Serra, 2010)</w:t>
      </w:r>
      <w:r>
        <w:t xml:space="preserve">.</w:t>
      </w:r>
    </w:p>
    <w:p>
      <w:pPr>
        <w:pStyle w:val="Corpodetexto"/>
      </w:pPr>
      <w:r>
        <w:t xml:space="preserve">The identification of physiological stress biomarkers in the collected fish aims to evaluate the ecological health of sites inside and surrounding the CU, through quantitative comparison of the influence of anthropogenic action with data from a legally protected area (statistical analysis made in the integrated programming environment R and R Studio -</w:t>
      </w:r>
      <w:r>
        <w:t xml:space="preserve"> </w:t>
      </w:r>
      <w:r>
        <w:t xml:space="preserve">(R Core Team, 2017; RStudio Team, n.d.)</w:t>
      </w:r>
      <w:r>
        <w:t xml:space="preserve">. This promotes a more tangible insight in contrast with other scientific papers that only make qualitative assessments of Conservative Units, and also using more specific markers than articles that only explore the ecological consequences of pollution exposure.</w:t>
      </w:r>
    </w:p>
    <w:bookmarkEnd w:id="9"/>
    <w:bookmarkStart w:id="10" w:name="material-and-methods"/>
    <w:p>
      <w:pPr>
        <w:pStyle w:val="Ttulo1"/>
      </w:pPr>
      <w:r>
        <w:t xml:space="preserve">2. Material and Methods</w:t>
      </w:r>
    </w:p>
    <w:p>
      <w:pPr>
        <w:pStyle w:val="FirstParagraph"/>
      </w:pPr>
      <w:r>
        <w:rPr>
          <w:b/>
          <w:bCs/>
        </w:rPr>
        <w:t xml:space="preserve">Study area and sampling design.</w:t>
      </w:r>
      <w:r>
        <w:t xml:space="preserve"> </w:t>
      </w:r>
      <w:r>
        <w:t xml:space="preserve">This study was conducted in the Guaribas Biological Reserve (REBIO Guaribas), in northeastern Brazil, a protected area created in 1990 to preserve one of the last remnants of the Atlantic Forest</w:t>
      </w:r>
      <w:r>
        <w:t xml:space="preserve"> </w:t>
      </w:r>
      <w:r>
        <w:t xml:space="preserve">(Brasil, 2000; MMA, n.d.)</w:t>
      </w:r>
      <w:r>
        <w:t xml:space="preserve">. The reserve is located in the municipality of Mamanguape, state of Paraíba, in a heterogeneous landscape influenced by the adjacent Caatinga and Cerrado biomes. The regional climate is classified as As’</w:t>
      </w:r>
      <w:r>
        <w:t xml:space="preserve"> </w:t>
      </w:r>
      <w:r>
        <w:t xml:space="preserve">(Köppen &amp; Geiger, 1928)</w:t>
      </w:r>
      <w:r>
        <w:t xml:space="preserve">, characterized by a rainy season from February to July and a dry period from October to December</w:t>
      </w:r>
      <w:r>
        <w:t xml:space="preserve"> </w:t>
      </w:r>
      <w:r>
        <w:t xml:space="preserve">(Peel et al., 2007)</w:t>
      </w:r>
      <w:r>
        <w:t xml:space="preserve">. The average annual temperature varies from 24 to 26 °C, while the annual rainfall varies between 1,750 and 2,000 mm. The hydrographic network is composed of small streams fed by rain, notably the Barro Branco stream, a tributary of the Camaratuba River, where this study was carried out. These systems are influenced by riparian vegetation; however, parts of the buffer zone exhibit different levels of anthropogenic disturbance</w:t>
      </w:r>
      <w:r>
        <w:t xml:space="preserve"> </w:t>
      </w:r>
      <w:r>
        <w:t xml:space="preserve">(Gouveia et al., 2017)</w:t>
      </w:r>
      <w:r>
        <w:t xml:space="preserve">. The surrounding landscape is predominantly agricultural, including sugarcane and coconut plantations, livestock farming, and small orchards. These land uses can act as sources of diffuse pollution, especially through pesticide runoff and domestic effluents, creating a spatial gradient of environmental disturbance</w:t>
      </w:r>
      <w:r>
        <w:t xml:space="preserve"> </w:t>
      </w:r>
      <w:r>
        <w:t xml:space="preserve">(MMA, n.d.; Soler, 2004)</w:t>
      </w:r>
      <w:r>
        <w:t xml:space="preserve">. Sampling was conducted along the Barro Branco stream, comprising six sampling sites, and at each site, three subsamples were collected between November 2023 and February 2024. The sampling sites were distributed longitudinally to capture environmental variability and gradients of human influence. Sites P1 to P3 were located within the reserve, where more preserved conditions were expected, while sites P4 to P6 were situated in the buffer zone or in adjacent areas with greater human influence (</w:t>
      </w:r>
      <w:hyperlink w:anchor="fig-mapa">
        <w:r>
          <w:rPr>
            <w:rStyle w:val="Hyperlink"/>
          </w:rPr>
          <w:t xml:space="preserve">Figure 1</w:t>
        </w:r>
      </w:hyperlink>
      <w:r>
        <w:t xml:space="preserve">). This design aimed to include different levels of habitat integrity, riparian condition, and water quality.</w:t>
      </w:r>
    </w:p>
    <w:p>
      <w:pPr>
        <w:pStyle w:val="Corpodetexto"/>
      </w:pPr>
      <w:r>
        <w:t xml:space="preserve">For the sake of comparison, we classified all sites into four categories defined</w:t>
      </w:r>
      <w:r>
        <w:t xml:space="preserve"> </w:t>
      </w:r>
      <w:r>
        <w:rPr>
          <w:i/>
          <w:iCs/>
        </w:rPr>
        <w:t xml:space="preserve">a priori</w:t>
      </w:r>
      <w:r>
        <w:t xml:space="preserve"> </w:t>
      </w:r>
      <w:r>
        <w:t xml:space="preserve">(</w:t>
      </w:r>
      <w:hyperlink w:anchor="fig-refsites">
        <w:r>
          <w:rPr>
            <w:rStyle w:val="Hyperlink"/>
          </w:rPr>
          <w:t xml:space="preserve">Figure 2</w:t>
        </w:r>
      </w:hyperlink>
      <w:r>
        <w:t xml:space="preserve">). Reference site or Type I site, which are the sites that occur within the conservation unit and are well preserved, with intact riparian forest and no crop fields nearby (at least 1 km distant), free flowing water (≥ 0.25 m/s), high dissolved oxygen concentration (≥ 6 mg/L) and temperature below 28 °C. Type II sites, are those that occur within the conservation unit, but are not well preserved, failing in one or more of the water quality criteria and/or having its riparian vegetation removed or managed. Type III sites are those outside the conservation unit but meet the water quality criteria for a type I site, and type IV sites are those that fall outside the conservation unit and are also disturbed, not meeting the water quality criteria for a type I site. Sites type III and IV were intentionally chosen not to meet the riparian forest and crop proximity criteria. Since they fall outside of the REBIO they are not expected to have intact riparian forest or to be at least 1 km distant from a crop field.</w:t>
      </w:r>
    </w:p>
    <w:p>
      <w:pPr>
        <w:pStyle w:val="Corpodetexto"/>
      </w:pPr>
      <w:r>
        <w:rPr>
          <w:b/>
          <w:bCs/>
        </w:rPr>
        <w:t xml:space="preserve">Environmental data collection.</w:t>
      </w:r>
      <w:r>
        <w:t xml:space="preserve"> </w:t>
      </w:r>
      <w:r>
        <w:t xml:space="preserve">Environmental characteristics of each sampling site were measured in four sets of variables: (a) site morphology, (b) water quality, (c) sediment composition, and (d) marginal habitat structure (</w:t>
      </w:r>
      <w:r>
        <w:t xml:space="preserve">Medeiros et al. (2008)</w:t>
      </w:r>
      <w:r>
        <w:t xml:space="preserve">). Site morphology was assessed by site width (cm) and depth (cm) and catchment scale variables (such as elevation and stream length) measured using handheld GPS and satellite imagery. Water quality was measured as physical and chemical variables using portable equipment for temperature (°C) and dissolved oxygen (mg/L). Transparency (cm) was measured using a Secchi disk and water velocity (m/s) was estimated using the float method</w:t>
      </w:r>
      <w:r>
        <w:t xml:space="preserve"> </w:t>
      </w:r>
      <w:r>
        <w:t xml:space="preserve">Maitland (1990)</w:t>
      </w:r>
      <w:r>
        <w:t xml:space="preserve">. Sediment composition and the habitat physical structure followed protocols adapted by</w:t>
      </w:r>
      <w:r>
        <w:t xml:space="preserve"> </w:t>
      </w:r>
      <w:r>
        <w:t xml:space="preserve">Medeiros et al. (2008)</w:t>
      </w:r>
      <w:r>
        <w:t xml:space="preserve"> </w:t>
      </w:r>
      <w:r>
        <w:t xml:space="preserve">from</w:t>
      </w:r>
      <w:r>
        <w:t xml:space="preserve"> </w:t>
      </w:r>
      <w:r>
        <w:t xml:space="preserve">Pusey et al. (2004)</w:t>
      </w:r>
      <w:r>
        <w:t xml:space="preserve">;</w:t>
      </w:r>
      <w:r>
        <w:t xml:space="preserve"> </w:t>
      </w:r>
      <w:r>
        <w:t xml:space="preserve">Mugodo et al. (2006)</w:t>
      </w:r>
      <w:r>
        <w:t xml:space="preserve">.</w:t>
      </w:r>
    </w:p>
    <w:p>
      <w:pPr>
        <w:pStyle w:val="Corpodetexto"/>
      </w:pPr>
      <w:r>
        <w:rPr>
          <w:b/>
          <w:bCs/>
        </w:rPr>
        <w:t xml:space="preserve">Fish collection and maintenance.</w:t>
      </w:r>
      <w:r>
        <w:t xml:space="preserve"> </w:t>
      </w:r>
      <w:r>
        <w:t xml:space="preserve">Fish were collected between October and November 2023 along the Barro Branco Stream at six previously established sampling points, three located inside and three outside the Guaribas Biological Reserve, following a methodology adapted from</w:t>
      </w:r>
      <w:r>
        <w:t xml:space="preserve"> </w:t>
      </w:r>
      <w:r>
        <w:t xml:space="preserve">Gouveia et al. (2017)</w:t>
      </w:r>
      <w:r>
        <w:t xml:space="preserve">. Sampling was carried out during the day using a beach seine net (4 m long, 1.5 m high, and 5 mm mesh) and a hand net (50 cm wide and 5 mm mesh) operated with sweeping movements in shallow waters, according to</w:t>
      </w:r>
      <w:r>
        <w:t xml:space="preserve"> </w:t>
      </w:r>
      <w:r>
        <w:t xml:space="preserve">Medeiros et al. (2010)</w:t>
      </w:r>
      <w:r>
        <w:t xml:space="preserve">. Sampling effort was standardized across all collection events and sampling points.</w:t>
      </w:r>
    </w:p>
    <w:p>
      <w:pPr>
        <w:pStyle w:val="Corpodetexto"/>
      </w:pPr>
      <w:r>
        <w:t xml:space="preserve">To ensure the survival of specimens for ecophysiological analyses, the captured fish were not chemically fixed. Instead, they were immediately transferred to plastic bags containing water from the collection site and atmospheric oxygen, and subsequently transported to the Laboratory of Animal Ecophysiology (LEFA) at the State University of Paraíba, Campus V, João Pessoa, Brazil. Specimen sorting, taxonomic identification, and subsequent experimental procedures were performed at the Ecology Laboratory of the same institution, using specialized taxonomic literature and identification keys. The individuals were then separated according to the experimental groups established for the study.</w:t>
      </w:r>
    </w:p>
    <w:p>
      <w:pPr>
        <w:pStyle w:val="Corpodetexto"/>
      </w:pPr>
      <w:r>
        <w:t xml:space="preserve">For analyses related to osmoregulatory function, blood samples were obtained from 78 individuals, including 38 fish collected within the reserve and 40 in external areas. The fish were anesthetized with eugenol, and blood aliquots were collected by cardiac puncture using pipettes with heparinized tips. The samples were kept on ice until laboratory processing and subsequently centrifuged for plasma separation. Due to the reduced volume of plasma obtained as a consequence of the small body size of the specimens, chloride ion analysis could not be performed. Branchial and muscle tissues from the same individuals were collected to determine tissue moisture content. Plasma and tissue samples were stored at −20 °C until laboratory analysis was performed.</w:t>
      </w:r>
    </w:p>
    <w:p>
      <w:pPr>
        <w:pStyle w:val="Corpodetexto"/>
      </w:pPr>
      <w:r>
        <w:t xml:space="preserve">The remaining 111 individuals, comprising 54 specimens from locations within the reserve and 57 from external areas, were used for evaluation of the multixenobiotic resistance (MXR) phenotype, following the methodologies described by</w:t>
      </w:r>
      <w:r>
        <w:t xml:space="preserve"> </w:t>
      </w:r>
      <w:r>
        <w:t xml:space="preserve">David et al. (2018)</w:t>
      </w:r>
      <w:r>
        <w:t xml:space="preserve">;</w:t>
      </w:r>
      <w:r>
        <w:t xml:space="preserve"> </w:t>
      </w:r>
      <w:r>
        <w:t xml:space="preserve">Macêdo et al. (2019)</w:t>
      </w:r>
      <w:r>
        <w:t xml:space="preserve">;</w:t>
      </w:r>
      <w:r>
        <w:t xml:space="preserve"> </w:t>
      </w:r>
      <w:r>
        <w:t xml:space="preserve">Santos et al. (2017)</w:t>
      </w:r>
      <w:r>
        <w:t xml:space="preserve">.</w:t>
      </w:r>
    </w:p>
    <w:p>
      <w:pPr>
        <w:pStyle w:val="Corpodetexto"/>
      </w:pPr>
      <w:r>
        <w:rPr>
          <w:b/>
          <w:bCs/>
        </w:rPr>
        <w:t xml:space="preserve">Plasmatic protein dosage.</w:t>
      </w:r>
      <w:r>
        <w:t xml:space="preserve"> </w:t>
      </w:r>
      <w:r>
        <w:t xml:space="preserve">The plasma samples were defrosted and an aliquot of 2 µL of each was diluted with 8 µL of distilled water (⅕ proportion) to perform the total protein dosage by the</w:t>
      </w:r>
      <w:r>
        <w:t xml:space="preserve"> </w:t>
      </w:r>
      <w:r>
        <w:t xml:space="preserve">Bradford (1976)</w:t>
      </w:r>
      <w:r>
        <w:t xml:space="preserve"> </w:t>
      </w:r>
      <w:r>
        <w:t xml:space="preserve">method, in which the dye was also diluted in ⅕ proportion.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 and a Kruskal-Wallis test was performed to determine the existence of differences between the averages of the points inside and outside the Reserva Biológica Guaribas, calculated in the R Studio program</w:t>
      </w:r>
      <w:r>
        <w:t xml:space="preserve"> </w:t>
      </w:r>
      <w:r>
        <w:t xml:space="preserve">(RStudio Team, n.d.)</w:t>
      </w:r>
      <w:r>
        <w:t xml:space="preserve">. Next, an analysis of variance (ANOVA) was performed to determine where there were differences between each sampling site.</w:t>
      </w:r>
    </w:p>
    <w:p>
      <w:pPr>
        <w:pStyle w:val="Corpodetexto"/>
      </w:pPr>
      <w:r>
        <w:rPr>
          <w:b/>
          <w:bCs/>
        </w:rPr>
        <w:t xml:space="preserve">Moisture content.</w:t>
      </w:r>
      <w:r>
        <w:t xml:space="preserve"> </w:t>
      </w:r>
      <w:r>
        <w:t xml:space="preserve">The tissues samples (gill and muscle) were individually stored in 2 mL eppendorf tubes (previously weighted), initially weighted with the tissue moist, and, after 24 hours inside a 60°C oven, weighted with the dry tissue. The results were transferred to a spreadsheet, where it was calculated the percentual content of tissue water content and the average valor for each sampling site. A T-test (gill) or Krustal-Wallis test (muscle) was performed to determine if there were significant differences between the average values inside and outside the Conservative Unity, followed by an ANOVA to determine the difference between all six sampling sites.</w:t>
      </w:r>
    </w:p>
    <w:p>
      <w:pPr>
        <w:pStyle w:val="Corpodetexto"/>
      </w:pPr>
      <w:r>
        <w:rPr>
          <w:b/>
          <w:bCs/>
        </w:rPr>
        <w:t xml:space="preserve">MXR phenotype activity.</w:t>
      </w:r>
      <w:r>
        <w:t xml:space="preserve"> </w:t>
      </w:r>
      <w:r>
        <w:t xml:space="preserve">The multixenobiotic resistance (MXR) gene activity was analysed through the rhodamine B accumulation assay adapted from</w:t>
      </w:r>
      <w:r>
        <w:t xml:space="preserve"> </w:t>
      </w:r>
      <w:r>
        <w:t xml:space="preserve">Smital &amp; Kurelec (1998)</w:t>
      </w:r>
      <w:r>
        <w:t xml:space="preserve"> </w:t>
      </w:r>
      <w:r>
        <w:t xml:space="preserve">(ref_fig).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 and a Kruskal-Wallis test was calculated in R Studio</w:t>
      </w:r>
      <w:r>
        <w:t xml:space="preserve"> </w:t>
      </w:r>
      <w:r>
        <w:t xml:space="preserve">(RStudio Team, n.d.)</w:t>
      </w:r>
      <w:r>
        <w:t xml:space="preserve"> </w:t>
      </w:r>
      <w:r>
        <w:t xml:space="preserve">to determine if there were differences between the averages inside and outside the Conservative Unity, followed by an ANOVA to visualize the differences between each sampling site.</w:t>
      </w:r>
    </w:p>
    <w:p>
      <w:pPr>
        <w:pStyle w:val="Corpodetexto"/>
      </w:pPr>
      <w:r>
        <w:rPr>
          <w:b/>
          <w:bCs/>
        </w:rPr>
        <w:t xml:space="preserve">Statistical analysis.</w:t>
      </w:r>
      <w:r>
        <w:t xml:space="preserve"> </w:t>
      </w:r>
      <w:r>
        <w:t xml:space="preserve">Environmental variables were checked for multivariate collinearity and square root transformed before analyses (</w:t>
      </w:r>
      <w:r>
        <w:t xml:space="preserve">Sokal &amp; Rohlf (1995)</w:t>
      </w:r>
      <w:r>
        <w:t xml:space="preserve">).</w:t>
      </w:r>
    </w:p>
    <w:p>
      <w:pPr>
        <w:pStyle w:val="Corpodetexto"/>
      </w:pPr>
      <w:r>
        <w:t xml:space="preserve">These variables were subsequently subjected to Principal Component Analysis (PCA) to evaluate multivariate correlations among sites. Prior to analysis, site morphology and water quality variables were square root transformed, whereas sediment composition and the marginal habitat structure (which were measured as percentages) were arcsine square-root transformed after relativization by column total</w:t>
      </w:r>
      <w:r>
        <w:t xml:space="preserve"> </w:t>
      </w:r>
      <w:r>
        <w:t xml:space="preserve">McCune &amp; Grace (2002)</w:t>
      </w:r>
      <w:r>
        <w:t xml:space="preserve">. PCA was performed using the</w:t>
      </w:r>
      <w:r>
        <w:t xml:space="preserve"> </w:t>
      </w:r>
      <w:r>
        <w:rPr>
          <w:rStyle w:val="VerbatimChar"/>
        </w:rPr>
        <w:t xml:space="preserve">FactoMineR</w:t>
      </w:r>
      <w:r>
        <w:t xml:space="preserve"> </w:t>
      </w:r>
      <w:r>
        <w:t xml:space="preserve">package in R</w:t>
      </w:r>
      <w:r>
        <w:t xml:space="preserve"> </w:t>
      </w:r>
      <w:r>
        <w:t xml:space="preserve">Lê et al. (2008)</w:t>
      </w:r>
      <w:r>
        <w:t xml:space="preserve">. All variables were centered and scaled to unit of variance.</w:t>
      </w:r>
    </w:p>
    <w:bookmarkEnd w:id="10"/>
    <w:bookmarkStart w:id="11" w:name="results"/>
    <w:p>
      <w:pPr>
        <w:pStyle w:val="Ttulo1"/>
      </w:pPr>
      <w:r>
        <w:t xml:space="preserve">3. Results</w:t>
      </w:r>
    </w:p>
    <w:p>
      <w:pPr>
        <w:pStyle w:val="FirstParagraph"/>
      </w:pPr>
      <w:r>
        <w:rPr>
          <w:b/>
          <w:bCs/>
        </w:rPr>
        <w:t xml:space="preserve">Environmental variables.</w:t>
      </w:r>
      <w:r>
        <w:t xml:space="preserve"> </w:t>
      </w:r>
      <w:r>
        <w:t xml:space="preserve">Water flow was generally slow or absent across sampled streams (0.00-0.35 m/s). Stream sites tended to be narrow, with widths ranging from 0.66 to 16.0 m. Average depths varied from 9.0 to 51.3 cm across all sites. Dissolved oxygen (DO) ranged from 4.9 to 8.5 mg/L and temperatures from 24.9 to 28.5 °C. Waters were slightly acidic to neutral, with pH ranging from 4.5 to 7.7. Mud and sand were the main substrates across all sampled sites (with average covers of 72.4 and 27.6%, respectively), while coarse substrates were absent. The habitat elements that gave greater overall contributions were overhanging terrestrial vegetation (53.8% on average), root masses (13.1%), littoral grass (11.1%) and leaf litter (11.1%), but these contributions varied widely across sites.</w:t>
      </w:r>
    </w:p>
    <w:p>
      <w:pPr>
        <w:pStyle w:val="Corpodetexto"/>
      </w:pPr>
      <w:r>
        <w:t xml:space="preserve">Principal Component Analysis described the overall structure of the study sites and the most important features in separating them in terms of their physical and chemical variables, site morphometry, sediment composition, and marginal habitat structure</w:t>
      </w:r>
      <w:r>
        <w:t xml:space="preserve"> </w:t>
      </w:r>
      <w:hyperlink w:anchor="fig-hab_PCA_fviz">
        <w:r>
          <w:rPr>
            <w:rStyle w:val="Hyperlink"/>
          </w:rPr>
          <w:t xml:space="preserve">Figure 3</w:t>
        </w:r>
      </w:hyperlink>
      <w:r>
        <w:t xml:space="preserve">. PCA explained 52.4% of the variance in the environmental variables, with the first axis (30.9%) showing a clear spatial gradient. This primary axis separated sites P08 and P10—characterized by greater stream width, depth, and sandy substrate—from sites P05, P06, and P07, which were associated with muddy substrates, higher DO, and dense overhanging vegetation. The second axis (21.5%) was primarily driven by local habitat features, separating site P09, which was strongly associated with root masses and water velocity, from sites characterized by attached algae and macrophytes. The overall multivariate conditions did not differ significantly between the interior and the surroundings of the reserve, although specific local variables such as water turbidity, leaf litter cover, and attached algae were important in explaining specific sites across the conservation unit’s boundary.</w:t>
      </w:r>
    </w:p>
    <w:p>
      <w:pPr>
        <w:pStyle w:val="SourceCode"/>
      </w:pPr>
      <w:r>
        <w:rPr>
          <w:rStyle w:val="DocumentationTok"/>
        </w:rPr>
        <w:t xml:space="preserve">### limpar antes de começar</w:t>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DocumentationTok"/>
        </w:rPr>
        <w:t xml:space="preserve">### verificar e definir diretório de trabalho</w:t>
      </w:r>
      <w:r>
        <w:br/>
      </w:r>
      <w:r>
        <w:rPr>
          <w:rStyle w:val="FunctionTok"/>
        </w:rPr>
        <w:t xml:space="preserve">getwd</w:t>
      </w:r>
      <w:r>
        <w:rPr>
          <w:rStyle w:val="NormalTok"/>
        </w:rPr>
        <w:t xml:space="preserve">()</w:t>
      </w:r>
      <w:r>
        <w:br/>
      </w:r>
      <w:r>
        <w:rPr>
          <w:rStyle w:val="FunctionTok"/>
        </w:rPr>
        <w:t xml:space="preserve">setwd</w:t>
      </w:r>
      <w:r>
        <w:rPr>
          <w:rStyle w:val="NormalTok"/>
        </w:rPr>
        <w:t xml:space="preserve">(</w:t>
      </w:r>
      <w:r>
        <w:rPr>
          <w:rStyle w:val="StringTok"/>
        </w:rPr>
        <w:t xml:space="preserve">"D:/mxr23_Q"</w:t>
      </w:r>
      <w:r>
        <w:rPr>
          <w:rStyle w:val="NormalTok"/>
        </w:rPr>
        <w:t xml:space="preserve">)</w:t>
      </w:r>
      <w:r>
        <w:br/>
      </w:r>
      <w:r>
        <w:br/>
      </w:r>
      <w:r>
        <w:rPr>
          <w:rStyle w:val="DocumentationTok"/>
        </w:rPr>
        <w:t xml:space="preserve">### carregar pacote e importar a matriz</w:t>
      </w:r>
      <w:r>
        <w:br/>
      </w:r>
      <w:r>
        <w:rPr>
          <w:rStyle w:val="FunctionTok"/>
        </w:rPr>
        <w:t xml:space="preserve">library</w:t>
      </w:r>
      <w:r>
        <w:rPr>
          <w:rStyle w:val="NormalTok"/>
        </w:rPr>
        <w:t xml:space="preserve">(openxlsx)</w:t>
      </w:r>
      <w:r>
        <w:br/>
      </w:r>
      <w:r>
        <w:rPr>
          <w:rStyle w:val="NormalTok"/>
        </w:rPr>
        <w:t xml:space="preserve">habitat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br/>
      </w:r>
      <w:r>
        <w:rPr>
          <w:rStyle w:val="DocumentationTok"/>
        </w:rPr>
        <w:t xml:space="preserve">### substituir as na por 0</w:t>
      </w:r>
      <w:r>
        <w:br/>
      </w:r>
      <w:r>
        <w:rPr>
          <w:rStyle w:val="NormalTok"/>
        </w:rPr>
        <w:t xml:space="preserve">habitat[</w:t>
      </w:r>
      <w:r>
        <w:rPr>
          <w:rStyle w:val="FunctionTok"/>
        </w:rPr>
        <w:t xml:space="preserve">is.na</w:t>
      </w:r>
      <w:r>
        <w:rPr>
          <w:rStyle w:val="NormalTok"/>
        </w:rPr>
        <w:t xml:space="preserve">(habitat)] </w:t>
      </w:r>
      <w:r>
        <w:rPr>
          <w:rStyle w:val="OtherTok"/>
        </w:rPr>
        <w:t xml:space="preserve">&lt;-</w:t>
      </w:r>
      <w:r>
        <w:rPr>
          <w:rStyle w:val="NormalTok"/>
        </w:rPr>
        <w:t xml:space="preserve"> </w:t>
      </w:r>
      <w:r>
        <w:rPr>
          <w:rStyle w:val="DecValTok"/>
        </w:rPr>
        <w:t xml:space="preserve">0</w:t>
      </w:r>
      <w:r>
        <w:br/>
      </w:r>
      <w:r>
        <w:rPr>
          <w:rStyle w:val="NormalTok"/>
        </w:rPr>
        <w:t xml:space="preserve">habitat</w:t>
      </w:r>
      <w:r>
        <w:br/>
      </w:r>
      <w:r>
        <w:br/>
      </w:r>
      <w:r>
        <w:rPr>
          <w:rStyle w:val="DocumentationTok"/>
        </w:rPr>
        <w:t xml:space="preserve">### remove as colunas zeradas</w:t>
      </w:r>
      <w:r>
        <w:br/>
      </w:r>
      <w:r>
        <w:rPr>
          <w:rStyle w:val="NormalTok"/>
        </w:rPr>
        <w:t xml:space="preserve">sum </w:t>
      </w:r>
      <w:r>
        <w:rPr>
          <w:rStyle w:val="OtherTok"/>
        </w:rPr>
        <w:t xml:space="preserve">&lt;-</w:t>
      </w:r>
      <w:r>
        <w:rPr>
          <w:rStyle w:val="NormalTok"/>
        </w:rPr>
        <w:t xml:space="preserve"> </w:t>
      </w:r>
      <w:r>
        <w:rPr>
          <w:rStyle w:val="FunctionTok"/>
        </w:rPr>
        <w:t xml:space="preserve">colSums</w:t>
      </w:r>
      <w:r>
        <w:rPr>
          <w:rStyle w:val="NormalTok"/>
        </w:rPr>
        <w:t xml:space="preserve">(habitat)</w:t>
      </w:r>
      <w:r>
        <w:br/>
      </w:r>
      <w:r>
        <w:rPr>
          <w:rStyle w:val="NormalTok"/>
        </w:rPr>
        <w:t xml:space="preserve">sum</w:t>
      </w:r>
      <w:r>
        <w:br/>
      </w:r>
      <w:r>
        <w:rPr>
          <w:rStyle w:val="NormalTok"/>
        </w:rPr>
        <w:t xml:space="preserve">zero_sum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 </w:t>
      </w:r>
      <w:r>
        <w:rPr>
          <w:rStyle w:val="CommentTok"/>
        </w:rPr>
        <w:t xml:space="preserve">#nomes das colunas zeradas</w:t>
      </w:r>
      <w:r>
        <w:br/>
      </w:r>
      <w:r>
        <w:rPr>
          <w:rStyle w:val="NormalTok"/>
        </w:rPr>
        <w:t xml:space="preserve">m_part_cols </w:t>
      </w:r>
      <w:r>
        <w:rPr>
          <w:rStyle w:val="OtherTok"/>
        </w:rPr>
        <w:t xml:space="preserve">&lt;-</w:t>
      </w:r>
      <w:r>
        <w:rPr>
          <w:rStyle w:val="NormalTok"/>
        </w:rPr>
        <w:t xml:space="preserve"> habitat[(</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#em != a exclamação inverte o sentido</w:t>
      </w:r>
      <w:r>
        <w:br/>
      </w:r>
      <w:r>
        <w:rPr>
          <w:rStyle w:val="NormalTok"/>
        </w:rPr>
        <w:t xml:space="preserve">zero_sum2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(m_part_cols)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zero_sum2 </w:t>
      </w:r>
      <w:r>
        <w:rPr>
          <w:rStyle w:val="CommentTok"/>
        </w:rPr>
        <w:t xml:space="preserve">#nomes das colunas zeradas</w:t>
      </w:r>
      <w:r>
        <w:br/>
      </w:r>
      <w:r>
        <w:br/>
      </w:r>
      <w:r>
        <w:rPr>
          <w:rStyle w:val="DocumentationTok"/>
        </w:rPr>
        <w:t xml:space="preserve">### recalcular soma das colunas depois de tirar as que estão zeradas</w:t>
      </w:r>
      <w:r>
        <w:br/>
      </w:r>
      <w:r>
        <w:rPr>
          <w:rStyle w:val="NormalTok"/>
        </w:rPr>
        <w:t xml:space="preserve">sum</w:t>
      </w:r>
      <w:r>
        <w:rPr>
          <w:rStyle w:val="OtherTok"/>
        </w:rPr>
        <w:t xml:space="preserve">&lt;-</w:t>
      </w:r>
      <w:r>
        <w:rPr>
          <w:rStyle w:val="FunctionTok"/>
        </w:rPr>
        <w:t xml:space="preserve">colSums</w:t>
      </w:r>
      <w:r>
        <w:rPr>
          <w:rStyle w:val="NormalTok"/>
        </w:rPr>
        <w:t xml:space="preserve">(m_part_cols)</w:t>
      </w:r>
      <w:r>
        <w:br/>
      </w:r>
      <w:r>
        <w:rPr>
          <w:rStyle w:val="NormalTok"/>
        </w:rPr>
        <w:t xml:space="preserve">sum</w:t>
      </w:r>
      <w:r>
        <w:br/>
      </w:r>
      <w:r>
        <w:br/>
      </w:r>
      <w:r>
        <w:rPr>
          <w:rStyle w:val="DocumentationTok"/>
        </w:rPr>
        <w:t xml:space="preserve">### importar matriz de grupos</w:t>
      </w:r>
      <w:r>
        <w:br/>
      </w:r>
      <w:r>
        <w:rPr>
          <w:rStyle w:val="NormalTok"/>
        </w:rPr>
        <w:t xml:space="preserve">t_grps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"grupos"</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t_grps</w:t>
      </w:r>
      <w:r>
        <w:br/>
      </w:r>
      <w:r>
        <w:br/>
      </w:r>
      <w:r>
        <w:rPr>
          <w:rStyle w:val="DocumentationTok"/>
        </w:rPr>
        <w:t xml:space="preserve">### salvar matriz de habitat filtrada</w:t>
      </w:r>
      <w:r>
        <w:br/>
      </w:r>
      <w:r>
        <w:rPr>
          <w:rStyle w:val="FunctionTok"/>
        </w:rPr>
        <w:t xml:space="preserve">write.table</w:t>
      </w:r>
      <w:r>
        <w:rPr>
          <w:rStyle w:val="NormalTok"/>
        </w:rPr>
        <w:t xml:space="preserve">(m_part_cols, </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br/>
      </w:r>
      <w:r>
        <w:rPr>
          <w:rStyle w:val="DocumentationTok"/>
        </w:rPr>
        <w:t xml:space="preserve">### salvar matriz de grupos</w:t>
      </w:r>
      <w:r>
        <w:br/>
      </w:r>
      <w:r>
        <w:rPr>
          <w:rStyle w:val="FunctionTok"/>
        </w:rPr>
        <w:t xml:space="preserve">write.table</w:t>
      </w:r>
      <w:r>
        <w:rPr>
          <w:rStyle w:val="NormalTok"/>
        </w:rPr>
        <w:t xml:space="preserve">(t_grps, </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br/>
      </w:r>
      <w:r>
        <w:rPr>
          <w:rStyle w:val="DocumentationTok"/>
        </w:rPr>
        <w:t xml:space="preserve">### reimportar matriz de grupos</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reimportar matriz de habitat</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correlograma</w:t>
      </w:r>
      <w:r>
        <w:br/>
      </w:r>
      <w:r>
        <w:rPr>
          <w:rStyle w:val="FunctionTok"/>
        </w:rPr>
        <w:t xml:space="preserve">library</w:t>
      </w:r>
      <w:r>
        <w:rPr>
          <w:rStyle w:val="NormalTok"/>
        </w:rPr>
        <w:t xml:space="preserve">(psych)</w:t>
      </w:r>
      <w:r>
        <w:br/>
      </w:r>
      <w:r>
        <w:rPr>
          <w:rStyle w:val="FunctionTok"/>
        </w:rPr>
        <w:t xml:space="preserve">colnames</w:t>
      </w:r>
      <w:r>
        <w:rPr>
          <w:rStyle w:val="NormalTok"/>
        </w:rPr>
        <w:t xml:space="preserve">(m_hab)</w:t>
      </w:r>
      <w:r>
        <w:br/>
      </w:r>
      <w:r>
        <w:rPr>
          <w:rStyle w:val="CommentTok"/>
        </w:rPr>
        <w:t xml:space="preserve">#png("fig-h.hab_pairs.png")</w:t>
      </w:r>
      <w:r>
        <w:br/>
      </w:r>
      <w:r>
        <w:rPr>
          <w:rStyle w:val="FunctionTok"/>
        </w:rPr>
        <w:t xml:space="preserve">pairs.panels</w:t>
      </w:r>
      <w:r>
        <w:rPr>
          <w:rStyle w:val="NormalTok"/>
        </w:rPr>
        <w:t xml:space="preserve">(m_hab[,</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calcular matriz de correlação</w:t>
      </w:r>
      <w:r>
        <w:br/>
      </w:r>
      <w:r>
        <w:rPr>
          <w:rStyle w:val="NormalTok"/>
        </w:rPr>
        <w:t xml:space="preserve">cor </w:t>
      </w:r>
      <w:r>
        <w:rPr>
          <w:rStyle w:val="OtherTok"/>
        </w:rPr>
        <w:t xml:space="preserve">&lt;-</w:t>
      </w:r>
      <w:r>
        <w:rPr>
          <w:rStyle w:val="NormalTok"/>
        </w:rPr>
        <w:t xml:space="preserve"> </w:t>
      </w:r>
      <w:r>
        <w:rPr>
          <w:rStyle w:val="FunctionTok"/>
        </w:rPr>
        <w:t xml:space="preserve">cor</w:t>
      </w:r>
      <w:r>
        <w:rPr>
          <w:rStyle w:val="NormalTok"/>
        </w:rPr>
        <w:t xml:space="preserve">(m_hab)</w:t>
      </w:r>
      <w:r>
        <w:br/>
      </w:r>
      <w:r>
        <w:rPr>
          <w:rStyle w:val="NormalTok"/>
        </w:rPr>
        <w:t xml:space="preserve">cor</w:t>
      </w:r>
      <w:r>
        <w:br/>
      </w:r>
      <w:r>
        <w:br/>
      </w:r>
      <w:r>
        <w:rPr>
          <w:rStyle w:val="DocumentationTok"/>
        </w:rPr>
        <w:t xml:space="preserve">### plotar correlograma</w:t>
      </w:r>
      <w:r>
        <w:br/>
      </w:r>
      <w:r>
        <w:rPr>
          <w:rStyle w:val="FunctionTok"/>
        </w:rPr>
        <w:t xml:space="preserve">library</w:t>
      </w:r>
      <w:r>
        <w:rPr>
          <w:rStyle w:val="NormalTok"/>
        </w:rPr>
        <w:t xml:space="preserve">(corrplot)</w:t>
      </w:r>
      <w:r>
        <w:br/>
      </w:r>
      <w:r>
        <w:rPr>
          <w:rStyle w:val="CommentTok"/>
        </w:rPr>
        <w:t xml:space="preserve">#png("fig-hab_corrplot.png")</w:t>
      </w:r>
      <w:r>
        <w:br/>
      </w:r>
      <w:r>
        <w:rPr>
          <w:rStyle w:val="FunctionTok"/>
        </w:rPr>
        <w:t xml:space="preserve">corrplot</w:t>
      </w:r>
      <w:r>
        <w:rPr>
          <w:rStyle w:val="NormalTok"/>
        </w:rPr>
        <w:t xml:space="preserve">(cor,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deletando colineares ou irrelevantes</w:t>
      </w:r>
      <w:r>
        <w:br/>
      </w:r>
      <w:r>
        <w:rPr>
          <w:rStyle w:val="DocumentationTok"/>
        </w:rPr>
        <w:t xml:space="preserve">### salvar saída das variáveis colineares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"colineares.txt"</w:t>
      </w:r>
      <w:r>
        <w:rPr>
          <w:rStyle w:val="NormalTok"/>
        </w:rPr>
        <w:t xml:space="preserve">, </w:t>
      </w:r>
      <w:r>
        <w:rPr>
          <w:rStyle w:val="AttributeTok"/>
        </w:rPr>
        <w:t xml:space="preserve">append =</w:t>
      </w:r>
      <w:r>
        <w:rPr>
          <w:rStyle w:val="NormalTok"/>
        </w:rPr>
        <w:t xml:space="preserve"> F, </w:t>
      </w:r>
      <w:r>
        <w:rPr>
          <w:rStyle w:val="AttributeTok"/>
        </w:rPr>
        <w:t xml:space="preserve">split =</w:t>
      </w:r>
      <w:r>
        <w:rPr>
          <w:rStyle w:val="NormalTok"/>
        </w:rPr>
        <w:t xml:space="preserve"> T)</w:t>
      </w:r>
      <w:r>
        <w:br/>
      </w:r>
      <w:r>
        <w:br/>
      </w:r>
      <w:r>
        <w:rPr>
          <w:rStyle w:val="DocumentationTok"/>
        </w:rPr>
        <w:t xml:space="preserve">### definir manualmente colunas a remover</w:t>
      </w:r>
      <w:r>
        <w:br/>
      </w:r>
      <w:r>
        <w:rPr>
          <w:rStyle w:val="FunctionTok"/>
        </w:rPr>
        <w:t xml:space="preserve">colnames</w:t>
      </w:r>
      <w:r>
        <w:rPr>
          <w:rStyle w:val="NormalTok"/>
        </w:rPr>
        <w:t xml:space="preserve">(m_hab)</w:t>
      </w:r>
      <w:r>
        <w:br/>
      </w:r>
      <w:r>
        <w:rPr>
          <w:rStyle w:val="NormalTok"/>
        </w:rPr>
        <w:t xml:space="preserve">del_cols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"w.Temp_C"</w:t>
      </w:r>
      <w:r>
        <w:rPr>
          <w:rStyle w:val="NormalTok"/>
        </w:rPr>
        <w:t xml:space="preserve">,</w:t>
      </w:r>
      <w:r>
        <w:br/>
      </w:r>
      <w:r>
        <w:rPr>
          <w:rStyle w:val="NormalTok"/>
        </w:rPr>
        <w:t xml:space="preserve">  </w:t>
      </w:r>
      <w:r>
        <w:rPr>
          <w:rStyle w:val="StringTok"/>
        </w:rPr>
        <w:t xml:space="preserve">"w.Cond_uS.cm"</w:t>
      </w:r>
      <w:r>
        <w:rPr>
          <w:rStyle w:val="NormalTok"/>
        </w:rPr>
        <w:t xml:space="preserve">,</w:t>
      </w:r>
      <w:r>
        <w:br/>
      </w:r>
      <w:r>
        <w:rPr>
          <w:rStyle w:val="NormalTok"/>
        </w:rPr>
        <w:t xml:space="preserve">  </w:t>
      </w:r>
      <w:r>
        <w:rPr>
          <w:rStyle w:val="StringTok"/>
        </w:rPr>
        <w:t xml:space="preserve">"w.pH"</w:t>
      </w:r>
      <w:r>
        <w:rPr>
          <w:rStyle w:val="NormalTok"/>
        </w:rPr>
        <w:t xml:space="preserve">,</w:t>
      </w:r>
      <w:r>
        <w:br/>
      </w:r>
      <w:r>
        <w:rPr>
          <w:rStyle w:val="NormalTok"/>
        </w:rPr>
        <w:t xml:space="preserve">  </w:t>
      </w:r>
      <w:r>
        <w:rPr>
          <w:rStyle w:val="StringTok"/>
        </w:rPr>
        <w:t xml:space="preserve">"m.Slope"</w:t>
      </w:r>
      <w:r>
        <w:rPr>
          <w:rStyle w:val="NormalTok"/>
        </w:rPr>
        <w:t xml:space="preserve">,</w:t>
      </w:r>
      <w:r>
        <w:br/>
      </w:r>
      <w:r>
        <w:rPr>
          <w:rStyle w:val="NormalTok"/>
        </w:rPr>
        <w:t xml:space="preserve">  </w:t>
      </w:r>
      <w:r>
        <w:rPr>
          <w:rStyle w:val="StringTok"/>
        </w:rPr>
        <w:t xml:space="preserve">"m.Depth_max_cm"</w:t>
      </w:r>
      <w:r>
        <w:rPr>
          <w:rStyle w:val="NormalTok"/>
        </w:rPr>
        <w:t xml:space="preserve">,</w:t>
      </w:r>
      <w:r>
        <w:br/>
      </w:r>
      <w:r>
        <w:rPr>
          <w:rStyle w:val="NormalTok"/>
        </w:rPr>
        <w:t xml:space="preserve">  </w:t>
      </w:r>
      <w:r>
        <w:rPr>
          <w:rStyle w:val="StringTok"/>
        </w:rPr>
        <w:t xml:space="preserve">"m.Depth_mar_cm"</w:t>
      </w:r>
      <w:r>
        <w:rPr>
          <w:rStyle w:val="NormalTok"/>
        </w:rPr>
        <w:t xml:space="preserve">,</w:t>
      </w:r>
      <w:r>
        <w:br/>
      </w:r>
      <w:r>
        <w:rPr>
          <w:rStyle w:val="NormalTok"/>
        </w:rPr>
        <w:t xml:space="preserve">  </w:t>
      </w:r>
      <w:r>
        <w:rPr>
          <w:rStyle w:val="StringTok"/>
        </w:rPr>
        <w:t xml:space="preserve">"s.Mud"</w:t>
      </w:r>
      <w:r>
        <w:rPr>
          <w:rStyle w:val="NormalTok"/>
        </w:rPr>
        <w:t xml:space="preserve">,</w:t>
      </w:r>
      <w:r>
        <w:br/>
      </w:r>
      <w:r>
        <w:rPr>
          <w:rStyle w:val="NormalTok"/>
        </w:rPr>
        <w:t xml:space="preserve">  </w:t>
      </w:r>
      <w:r>
        <w:rPr>
          <w:rStyle w:val="StringTok"/>
        </w:rPr>
        <w:t xml:space="preserve">"h.Subm_veg"</w:t>
      </w:r>
      <w:r>
        <w:rPr>
          <w:rStyle w:val="NormalTok"/>
        </w:rPr>
        <w:t xml:space="preserve">,</w:t>
      </w:r>
      <w:r>
        <w:br/>
      </w:r>
      <w:r>
        <w:rPr>
          <w:rStyle w:val="NormalTok"/>
        </w:rPr>
        <w:t xml:space="preserve">  </w:t>
      </w:r>
      <w:r>
        <w:rPr>
          <w:rStyle w:val="StringTok"/>
        </w:rPr>
        <w:t xml:space="preserve">"h.Leaf_l"</w:t>
      </w:r>
      <w:r>
        <w:rPr>
          <w:rStyle w:val="NormalTok"/>
        </w:rPr>
        <w:t xml:space="preserve">,</w:t>
      </w:r>
      <w:r>
        <w:br/>
      </w:r>
      <w:r>
        <w:rPr>
          <w:rStyle w:val="NormalTok"/>
        </w:rPr>
        <w:t xml:space="preserve">  </w:t>
      </w:r>
      <w:r>
        <w:rPr>
          <w:rStyle w:val="StringTok"/>
        </w:rPr>
        <w:t xml:space="preserve">"h.Algae_f"</w:t>
      </w:r>
      <w:r>
        <w:rPr>
          <w:rStyle w:val="NormalTok"/>
        </w:rPr>
        <w:t xml:space="preserve">,</w:t>
      </w:r>
      <w:r>
        <w:br/>
      </w:r>
      <w:r>
        <w:rPr>
          <w:rStyle w:val="NormalTok"/>
        </w:rPr>
        <w:t xml:space="preserve">  </w:t>
      </w:r>
      <w:r>
        <w:rPr>
          <w:rStyle w:val="StringTok"/>
        </w:rPr>
        <w:t xml:space="preserve">"h.Debris_l"</w:t>
      </w:r>
      <w:r>
        <w:rPr>
          <w:rStyle w:val="NormalTok"/>
        </w:rPr>
        <w:t xml:space="preserve">,</w:t>
      </w:r>
      <w:r>
        <w:br/>
      </w:r>
      <w:r>
        <w:rPr>
          <w:rStyle w:val="NormalTok"/>
        </w:rPr>
        <w:t xml:space="preserve">  </w:t>
      </w:r>
      <w:r>
        <w:rPr>
          <w:rStyle w:val="StringTok"/>
        </w:rPr>
        <w:t xml:space="preserve">"h.Debris_s"</w:t>
      </w:r>
      <w:r>
        <w:br/>
      </w:r>
      <w:r>
        <w:rPr>
          <w:rStyle w:val="NormalTok"/>
        </w:rPr>
        <w:t xml:space="preserve">)</w:t>
      </w:r>
      <w:r>
        <w:br/>
      </w:r>
      <w:r>
        <w:br/>
      </w:r>
      <w:r>
        <w:rPr>
          <w:rStyle w:val="DocumentationTok"/>
        </w:rPr>
        <w:t xml:space="preserve">### remover variáveis colineares</w:t>
      </w:r>
      <w:r>
        <w:br/>
      </w:r>
      <w:r>
        <w:rPr>
          <w:rStyle w:val="NormalTok"/>
        </w:rPr>
        <w:t xml:space="preserve">m_hab_part </w:t>
      </w:r>
      <w:r>
        <w:rPr>
          <w:rStyle w:val="OtherTok"/>
        </w:rPr>
        <w:t xml:space="preserve">&lt;-</w:t>
      </w:r>
      <w:r>
        <w:rPr>
          <w:rStyle w:val="NormalTok"/>
        </w:rPr>
        <w:t xml:space="preserve"> m_hab[, </w:t>
      </w:r>
      <w:r>
        <w:rPr>
          <w:rStyle w:val="SpecialCharTok"/>
        </w:rPr>
        <w:t xml:space="preserve">!</w:t>
      </w:r>
      <w:r>
        <w:rPr>
          <w:rStyle w:val="NormalTok"/>
        </w:rPr>
        <w:t xml:space="preserve">(</w:t>
      </w:r>
      <w:r>
        <w:rPr>
          <w:rStyle w:val="FunctionTok"/>
        </w:rPr>
        <w:t xml:space="preserve">colnames</w:t>
      </w:r>
      <w:r>
        <w:rPr>
          <w:rStyle w:val="NormalTok"/>
        </w:rPr>
        <w:t xml:space="preserve">(m_hab) </w:t>
      </w:r>
      <w:r>
        <w:rPr>
          <w:rStyle w:val="SpecialCharTok"/>
        </w:rPr>
        <w:t xml:space="preserve">%in%</w:t>
      </w:r>
      <w:r>
        <w:rPr>
          <w:rStyle w:val="NormalTok"/>
        </w:rPr>
        <w:t xml:space="preserve"> del_cols)]</w:t>
      </w:r>
      <w:r>
        <w:br/>
      </w:r>
      <w:r>
        <w:br/>
      </w:r>
      <w:r>
        <w:rPr>
          <w:rStyle w:val="DocumentationTok"/>
        </w:rPr>
        <w:t xml:space="preserve">### códigos para somar redundantes (não foi necessário)</w:t>
      </w:r>
      <w:r>
        <w:br/>
      </w:r>
      <w:r>
        <w:rPr>
          <w:rStyle w:val="CommentTok"/>
        </w:rPr>
        <w:t xml:space="preserve">#m_hab_part$s.gravel &lt;- m_hab_part$s.smlgrav + m_hab_part$s.lrggrav + m_hab_part$s.cobbles</w:t>
      </w:r>
      <w:r>
        <w:br/>
      </w:r>
      <w:r>
        <w:rPr>
          <w:rStyle w:val="CommentTok"/>
        </w:rPr>
        <w:t xml:space="preserve">#m_hab_part &lt;- m_hab_part[, !(colnames(m_hab_part)</w:t>
      </w:r>
      <w:r>
        <w:br/>
      </w:r>
      <w:r>
        <w:rPr>
          <w:rStyle w:val="CommentTok"/>
        </w:rPr>
        <w:t xml:space="preserve">#colnames(m_hab_part)</w:t>
      </w:r>
      <w:r>
        <w:br/>
      </w:r>
      <w:r>
        <w:rPr>
          <w:rStyle w:val="CommentTok"/>
        </w:rPr>
        <w:t xml:space="preserve">#m_hab_part</w:t>
      </w:r>
      <w:r>
        <w:br/>
      </w:r>
      <w:r>
        <w:rPr>
          <w:rStyle w:val="CommentTok"/>
        </w:rPr>
        <w:t xml:space="preserve">#sink()</w:t>
      </w:r>
      <w:r>
        <w:br/>
      </w:r>
      <w:r>
        <w:br/>
      </w:r>
      <w:r>
        <w:rPr>
          <w:rStyle w:val="DocumentationTok"/>
        </w:rPr>
        <w:t xml:space="preserve">### visualizar nomes das variáveis filtradas</w:t>
      </w:r>
      <w:r>
        <w:br/>
      </w:r>
      <w:r>
        <w:rPr>
          <w:rStyle w:val="FunctionTok"/>
        </w:rPr>
        <w:t xml:space="preserve">colnames</w:t>
      </w:r>
      <w:r>
        <w:rPr>
          <w:rStyle w:val="NormalTok"/>
        </w:rPr>
        <w:t xml:space="preserve">(m_hab_part)</w:t>
      </w:r>
      <w:r>
        <w:br/>
      </w:r>
      <w:r>
        <w:br/>
      </w:r>
      <w:r>
        <w:rPr>
          <w:rStyle w:val="DocumentationTok"/>
        </w:rPr>
        <w:t xml:space="preserve">######################################################################################</w:t>
      </w:r>
      <w:r>
        <w:br/>
      </w:r>
      <w:r>
        <w:rPr>
          <w:rStyle w:val="CommentTok"/>
        </w:rPr>
        <w:t xml:space="preserve">#                                                                                    #</w:t>
      </w:r>
      <w:r>
        <w:br/>
      </w:r>
      <w:r>
        <w:rPr>
          <w:rStyle w:val="CommentTok"/>
        </w:rPr>
        <w:t xml:space="preserve">#Eu removi as variáveis de profundidade porque elas estavam muito correlacionadas    #</w:t>
      </w:r>
      <w:r>
        <w:br/>
      </w:r>
      <w:r>
        <w:rPr>
          <w:rStyle w:val="CommentTok"/>
        </w:rPr>
        <w:t xml:space="preserve">#entre si (acima de 0,9), então basicamente estavam dizendo a mesma coisa.           #</w:t>
      </w:r>
      <w:r>
        <w:br/>
      </w:r>
      <w:r>
        <w:rPr>
          <w:rStyle w:val="CommentTok"/>
        </w:rPr>
        <w:t xml:space="preserve">#Pra evitar redundância, deixei só a profundidade média.                             #</w:t>
      </w:r>
      <w:r>
        <w:br/>
      </w:r>
      <w:r>
        <w:rPr>
          <w:rStyle w:val="CommentTok"/>
        </w:rPr>
        <w:t xml:space="preserve">#                                                                                    #</w:t>
      </w:r>
      <w:r>
        <w:br/>
      </w:r>
      <w:r>
        <w:rPr>
          <w:rStyle w:val="CommentTok"/>
        </w:rPr>
        <w:t xml:space="preserve">#No caso do substrato, eu preferi manter sand em vez de mud                          #</w:t>
      </w:r>
      <w:r>
        <w:br/>
      </w:r>
      <w:r>
        <w:rPr>
          <w:rStyle w:val="CommentTok"/>
        </w:rPr>
        <w:t xml:space="preserve">#porque sand junto com turb foi o que melhor explicou a separação                    #</w:t>
      </w:r>
      <w:r>
        <w:br/>
      </w:r>
      <w:r>
        <w:rPr>
          <w:rStyle w:val="CommentTok"/>
        </w:rPr>
        <w:t xml:space="preserve">#no ponto 10 que era o mais degradado (Tipo IV).                                     #</w:t>
      </w:r>
      <w:r>
        <w:br/>
      </w:r>
      <w:r>
        <w:rPr>
          <w:rStyle w:val="CommentTok"/>
        </w:rPr>
        <w:t xml:space="preserve">#                                                                                    #</w:t>
      </w:r>
      <w:r>
        <w:br/>
      </w:r>
      <w:r>
        <w:rPr>
          <w:rStyle w:val="CommentTok"/>
        </w:rPr>
        <w:t xml:space="preserve">#Já os pontos de referência (Tipo I) tinham mais variáveis influenciando,            #</w:t>
      </w:r>
      <w:r>
        <w:br/>
      </w:r>
      <w:r>
        <w:rPr>
          <w:rStyle w:val="CommentTok"/>
        </w:rPr>
        <w:t xml:space="preserve">#não era uma coisa tão concentrada.                                                  #</w:t>
      </w:r>
      <w:r>
        <w:br/>
      </w:r>
      <w:r>
        <w:rPr>
          <w:rStyle w:val="CommentTok"/>
        </w:rPr>
        <w:t xml:space="preserve">#                                                                                    #</w:t>
      </w:r>
      <w:r>
        <w:br/>
      </w:r>
      <w:r>
        <w:rPr>
          <w:rStyle w:val="CommentTok"/>
        </w:rPr>
        <w:t xml:space="preserve">#As outras variáveis acabaram tendo vetores bem curtos na PCA,                       # </w:t>
      </w:r>
      <w:r>
        <w:br/>
      </w:r>
      <w:r>
        <w:rPr>
          <w:rStyle w:val="CommentTok"/>
        </w:rPr>
        <w:t xml:space="preserve">#ou seja, contribuíam muito pouco pra explicar os padrões.                           #</w:t>
      </w:r>
      <w:r>
        <w:br/>
      </w:r>
      <w:r>
        <w:rPr>
          <w:rStyle w:val="CommentTok"/>
        </w:rPr>
        <w:t xml:space="preserve">#A maioria tinha contribuição abaixo de 0,5, então já não fazia muito                #</w:t>
      </w:r>
      <w:r>
        <w:br/>
      </w:r>
      <w:r>
        <w:rPr>
          <w:rStyle w:val="CommentTok"/>
        </w:rPr>
        <w:t xml:space="preserve">#sentido manter. Inclusive, várias dessas já tinham sido removidas antes             #</w:t>
      </w:r>
      <w:r>
        <w:br/>
      </w:r>
      <w:r>
        <w:rPr>
          <w:rStyle w:val="CommentTok"/>
        </w:rPr>
        <w:t xml:space="preserve"># no seu script por serem pouco relevantes ou redundantes.                           #</w:t>
      </w:r>
      <w:r>
        <w:br/>
      </w:r>
      <w:r>
        <w:rPr>
          <w:rStyle w:val="CommentTok"/>
        </w:rPr>
        <w:t xml:space="preserve">#                                                                                    #</w:t>
      </w:r>
      <w:r>
        <w:br/>
      </w:r>
      <w:r>
        <w:rPr>
          <w:rStyle w:val="DocumentationTok"/>
        </w:rPr>
        <w:t xml:space="preserve">######################################################################################</w:t>
      </w:r>
      <w:r>
        <w:br/>
      </w:r>
      <w:r>
        <w:br/>
      </w:r>
      <w:r>
        <w:rPr>
          <w:rStyle w:val="DocumentationTok"/>
        </w:rPr>
        <w:t xml:space="preserve">### transformação da matriz para fazer a PCA</w:t>
      </w:r>
      <w:r>
        <w:br/>
      </w:r>
      <w:r>
        <w:rPr>
          <w:rStyle w:val="DocumentationTok"/>
        </w:rPr>
        <w:t xml:space="preserve">### aplicar transformação raiz quadrada</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br/>
      </w:r>
      <w:r>
        <w:rPr>
          <w:rStyle w:val="DocumentationTok"/>
        </w:rPr>
        <w:t xml:space="preserve">### Fazendo a PCA</w:t>
      </w:r>
      <w:r>
        <w:br/>
      </w:r>
      <w:r>
        <w:rPr>
          <w:rStyle w:val="CommentTok"/>
        </w:rPr>
        <w:t xml:space="preserve">#install.packages("factoextra")</w:t>
      </w:r>
      <w:r>
        <w:br/>
      </w:r>
      <w:r>
        <w:rPr>
          <w:rStyle w:val="FunctionTok"/>
        </w:rPr>
        <w:t xml:space="preserve">library</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br/>
      </w:r>
      <w:r>
        <w:rPr>
          <w:rStyle w:val="DocumentationTok"/>
        </w:rPr>
        <w:t xml:space="preserve">### executar PCA</w:t>
      </w:r>
      <w:r>
        <w:br/>
      </w:r>
      <w:r>
        <w:rPr>
          <w:rStyle w:val="NormalTok"/>
        </w:rPr>
        <w:t xml:space="preserve">pca </w:t>
      </w:r>
      <w:r>
        <w:rPr>
          <w:rStyle w:val="OtherTok"/>
        </w:rPr>
        <w:t xml:space="preserve">&lt;-</w:t>
      </w:r>
      <w:r>
        <w:rPr>
          <w:rStyle w:val="NormalTok"/>
        </w:rPr>
        <w:t xml:space="preserve"> </w:t>
      </w:r>
      <w:r>
        <w:rPr>
          <w:rStyle w:val="FunctionTok"/>
        </w:rPr>
        <w:t xml:space="preserve">PCA</w:t>
      </w:r>
      <w:r>
        <w:rPr>
          <w:rStyle w:val="NormalTok"/>
        </w:rPr>
        <w:t xml:space="preserve">(m_hab_trns, </w:t>
      </w:r>
      <w:r>
        <w:rPr>
          <w:rStyle w:val="AttributeTok"/>
        </w:rPr>
        <w:t xml:space="preserve">scale.unit =</w:t>
      </w:r>
      <w:r>
        <w:rPr>
          <w:rStyle w:val="NormalTok"/>
        </w:rPr>
        <w:t xml:space="preserve"> </w:t>
      </w:r>
      <w:r>
        <w:rPr>
          <w:rStyle w:val="ConstantTok"/>
        </w:rPr>
        <w:t xml:space="preserve">TRUE</w:t>
      </w:r>
      <w:r>
        <w:rPr>
          <w:rStyle w:val="NormalTok"/>
        </w:rPr>
        <w:t xml:space="preserve">, </w:t>
      </w:r>
      <w:r>
        <w:rPr>
          <w:rStyle w:val="AttributeTok"/>
        </w:rPr>
        <w:t xml:space="preserve">ncp =</w:t>
      </w:r>
      <w:r>
        <w:rPr>
          <w:rStyle w:val="NormalTok"/>
        </w:rPr>
        <w:t xml:space="preserve"> </w:t>
      </w:r>
      <w:r>
        <w:rPr>
          <w:rStyle w:val="DecValTok"/>
        </w:rPr>
        <w:t xml:space="preserve">5</w:t>
      </w:r>
      <w:r>
        <w:rPr>
          <w:rStyle w:val="NormalTok"/>
        </w:rPr>
        <w:t xml:space="preserve">, </w:t>
      </w:r>
      <w:r>
        <w:rPr>
          <w:rStyle w:val="AttributeTok"/>
        </w:rPr>
        <w:t xml:space="preserve">graph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(pca)</w:t>
      </w:r>
      <w:r>
        <w:br/>
      </w:r>
      <w:r>
        <w:br/>
      </w:r>
      <w:r>
        <w:rPr>
          <w:rStyle w:val="DocumentationTok"/>
        </w:rPr>
        <w:t xml:space="preserve">### extrair autovalores</w:t>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eig.val</w:t>
      </w:r>
      <w:r>
        <w:br/>
      </w:r>
      <w:r>
        <w:br/>
      </w:r>
      <w:r>
        <w:rPr>
          <w:rStyle w:val="DocumentationTok"/>
        </w:rPr>
        <w:t xml:space="preserve">### salvar correlação das variáveis com os eixos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"pca_cor_matrix.txt"</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cor</w:t>
      </w:r>
      <w:r>
        <w:br/>
      </w:r>
      <w:r>
        <w:rPr>
          <w:rStyle w:val="FunctionTok"/>
        </w:rPr>
        <w:t xml:space="preserve">sink</w:t>
      </w:r>
      <w:r>
        <w:rPr>
          <w:rStyle w:val="NormalTok"/>
        </w:rPr>
        <w:t xml:space="preserve">()</w:t>
      </w:r>
      <w:r>
        <w:br/>
      </w:r>
      <w:r>
        <w:br/>
      </w:r>
      <w:r>
        <w:rPr>
          <w:rStyle w:val="DocumentationTok"/>
        </w:rPr>
        <w:t xml:space="preserve">### gráfico de variância explicada</w:t>
      </w:r>
      <w:r>
        <w:br/>
      </w:r>
      <w:r>
        <w:rPr>
          <w:rStyle w:val="FunctionTok"/>
        </w:rPr>
        <w:t xml:space="preserve">fviz_eig</w:t>
      </w:r>
      <w:r>
        <w:rPr>
          <w:rStyle w:val="NormalTok"/>
        </w:rPr>
        <w:t xml:space="preserve">(pca, </w:t>
      </w:r>
      <w:r>
        <w:rPr>
          <w:rStyle w:val="AttributeTok"/>
        </w:rPr>
        <w:t xml:space="preserve">addlabels =</w:t>
      </w:r>
      <w:r>
        <w:rPr>
          <w:rStyle w:val="NormalTok"/>
        </w:rPr>
        <w:t xml:space="preserve"> </w:t>
      </w:r>
      <w:r>
        <w:rPr>
          <w:rStyle w:val="ConstantTok"/>
        </w:rPr>
        <w:t xml:space="preserve">TRUE</w:t>
      </w:r>
      <w:r>
        <w:rPr>
          <w:rStyle w:val="NormalTok"/>
        </w:rPr>
        <w:t xml:space="preserve">)</w:t>
      </w:r>
      <w:r>
        <w:br/>
      </w:r>
      <w:r>
        <w:br/>
      </w:r>
      <w:r>
        <w:rPr>
          <w:rStyle w:val="DocumentationTok"/>
        </w:rPr>
        <w:t xml:space="preserve">### extrair variáveis da PCA</w:t>
      </w:r>
      <w:r>
        <w:br/>
      </w:r>
      <w:r>
        <w:rPr>
          <w:rStyle w:val="NormalTok"/>
        </w:rPr>
        <w:t xml:space="preserve">var </w:t>
      </w:r>
      <w:r>
        <w:rPr>
          <w:rStyle w:val="OtherTok"/>
        </w:rPr>
        <w:t xml:space="preserve">&lt;-</w:t>
      </w:r>
      <w:r>
        <w:rPr>
          <w:rStyle w:val="NormalTok"/>
        </w:rPr>
        <w:t xml:space="preserve"> </w:t>
      </w:r>
      <w:r>
        <w:rPr>
          <w:rStyle w:val="FunctionTok"/>
        </w:rPr>
        <w:t xml:space="preserve">get_pca_var</w:t>
      </w:r>
      <w:r>
        <w:rPr>
          <w:rStyle w:val="NormalTok"/>
        </w:rPr>
        <w:t xml:space="preserve">(pca)</w:t>
      </w:r>
      <w:r>
        <w:br/>
      </w:r>
      <w:r>
        <w:rPr>
          <w:rStyle w:val="NormalTok"/>
        </w:rPr>
        <w:t xml:space="preserve">var</w:t>
      </w:r>
      <w:r>
        <w:br/>
      </w:r>
      <w:r>
        <w:br/>
      </w:r>
      <w:r>
        <w:rPr>
          <w:rStyle w:val="DocumentationTok"/>
        </w:rPr>
        <w:t xml:space="preserve">### plot das variáveis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"black"</w:t>
      </w:r>
      <w:r>
        <w:rPr>
          <w:rStyle w:val="NormalTok"/>
        </w:rPr>
        <w:t xml:space="preserve">)</w:t>
      </w:r>
      <w:r>
        <w:br/>
      </w:r>
      <w:r>
        <w:br/>
      </w:r>
      <w:r>
        <w:rPr>
          <w:rStyle w:val="DocumentationTok"/>
        </w:rPr>
        <w:t xml:space="preserve">### visualizar cos2</w:t>
      </w:r>
      <w:r>
        <w:br/>
      </w:r>
      <w:r>
        <w:rPr>
          <w:rStyle w:val="FunctionTok"/>
        </w:rPr>
        <w:t xml:space="preserve">library</w:t>
      </w:r>
      <w:r>
        <w:rPr>
          <w:rStyle w:val="NormalTok"/>
        </w:rPr>
        <w:t xml:space="preserve">(</w:t>
      </w:r>
      <w:r>
        <w:rPr>
          <w:rStyle w:val="StringTok"/>
        </w:rPr>
        <w:t xml:space="preserve">"corrplot"</w:t>
      </w:r>
      <w:r>
        <w:rPr>
          <w:rStyle w:val="NormalTok"/>
        </w:rPr>
        <w:t xml:space="preserve">)</w:t>
      </w:r>
      <w:r>
        <w:br/>
      </w:r>
      <w:r>
        <w:rPr>
          <w:rStyle w:val="FunctionTok"/>
        </w:rPr>
        <w:t xml:space="preserve">corrplot</w:t>
      </w:r>
      <w:r>
        <w:rPr>
          <w:rStyle w:val="NormalTok"/>
        </w:rPr>
        <w:t xml:space="preserve">(var</w:t>
      </w:r>
      <w:r>
        <w:rPr>
          <w:rStyle w:val="SpecialCharTok"/>
        </w:rPr>
        <w:t xml:space="preserve">$</w:t>
      </w:r>
      <w:r>
        <w:rPr>
          <w:rStyle w:val="NormalTok"/>
        </w:rPr>
        <w:t xml:space="preserve">cos2, </w:t>
      </w:r>
      <w:r>
        <w:rPr>
          <w:rStyle w:val="AttributeTok"/>
        </w:rPr>
        <w:t xml:space="preserve">is.corr=</w:t>
      </w:r>
      <w:r>
        <w:rPr>
          <w:rStyle w:val="ConstantTok"/>
        </w:rPr>
        <w:t xml:space="preserve">FALSE</w:t>
      </w:r>
      <w:r>
        <w:rPr>
          <w:rStyle w:val="NormalTok"/>
        </w:rPr>
        <w:t xml:space="preserve">)</w:t>
      </w:r>
      <w:r>
        <w:br/>
      </w:r>
      <w:r>
        <w:br/>
      </w:r>
      <w:r>
        <w:rPr>
          <w:rStyle w:val="DocumentationTok"/>
        </w:rPr>
        <w:t xml:space="preserve">### gráfico cos2</w:t>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DocumentationTok"/>
        </w:rPr>
        <w:t xml:space="preserve">### plot com cores por cos2</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rPr>
          <w:rStyle w:val="DocumentationTok"/>
        </w:rPr>
        <w:t xml:space="preserve">### transparência por cos2</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"cos2"</w:t>
      </w:r>
      <w:r>
        <w:rPr>
          <w:rStyle w:val="NormalTok"/>
        </w:rPr>
        <w:t xml:space="preserve">)</w:t>
      </w:r>
      <w:r>
        <w:br/>
      </w:r>
      <w:r>
        <w:rPr>
          <w:rStyle w:val="DocumentationTok"/>
        </w:rPr>
        <w:t xml:space="preserve">### contribuição das variáveis</w:t>
      </w:r>
      <w:r>
        <w:br/>
      </w:r>
      <w:r>
        <w:rPr>
          <w:rStyle w:val="FunctionTok"/>
        </w:rPr>
        <w:t xml:space="preserve">corrplot</w:t>
      </w:r>
      <w:r>
        <w:rPr>
          <w:rStyle w:val="NormalTok"/>
        </w:rPr>
        <w:t xml:space="preserve">(var</w:t>
      </w:r>
      <w:r>
        <w:rPr>
          <w:rStyle w:val="SpecialCharTok"/>
        </w:rPr>
        <w:t xml:space="preserve">$</w:t>
      </w:r>
      <w:r>
        <w:rPr>
          <w:rStyle w:val="NormalTok"/>
        </w:rPr>
        <w:t xml:space="preserve">contrib, </w:t>
      </w:r>
      <w:r>
        <w:rPr>
          <w:rStyle w:val="AttributeTok"/>
        </w:rPr>
        <w:t xml:space="preserve">is.corr=</w:t>
      </w:r>
      <w:r>
        <w:rPr>
          <w:rStyle w:val="ConstantTok"/>
        </w:rPr>
        <w:t xml:space="preserve">FALSE</w:t>
      </w:r>
      <w:r>
        <w:rPr>
          <w:rStyle w:val="NormalTok"/>
        </w:rPr>
        <w:t xml:space="preserve">)</w:t>
      </w:r>
      <w:r>
        <w:br/>
      </w:r>
      <w:r>
        <w:br/>
      </w:r>
      <w:r>
        <w:rPr>
          <w:rStyle w:val="DocumentationTok"/>
        </w:rPr>
        <w:t xml:space="preserve">### variáveis mais importantes</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DocumentationTok"/>
        </w:rPr>
        <w:t xml:space="preserve">### plot por contribuição</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"contrib"</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w:t>
      </w:r>
      <w:r>
        <w:br/>
      </w:r>
      <w:r>
        <w:rPr>
          <w:rStyle w:val="DocumentationTok"/>
        </w:rPr>
        <w:t xml:space="preserve">### transparência por contribuição</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"contrib"</w:t>
      </w:r>
      <w:r>
        <w:rPr>
          <w:rStyle w:val="NormalTok"/>
        </w:rPr>
        <w:t xml:space="preserve">)</w:t>
      </w:r>
      <w:r>
        <w:br/>
      </w:r>
      <w:r>
        <w:br/>
      </w:r>
      <w:r>
        <w:rPr>
          <w:rStyle w:val="DocumentationTok"/>
        </w:rPr>
        <w:t xml:space="preserve">### clusterização das variáveis</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res.km </w:t>
      </w:r>
      <w:r>
        <w:rPr>
          <w:rStyle w:val="OtherTok"/>
        </w:rPr>
        <w:t xml:space="preserve">&lt;-</w:t>
      </w:r>
      <w:r>
        <w:rPr>
          <w:rStyle w:val="NormalTok"/>
        </w:rPr>
        <w:t xml:space="preserve"> </w:t>
      </w:r>
      <w:r>
        <w:rPr>
          <w:rStyle w:val="FunctionTok"/>
        </w:rPr>
        <w:t xml:space="preserve">kmeans</w:t>
      </w:r>
      <w:r>
        <w:rPr>
          <w:rStyle w:val="NormalTok"/>
        </w:rPr>
        <w:t xml:space="preserve">(var</w:t>
      </w:r>
      <w:r>
        <w:rPr>
          <w:rStyle w:val="SpecialCharTok"/>
        </w:rPr>
        <w:t xml:space="preserve">$</w:t>
      </w:r>
      <w:r>
        <w:rPr>
          <w:rStyle w:val="NormalTok"/>
        </w:rPr>
        <w:t xml:space="preserve">coord,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rPr>
          <w:rStyle w:val="NormalTok"/>
        </w:rPr>
        <w:t xml:space="preserve">grp </w:t>
      </w:r>
      <w:r>
        <w:rPr>
          <w:rStyle w:val="OtherTok"/>
        </w:rPr>
        <w:t xml:space="preserve">&lt;-</w:t>
      </w:r>
      <w:r>
        <w:rPr>
          <w:rStyle w:val="NormalTok"/>
        </w:rPr>
        <w:t xml:space="preserve"> </w:t>
      </w:r>
      <w:r>
        <w:rPr>
          <w:rStyle w:val="FunctionTok"/>
        </w:rPr>
        <w:t xml:space="preserve">as.factor</w:t>
      </w:r>
      <w:r>
        <w:rPr>
          <w:rStyle w:val="NormalTok"/>
        </w:rPr>
        <w:t xml:space="preserve">(res.km</w:t>
      </w:r>
      <w:r>
        <w:rPr>
          <w:rStyle w:val="SpecialCharTok"/>
        </w:rPr>
        <w:t xml:space="preserve">$</w:t>
      </w:r>
      <w:r>
        <w:rPr>
          <w:rStyle w:val="NormalTok"/>
        </w:rPr>
        <w:t xml:space="preserve">cluster)</w:t>
      </w:r>
      <w:r>
        <w:br/>
      </w:r>
      <w:r>
        <w:br/>
      </w:r>
      <w:r>
        <w:rPr>
          <w:rStyle w:val="DocumentationTok"/>
        </w:rPr>
        <w:t xml:space="preserve">### plot com clusters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grp,</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"#0073C2FF"</w:t>
      </w:r>
      <w:r>
        <w:rPr>
          <w:rStyle w:val="NormalTok"/>
        </w:rPr>
        <w:t xml:space="preserve">, </w:t>
      </w:r>
      <w:r>
        <w:rPr>
          <w:rStyle w:val="StringTok"/>
        </w:rPr>
        <w:t xml:space="preserve">"#EFC000FF"</w:t>
      </w:r>
      <w:r>
        <w:rPr>
          <w:rStyle w:val="NormalTok"/>
        </w:rPr>
        <w:t xml:space="preserve">, </w:t>
      </w:r>
      <w:r>
        <w:rPr>
          <w:rStyle w:val="StringTok"/>
        </w:rPr>
        <w:t xml:space="preserve">"#868686FF"</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"Cluster"</w:t>
      </w:r>
      <w:r>
        <w:rPr>
          <w:rStyle w:val="NormalTok"/>
        </w:rPr>
        <w:t xml:space="preserve">)</w:t>
      </w:r>
      <w:r>
        <w:br/>
      </w:r>
      <w:r>
        <w:br/>
      </w:r>
      <w:r>
        <w:rPr>
          <w:rStyle w:val="DocumentationTok"/>
        </w:rPr>
        <w:t xml:space="preserve">### extrair os habitats</w:t>
      </w:r>
      <w:r>
        <w:br/>
      </w:r>
      <w:r>
        <w:rPr>
          <w:rStyle w:val="NormalTok"/>
        </w:rPr>
        <w:t xml:space="preserve">ind </w:t>
      </w:r>
      <w:r>
        <w:rPr>
          <w:rStyle w:val="OtherTok"/>
        </w:rPr>
        <w:t xml:space="preserve">&lt;-</w:t>
      </w:r>
      <w:r>
        <w:rPr>
          <w:rStyle w:val="NormalTok"/>
        </w:rPr>
        <w:t xml:space="preserve"> </w:t>
      </w:r>
      <w:r>
        <w:rPr>
          <w:rStyle w:val="FunctionTok"/>
        </w:rPr>
        <w:t xml:space="preserve">get_pca_ind</w:t>
      </w:r>
      <w:r>
        <w:rPr>
          <w:rStyle w:val="NormalTok"/>
        </w:rPr>
        <w:t xml:space="preserve">(pca)</w:t>
      </w:r>
      <w:r>
        <w:br/>
      </w:r>
      <w:r>
        <w:rPr>
          <w:rStyle w:val="NormalTok"/>
        </w:rPr>
        <w:t xml:space="preserve">ind</w:t>
      </w:r>
      <w:r>
        <w:br/>
      </w:r>
      <w:r>
        <w:rPr>
          <w:rStyle w:val="NormalTok"/>
        </w:rPr>
        <w:t xml:space="preserve">ind</w:t>
      </w:r>
      <w:r>
        <w:rPr>
          <w:rStyle w:val="SpecialCharTok"/>
        </w:rPr>
        <w:t xml:space="preserve">$</w:t>
      </w:r>
      <w:r>
        <w:rPr>
          <w:rStyle w:val="NormalTok"/>
        </w:rPr>
        <w:t xml:space="preserve">contrib</w:t>
      </w:r>
      <w:r>
        <w:br/>
      </w:r>
      <w:r>
        <w:br/>
      </w:r>
      <w:r>
        <w:rPr>
          <w:rStyle w:val="DocumentationTok"/>
        </w:rPr>
        <w:t xml:space="preserve">### gráficos com os habitats</w:t>
      </w:r>
      <w:r>
        <w:br/>
      </w:r>
      <w:r>
        <w:rPr>
          <w:rStyle w:val="FunctionTok"/>
        </w:rPr>
        <w:t xml:space="preserve">fviz_pca_ind</w:t>
      </w:r>
      <w:r>
        <w:rPr>
          <w:rStyle w:val="NormalTok"/>
        </w:rPr>
        <w:t xml:space="preserve">(pca)</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pointshape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"#E7B800"</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DocumentationTok"/>
        </w:rPr>
        <w:t xml:space="preserve">### qualidade de cada habitat</w:t>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w:t>
      </w:r>
      <w:r>
        <w:br/>
      </w:r>
      <w:r>
        <w:br/>
      </w:r>
      <w:r>
        <w:rPr>
          <w:rStyle w:val="DocumentationTok"/>
        </w:rPr>
        <w:t xml:space="preserve">### contribuição de cada habitat</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DocumentationTok"/>
        </w:rPr>
        <w:t xml:space="preserve">### variável de agrupamento</w:t>
      </w:r>
      <w:r>
        <w:br/>
      </w:r>
      <w:r>
        <w:rPr>
          <w:rStyle w:val="FunctionTok"/>
        </w:rPr>
        <w:t xml:space="preserve">nrow</w:t>
      </w:r>
      <w:r>
        <w:rPr>
          <w:rStyle w:val="NormalTok"/>
        </w:rPr>
        <w:t xml:space="preserve">(m_hab_part)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my.cont.var </w:t>
      </w:r>
      <w:r>
        <w:rPr>
          <w:rStyle w:val="OtherTok"/>
        </w:rPr>
        <w:t xml:space="preserve">&lt;-</w:t>
      </w:r>
      <w:r>
        <w:rPr>
          <w:rStyle w:val="NormalTok"/>
        </w:rPr>
        <w:t xml:space="preserve"> t_grps</w:t>
      </w:r>
      <w:r>
        <w:rPr>
          <w:rStyle w:val="SpecialCharTok"/>
        </w:rPr>
        <w:t xml:space="preserve">$</w:t>
      </w:r>
      <w:r>
        <w:rPr>
          <w:rStyle w:val="NormalTok"/>
        </w:rPr>
        <w:t xml:space="preserve">Ref_site</w:t>
      </w:r>
      <w:r>
        <w:br/>
      </w:r>
      <w:r>
        <w:rPr>
          <w:rStyle w:val="NormalTok"/>
        </w:rPr>
        <w:t xml:space="preserve">my.cont.var</w:t>
      </w:r>
      <w:r>
        <w:br/>
      </w:r>
      <w:r>
        <w:br/>
      </w:r>
      <w:r>
        <w:rPr>
          <w:rStyle w:val="DocumentationTok"/>
        </w:rPr>
        <w:t xml:space="preserve">### plot por grupo</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br/>
      </w:r>
      <w:r>
        <w:rPr>
          <w:rStyle w:val="DocumentationTok"/>
        </w:rPr>
        <w:t xml:space="preserve">### plot com elipses</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(my.cont.var),</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br/>
      </w:r>
      <w:r>
        <w:rPr>
          <w:rStyle w:val="NormalTok"/>
        </w:rPr>
        <w:t xml:space="preserve">)</w:t>
      </w:r>
      <w:r>
        <w:br/>
      </w:r>
      <w:r>
        <w:br/>
      </w:r>
      <w:r>
        <w:rPr>
          <w:rStyle w:val="DocumentationTok"/>
        </w:rPr>
        <w:t xml:space="preserve">### número de grupos</w:t>
      </w:r>
      <w:r>
        <w:br/>
      </w:r>
      <w:r>
        <w:rPr>
          <w:rStyle w:val="FunctionTok"/>
        </w:rPr>
        <w:t xml:space="preserve">length</w:t>
      </w:r>
      <w:r>
        <w:rPr>
          <w:rStyle w:val="NormalTok"/>
        </w:rPr>
        <w:t xml:space="preserve">(</w:t>
      </w:r>
      <w:r>
        <w:rPr>
          <w:rStyle w:val="FunctionTok"/>
        </w:rPr>
        <w:t xml:space="preserve">unique</w:t>
      </w:r>
      <w:r>
        <w:rPr>
          <w:rStyle w:val="NormalTok"/>
        </w:rPr>
        <w:t xml:space="preserve">(my.cont.var))</w:t>
      </w:r>
      <w:r>
        <w:br/>
      </w:r>
      <w:r>
        <w:br/>
      </w:r>
      <w:r>
        <w:rPr>
          <w:rStyle w:val="DocumentationTok"/>
        </w:rPr>
        <w:t xml:space="preserve">### elipses de confiança</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mean.point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rPr>
          <w:rStyle w:val="NormalTok"/>
        </w:rPr>
        <w:t xml:space="preserve">)</w:t>
      </w:r>
      <w:r>
        <w:br/>
      </w:r>
      <w:r>
        <w:br/>
      </w:r>
      <w:r>
        <w:rPr>
          <w:rStyle w:val="DocumentationTok"/>
        </w:rPr>
        <w:t xml:space="preserve">### biplots</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"#2E9FDF"</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"#696969"</w:t>
      </w:r>
      <w:r>
        <w:br/>
      </w:r>
      <w:r>
        <w:rPr>
          <w:rStyle w:val="NormalTok"/>
        </w:rPr>
        <w:t xml:space="preserve">)</w:t>
      </w:r>
      <w:r>
        <w:br/>
      </w:r>
      <w:r>
        <w:br/>
      </w:r>
      <w:r>
        <w:rPr>
          <w:rStyle w:val="FunctionTok"/>
        </w:rPr>
        <w:t xml:space="preserve">fviz_pca_biplot</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elipse.type =</w:t>
      </w:r>
      <w:r>
        <w:rPr>
          <w:rStyle w:val="NormalTok"/>
        </w:rPr>
        <w:t xml:space="preserve"> </w:t>
      </w:r>
      <w:r>
        <w:rPr>
          <w:rStyle w:val="StringTok"/>
        </w:rPr>
        <w:t xml:space="preserve">"euclid"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"var"</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"black"</w:t>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"Species"</w:t>
      </w:r>
      <w:r>
        <w:rPr>
          <w:rStyle w:val="NormalTok"/>
        </w:rPr>
        <w:t xml:space="preserve">)</w:t>
      </w:r>
      <w:r>
        <w:br/>
      </w:r>
      <w:r>
        <w:br/>
      </w:r>
      <w:r>
        <w:rPr>
          <w:rStyle w:val="DocumentationTok"/>
        </w:rPr>
        <w:t xml:space="preserve">### GRAFICO FINAL</w:t>
      </w:r>
      <w:r>
        <w:br/>
      </w:r>
      <w:r>
        <w:rPr>
          <w:rStyle w:val="DocumentationTok"/>
        </w:rPr>
        <w:t xml:space="preserve">### biplot final</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br/>
      </w:r>
      <w:r>
        <w:rPr>
          <w:rStyle w:val="NormalTok"/>
        </w:rPr>
        <w:t xml:space="preserve">)</w:t>
      </w:r>
      <w:r>
        <w:br/>
      </w:r>
      <w:r>
        <w:br/>
      </w:r>
      <w:r>
        <w:rPr>
          <w:rStyle w:val="FunctionTok"/>
        </w:rPr>
        <w:t xml:space="preserve">library</w:t>
      </w:r>
      <w:r>
        <w:rPr>
          <w:rStyle w:val="NormalTok"/>
        </w:rPr>
        <w:t xml:space="preserve">(factoextra)</w:t>
      </w:r>
      <w:r>
        <w:br/>
      </w:r>
      <w:r>
        <w:rPr>
          <w:rStyle w:val="FunctionTok"/>
        </w:rPr>
        <w:t xml:space="preserve">library</w:t>
      </w:r>
      <w:r>
        <w:rPr>
          <w:rStyle w:val="NormalTok"/>
        </w:rPr>
        <w:t xml:space="preserve">(ggplot2)</w:t>
      </w:r>
      <w:r>
        <w:br/>
      </w:r>
      <w:r>
        <w:br/>
      </w:r>
      <w:r>
        <w:rPr>
          <w:rStyle w:val="DocumentationTok"/>
        </w:rPr>
        <w:t xml:space="preserve">### garantir variável como fator</w:t>
      </w:r>
      <w:r>
        <w:br/>
      </w:r>
      <w:r>
        <w:rPr>
          <w:rStyle w:val="NormalTok"/>
        </w:rPr>
        <w:t xml:space="preserve">t_grps</w:t>
      </w:r>
      <w:r>
        <w:rPr>
          <w:rStyle w:val="SpecialCharTok"/>
        </w:rPr>
        <w:t xml:space="preserve">$</w:t>
      </w:r>
      <w:r>
        <w:rPr>
          <w:rStyle w:val="NormalTok"/>
        </w:rPr>
        <w:t xml:space="preserve">Ref_site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br/>
      </w:r>
      <w:r>
        <w:rPr>
          <w:rStyle w:val="DocumentationTok"/>
        </w:rPr>
        <w:t xml:space="preserve">### biplot com pontos e texto</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"point"</w:t>
      </w:r>
      <w:r>
        <w:rPr>
          <w:rStyle w:val="NormalTok"/>
        </w:rPr>
        <w:t xml:space="preserve">, </w:t>
      </w:r>
      <w:r>
        <w:rPr>
          <w:rStyle w:val="StringTok"/>
        </w:rPr>
        <w:t xml:space="preserve">"text"</w:t>
      </w:r>
      <w:r>
        <w:rPr>
          <w:rStyle w:val="NormalTok"/>
        </w:rPr>
        <w:t xml:space="preserve">))</w:t>
      </w:r>
      <w:r>
        <w:br/>
      </w:r>
      <w:r>
        <w:br/>
      </w:r>
      <w:r>
        <w:rPr>
          <w:rStyle w:val="DocumentationTok"/>
        </w:rPr>
        <w:t xml:space="preserve">### FILTRANDO VETORES PRINCIPAIS</w:t>
      </w:r>
      <w:r>
        <w:br/>
      </w:r>
      <w:r>
        <w:rPr>
          <w:rStyle w:val="DocumentationTok"/>
        </w:rPr>
        <w:t xml:space="preserve">### selecionar variáveis mais importantes</w:t>
      </w:r>
      <w:r>
        <w:br/>
      </w:r>
      <w:r>
        <w:rPr>
          <w:rStyle w:val="NormalTok"/>
        </w:rPr>
        <w:t xml:space="preserve">var_coord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keep_vars </w:t>
      </w:r>
      <w:r>
        <w:rPr>
          <w:rStyle w:val="OtherTok"/>
        </w:rPr>
        <w:t xml:space="preserve">&lt;-</w:t>
      </w:r>
      <w:r>
        <w:rPr>
          <w:rStyle w:val="NormalTok"/>
        </w:rPr>
        <w:t xml:space="preserve"> </w:t>
      </w:r>
      <w:r>
        <w:rPr>
          <w:rStyle w:val="FunctionTok"/>
        </w:rPr>
        <w:t xml:space="preserve">apply</w:t>
      </w:r>
      <w:r>
        <w:rPr>
          <w:rStyle w:val="NormalTok"/>
        </w:rPr>
        <w:t xml:space="preserve">(</w:t>
      </w:r>
      <w:r>
        <w:rPr>
          <w:rStyle w:val="FunctionTok"/>
        </w:rPr>
        <w:t xml:space="preserve">abs</w:t>
      </w:r>
      <w:r>
        <w:rPr>
          <w:rStyle w:val="NormalTok"/>
        </w:rPr>
        <w:t xml:space="preserve">(var_coord) </w:t>
      </w:r>
      <w:r>
        <w:rPr>
          <w:rStyle w:val="SpecialCharTok"/>
        </w:rPr>
        <w:t xml:space="preserve">&gt;</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any)</w:t>
      </w:r>
      <w:r>
        <w:br/>
      </w:r>
      <w:r>
        <w:rPr>
          <w:rStyle w:val="NormalTok"/>
        </w:rPr>
        <w:t xml:space="preserve">keep_vars</w:t>
      </w:r>
      <w:r>
        <w:br/>
      </w:r>
      <w:r>
        <w:rPr>
          <w:rStyle w:val="NormalTok"/>
        </w:rPr>
        <w:t xml:space="preserve">vars_to_keep </w:t>
      </w:r>
      <w:r>
        <w:rPr>
          <w:rStyle w:val="OtherTok"/>
        </w:rPr>
        <w:t xml:space="preserve">&lt;-</w:t>
      </w:r>
      <w:r>
        <w:rPr>
          <w:rStyle w:val="NormalTok"/>
        </w:rPr>
        <w:t xml:space="preserve"> </w:t>
      </w:r>
      <w:r>
        <w:rPr>
          <w:rStyle w:val="FunctionTok"/>
        </w:rPr>
        <w:t xml:space="preserve">rownames</w:t>
      </w:r>
      <w:r>
        <w:rPr>
          <w:rStyle w:val="NormalTok"/>
        </w:rPr>
        <w:t xml:space="preserve">(var_coord)[keep_vars]</w:t>
      </w:r>
      <w:r>
        <w:br/>
      </w:r>
      <w:r>
        <w:rPr>
          <w:rStyle w:val="NormalTok"/>
        </w:rPr>
        <w:t xml:space="preserve">vars_to_keep</w:t>
      </w:r>
      <w:r>
        <w:br/>
      </w:r>
      <w:r>
        <w:br/>
      </w:r>
      <w:r>
        <w:rPr>
          <w:rStyle w:val="DocumentationTok"/>
        </w:rPr>
        <w:t xml:space="preserve">### criar PCA filtrada</w:t>
      </w:r>
      <w:r>
        <w:br/>
      </w:r>
      <w:r>
        <w:rPr>
          <w:rStyle w:val="NormalTok"/>
        </w:rPr>
        <w:t xml:space="preserve">pca_filt </w:t>
      </w:r>
      <w:r>
        <w:rPr>
          <w:rStyle w:val="OtherTok"/>
        </w:rPr>
        <w:t xml:space="preserve">&lt;-</w:t>
      </w:r>
      <w:r>
        <w:rPr>
          <w:rStyle w:val="NormalTok"/>
        </w:rPr>
        <w:t xml:space="preserve"> pca</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cos2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cos2[vars_to_keep,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br/>
      </w:r>
      <w:r>
        <w:rPr>
          <w:rStyle w:val="DocumentationTok"/>
        </w:rPr>
        <w:t xml:space="preserve">### biplot final filtrado</w:t>
      </w:r>
      <w:r>
        <w:br/>
      </w:r>
      <w:r>
        <w:rPr>
          <w:rStyle w:val="FunctionTok"/>
        </w:rPr>
        <w:t xml:space="preserve">library</w:t>
      </w:r>
      <w:r>
        <w:rPr>
          <w:rStyle w:val="NormalTok"/>
        </w:rPr>
        <w:t xml:space="preserve">(ggrepel)</w:t>
      </w:r>
      <w:r>
        <w:br/>
      </w:r>
      <w:r>
        <w:rPr>
          <w:rStyle w:val="CommentTok"/>
        </w:rPr>
        <w:t xml:space="preserve">#png("fig-hab_PCA_fviz.png", width = 11, height = 9, units = "in", res = 400)</w:t>
      </w:r>
      <w:r>
        <w:br/>
      </w:r>
      <w:r>
        <w:rPr>
          <w:rStyle w:val="FunctionTok"/>
        </w:rPr>
        <w:t xml:space="preserve">fviz_pca_biplot</w:t>
      </w:r>
      <w:r>
        <w:rPr>
          <w:rStyle w:val="NormalTok"/>
        </w:rPr>
        <w:t xml:space="preserve">(pca_filt,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repel.var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"text"</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Ref_site),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FunctionTok"/>
        </w:rPr>
        <w:t xml:space="preserve">dev.off</w:t>
      </w:r>
      <w:r>
        <w:rPr>
          <w:rStyle w:val="NormalTok"/>
        </w:rPr>
        <w:t xml:space="preserve">()</w:t>
      </w:r>
    </w:p>
    <w:p>
      <w:pPr>
        <w:pStyle w:val="FirstParagraph"/>
      </w:pPr>
      <w:r>
        <w:rPr>
          <w:b/>
          <w:bCs/>
        </w:rPr>
        <w:t xml:space="preserve">Fish community.</w:t>
      </w:r>
      <w:r>
        <w:t xml:space="preserve"> </w:t>
      </w:r>
      <w:r>
        <w:t xml:space="preserve">A total of 422 individuals were collected. Fish were distributed among 6 species, 2 families, and a single order Characiformes. Among the families recorded, Characidae was the richest with 5 species, Astyanax bimaculatus, Astyanax fasciatus, Hemigrammus marginatus, Hemigrammus rodwayi, and Hemigrammus unilineatus, while Crenuchidae was represented by only 1 species, Characidium bimaculatum, with a single specimen collected. The most abundant species were Hemigrammus unilineatus (45.2% of the individuals colleted). Other abundant species were Hemigrammus rodwayi (23.7%) and Hemigrammus marginatus (18.2%), establishing Hemigrammus as the dominant genus in the study area. Regarding their spatial distribution, only 1 species (H. unilineatus) was present at the sites located inside the Reserva Biológica Guaribas, whereas all 6 species were recorded in the surrounding areas. Out of the total collected fish, 118 specimens were submitted to the rhodamine B accumulation assay (MXR), 78 were used for total plasmatic protein dosage and moisture content quantification, and 226 individuals died prior to the physiological procedures</w:t>
      </w:r>
      <w:r>
        <w:t xml:space="preserve"> </w:t>
      </w:r>
      <w:hyperlink w:anchor="tbl-abund">
        <w:r>
          <w:rPr>
            <w:rStyle w:val="Hyperlink"/>
          </w:rPr>
          <w:t xml:space="preserve">Table 1</w:t>
        </w:r>
      </w:hyperlink>
      <w:r>
        <w:t xml:space="preserve">.</w:t>
      </w:r>
    </w:p>
    <w:p>
      <w:pPr>
        <w:pStyle w:val="Corpodetexto"/>
      </w:pPr>
      <w:r>
        <w:rPr>
          <w:b/>
          <w:bCs/>
        </w:rPr>
        <w:t xml:space="preserve">Plasmatic protein dosage.</w:t>
      </w:r>
      <w:r>
        <w:t xml:space="preserve"> </w:t>
      </w:r>
      <w:r>
        <w:t xml:space="preserve">The average plasmatic protein concentration, parameter that is positively correlated to environmental stress, was of 32,2 mg in the sampling sites within the Reserva Biológica Guaribas (n = 18 plasma samples) and 80,1 mg in the outside sites (n=26), revealing an almost 150% higher concentration in the sites with greater human influence. The total number of plasmatic protein dosages (n=44) was smaller than the total number of collected fish for this part of the analysis (n=78) because of the difficulty on collecting blood from smaller specimens, in addition to the need to collect a minimum amount of plasma required by the Bradford method. After checking the non-normality of variance of the total protein data, a non parametric Kruskal-Wallis test confirmed the existence of statistically significant difference (p-value&lt;0,005) between the data collected from fish inside and outside the Conservative Unity (</w:t>
      </w:r>
      <w:hyperlink w:anchor="fig-boxtpinandout">
        <w:r>
          <w:rPr>
            <w:rStyle w:val="Hyperlink"/>
          </w:rPr>
          <w:t xml:space="preserve">Figure 4</w:t>
        </w:r>
      </w:hyperlink>
      <w:r>
        <w:t xml:space="preserve">).</w:t>
      </w:r>
    </w:p>
    <w:p>
      <w:pPr>
        <w:pStyle w:val="SourceCode"/>
      </w:pPr>
      <w:r>
        <w:rPr>
          <w:rStyle w:val="FunctionTok"/>
        </w:rPr>
        <w:t xml:space="preserve">library</w:t>
      </w:r>
      <w:r>
        <w:rPr>
          <w:rStyle w:val="NormalTok"/>
        </w:rPr>
        <w:t xml:space="preserve">(readxl) </w:t>
      </w:r>
      <w:r>
        <w:br/>
      </w:r>
      <w:r>
        <w:rPr>
          <w:rStyle w:val="FunctionTok"/>
        </w:rPr>
        <w:t xml:space="preserve">library</w:t>
      </w:r>
      <w:r>
        <w:rPr>
          <w:rStyle w:val="NormalTok"/>
        </w:rPr>
        <w:t xml:space="preserve">(gplots) </w:t>
      </w:r>
      <w:r>
        <w:br/>
      </w:r>
      <w:r>
        <w:rPr>
          <w:rStyle w:val="FunctionTok"/>
        </w:rPr>
        <w:t xml:space="preserve">library</w:t>
      </w:r>
      <w:r>
        <w:rPr>
          <w:rStyle w:val="NormalTok"/>
        </w:rPr>
        <w:t xml:space="preserve">(agricolae)</w:t>
      </w:r>
      <w:r>
        <w:br/>
      </w:r>
      <w:r>
        <w:rPr>
          <w:rStyle w:val="FunctionTok"/>
        </w:rPr>
        <w:t xml:space="preserve">library</w:t>
      </w:r>
      <w:r>
        <w:rPr>
          <w:rStyle w:val="NormalTok"/>
        </w:rPr>
        <w:t xml:space="preserve">(sciplot)</w:t>
      </w:r>
      <w:r>
        <w:br/>
      </w:r>
      <w:r>
        <w:rPr>
          <w:rStyle w:val="FunctionTok"/>
        </w:rPr>
        <w:t xml:space="preserve">library</w:t>
      </w:r>
      <w:r>
        <w:rPr>
          <w:rStyle w:val="NormalTok"/>
        </w:rPr>
        <w:t xml:space="preserve">(PMCMRplus)</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(scales)</w:t>
      </w:r>
      <w:r>
        <w:br/>
      </w:r>
      <w:r>
        <w:rPr>
          <w:rStyle w:val="FunctionTok"/>
        </w:rPr>
        <w:t xml:space="preserve">library</w:t>
      </w:r>
      <w:r>
        <w:rPr>
          <w:rStyle w:val="NormalTok"/>
        </w:rPr>
        <w:t xml:space="preserve">(visreg)</w:t>
      </w:r>
      <w:r>
        <w:br/>
      </w:r>
      <w:r>
        <w:rPr>
          <w:rStyle w:val="FunctionTok"/>
        </w:rPr>
        <w:t xml:space="preserve">citation</w:t>
      </w:r>
      <w:r>
        <w:rPr>
          <w:rStyle w:val="NormalTok"/>
        </w:rPr>
        <w:t xml:space="preserve">()</w:t>
      </w:r>
      <w:r>
        <w:br/>
      </w:r>
      <w:r>
        <w:rPr>
          <w:rStyle w:val="FunctionTok"/>
        </w:rPr>
        <w:t xml:space="preserve">dir</w:t>
      </w:r>
      <w:r>
        <w:rPr>
          <w:rStyle w:val="NormalTok"/>
        </w:rPr>
        <w:t xml:space="preserve">()</w:t>
      </w:r>
      <w:r>
        <w:br/>
      </w:r>
      <w:r>
        <w:rPr>
          <w:rStyle w:val="FunctionTok"/>
        </w:rPr>
        <w:t xml:space="preserve">setwd</w:t>
      </w:r>
      <w:r>
        <w:rPr>
          <w:rStyle w:val="NormalTok"/>
        </w:rPr>
        <w:t xml:space="preserve">(</w:t>
      </w:r>
      <w:r>
        <w:rPr>
          <w:rStyle w:val="StringTok"/>
        </w:rPr>
        <w:t xml:space="preserve">"D:/mxr23_Q"</w:t>
      </w:r>
      <w:r>
        <w:rPr>
          <w:rStyle w:val="NormalTok"/>
        </w:rPr>
        <w:t xml:space="preserve">)</w:t>
      </w:r>
      <w:r>
        <w:br/>
      </w:r>
      <w:r>
        <w:rPr>
          <w:rStyle w:val="NormalTok"/>
        </w:rPr>
        <w:t xml:space="preserve">tcc</w:t>
      </w:r>
      <w:r>
        <w:rPr>
          <w:rStyle w:val="OtherTok"/>
        </w:rPr>
        <w:t xml:space="preserve">=</w:t>
      </w:r>
      <w:r>
        <w:rPr>
          <w:rStyle w:val="FunctionTok"/>
        </w:rPr>
        <w:t xml:space="preserve">read.csv</w:t>
      </w:r>
      <w:r>
        <w:rPr>
          <w:rStyle w:val="NormalTok"/>
        </w:rPr>
        <w:t xml:space="preserve">(</w:t>
      </w:r>
      <w:r>
        <w:rPr>
          <w:rStyle w:val="StringTok"/>
        </w:rPr>
        <w:t xml:space="preserve">"Dados_TCC.csv"</w:t>
      </w:r>
      <w:r>
        <w:rPr>
          <w:rStyle w:val="NormalTok"/>
        </w:rPr>
        <w:t xml:space="preserve">, </w:t>
      </w:r>
      <w:r>
        <w:rPr>
          <w:rStyle w:val="AttributeTok"/>
        </w:rPr>
        <w:t xml:space="preserve">h=</w:t>
      </w:r>
      <w:r>
        <w:rPr>
          <w:rStyle w:val="NormalTok"/>
        </w:rPr>
        <w:t xml:space="preserve">T, </w:t>
      </w:r>
      <w:r>
        <w:rPr>
          <w:rStyle w:val="AttributeTok"/>
        </w:rPr>
        <w:t xml:space="preserve">stringsAsFactors =</w:t>
      </w:r>
      <w:r>
        <w:rPr>
          <w:rStyle w:val="NormalTok"/>
        </w:rPr>
        <w:t xml:space="preserve"> T, </w:t>
      </w:r>
      <w:r>
        <w:rPr>
          <w:rStyle w:val="AttributeTok"/>
        </w:rPr>
        <w:t xml:space="preserve">dec=</w:t>
      </w:r>
      <w:r>
        <w:rPr>
          <w:rStyle w:val="StringTok"/>
        </w:rPr>
        <w:t xml:space="preserve">","</w:t>
      </w:r>
      <w:r>
        <w:rPr>
          <w:rStyle w:val="NormalTok"/>
        </w:rPr>
        <w:t xml:space="preserve">) </w:t>
      </w:r>
      <w:r>
        <w:br/>
      </w:r>
      <w:r>
        <w:rPr>
          <w:rStyle w:val="CommentTok"/>
        </w:rPr>
        <w:t xml:space="preserve">#TP</w:t>
      </w:r>
      <w:r>
        <w:br/>
      </w:r>
      <w:r>
        <w:rPr>
          <w:rStyle w:val="FunctionTok"/>
        </w:rPr>
        <w:t xml:space="preserve">hist</w:t>
      </w:r>
      <w:r>
        <w:rPr>
          <w:rStyle w:val="NormalTok"/>
        </w:rPr>
        <w:t xml:space="preserve">(tcc</w:t>
      </w:r>
      <w:r>
        <w:rPr>
          <w:rStyle w:val="SpecialCharTok"/>
        </w:rPr>
        <w:t xml:space="preserve">$</w:t>
      </w:r>
      <w:r>
        <w:rPr>
          <w:rStyle w:val="NormalTok"/>
        </w:rPr>
        <w:t xml:space="preserve">TP,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TP,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 um pouco</w:t>
      </w:r>
      <w:r>
        <w:br/>
      </w:r>
      <w:r>
        <w:rPr>
          <w:rStyle w:val="FunctionTok"/>
        </w:rPr>
        <w:t xml:space="preserve">shapiro.test</w:t>
      </w:r>
      <w:r>
        <w:rPr>
          <w:rStyle w:val="NormalTok"/>
        </w:rPr>
        <w:t xml:space="preserve">(tcc</w:t>
      </w:r>
      <w:r>
        <w:rPr>
          <w:rStyle w:val="SpecialCharTok"/>
        </w:rPr>
        <w:t xml:space="preserve">$</w:t>
      </w:r>
      <w:r>
        <w:rPr>
          <w:rStyle w:val="NormalTok"/>
        </w:rPr>
        <w:t xml:space="preserve">TP) </w:t>
      </w:r>
      <w:r>
        <w:rPr>
          <w:rStyle w:val="CommentTok"/>
        </w:rPr>
        <w:t xml:space="preserve">#0,001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#0,000001765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#0,00000002328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15</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Proteins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"(p-value=0,00000002328)"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subsequent ANOVA test confirmed the uniformity of values from the sites inside the reserve (all grouped as</w:t>
      </w:r>
      <w:r>
        <w:t xml:space="preserve"> </w:t>
      </w:r>
      <w:r>
        <w:t xml:space="preserve">“a”</w:t>
      </w:r>
      <w:r>
        <w:t xml:space="preserve">), differently from the outside sites (</w:t>
      </w:r>
      <w:hyperlink w:anchor="fig-boxtpsites">
        <w:r>
          <w:rPr>
            <w:rStyle w:val="Hyperlink"/>
          </w:rPr>
          <w:t xml:space="preserve">Figure 5</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#0,00000000000002783 = diferença</w:t>
      </w:r>
      <w:r>
        <w:br/>
      </w:r>
      <w:r>
        <w:rPr>
          <w:rStyle w:val="NormalTok"/>
        </w:rPr>
        <w:t xml:space="preserve">(</w:t>
      </w:r>
      <w:r>
        <w:rPr>
          <w:rStyle w:val="AttributeTok"/>
        </w:rPr>
        <w:t xml:space="preserve">tkPT=</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#a,a,a,c,b,bc #dentro e fora muito mais isolados</w:t>
      </w:r>
      <w:r>
        <w:br/>
      </w:r>
      <w:r>
        <w:rPr>
          <w:rStyle w:val="NormalTok"/>
        </w:rPr>
        <w:t xml:space="preserve"> </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20</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TP,tcc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34</w:t>
      </w:r>
      <w:r>
        <w:rPr>
          <w:rStyle w:val="NormalTok"/>
        </w:rPr>
        <w:t xml:space="preserve">,</w:t>
      </w:r>
      <w:r>
        <w:rPr>
          <w:rStyle w:val="FloatTok"/>
        </w:rPr>
        <w:t xml:space="preserve">35.2</w:t>
      </w:r>
      <w:r>
        <w:rPr>
          <w:rStyle w:val="NormalTok"/>
        </w:rPr>
        <w:t xml:space="preserve">,</w:t>
      </w:r>
      <w:r>
        <w:rPr>
          <w:rStyle w:val="FloatTok"/>
        </w:rPr>
        <w:t xml:space="preserve">35.6</w:t>
      </w:r>
      <w:r>
        <w:rPr>
          <w:rStyle w:val="NormalTok"/>
        </w:rPr>
        <w:t xml:space="preserve">,</w:t>
      </w:r>
      <w:r>
        <w:rPr>
          <w:rStyle w:val="DecValTok"/>
        </w:rPr>
        <w:t xml:space="preserve">98</w:t>
      </w:r>
      <w:r>
        <w:rPr>
          <w:rStyle w:val="NormalTok"/>
        </w:rPr>
        <w:t xml:space="preserve">,</w:t>
      </w:r>
      <w:r>
        <w:rPr>
          <w:rStyle w:val="DecValTok"/>
        </w:rPr>
        <w:t xml:space="preserve">98</w:t>
      </w:r>
      <w:r>
        <w:rPr>
          <w:rStyle w:val="NormalTok"/>
        </w:rPr>
        <w:t xml:space="preserve">,</w:t>
      </w:r>
      <w:r>
        <w:rPr>
          <w:rStyle w:val="FloatTok"/>
        </w:rPr>
        <w:t xml:space="preserve">87.7</w:t>
      </w:r>
      <w:r>
        <w:rPr>
          <w:rStyle w:val="NormalTok"/>
        </w:rPr>
        <w:t xml:space="preserve">)</w:t>
      </w:r>
      <w:r>
        <w:rPr>
          <w:rStyle w:val="SpecialCharTok"/>
        </w:rPr>
        <w:t xml:space="preserve">+</w:t>
      </w:r>
      <w:r>
        <w:rPr>
          <w:rStyle w:val="DecValTok"/>
        </w:rPr>
        <w:t xml:space="preserve">7</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"c"</w:t>
      </w:r>
      <w:r>
        <w:rPr>
          <w:rStyle w:val="NormalTok"/>
        </w:rPr>
        <w:t xml:space="preserve">,</w:t>
      </w:r>
      <w:r>
        <w:rPr>
          <w:rStyle w:val="StringTok"/>
        </w:rPr>
        <w:t xml:space="preserve">"b"</w:t>
      </w:r>
      <w:r>
        <w:rPr>
          <w:rStyle w:val="NormalTok"/>
        </w:rPr>
        <w:t xml:space="preserve">,</w:t>
      </w:r>
      <w:r>
        <w:rPr>
          <w:rStyle w:val="StringTok"/>
        </w:rPr>
        <w:t xml:space="preserve">"bc"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increase of total plasmatic protein concentration in the animals exposed to pollution is consistent with the</w:t>
      </w:r>
      <w:r>
        <w:t xml:space="preserve"> </w:t>
      </w:r>
      <w:r>
        <w:t xml:space="preserve">(Sabae &amp; Mohamed, 2015)</w:t>
      </w:r>
      <w:r>
        <w:t xml:space="preserve"> </w:t>
      </w:r>
      <w:r>
        <w:t xml:space="preserve">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w:t>
      </w:r>
    </w:p>
    <w:p>
      <w:pPr>
        <w:pStyle w:val="Corpodetexto"/>
      </w:pPr>
      <w:r>
        <w:rPr>
          <w:b/>
          <w:bCs/>
        </w:rPr>
        <w:t xml:space="preserve">Moisture content.</w:t>
      </w:r>
      <w:r>
        <w:t xml:space="preserve"> </w:t>
      </w:r>
      <w:r>
        <w:t xml:space="preserve">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However, through T test (gills, which data had normal variation) and Kruskal-Wallis test (muscle, with non-normal variation data), it was detected statistical difference for both tissues between fish from the sampling sites inside and outside the Guaribas (</w:t>
      </w:r>
      <w:hyperlink w:anchor="fig-mcsites">
        <w:r>
          <w:rPr>
            <w:rStyle w:val="Hyperlink"/>
          </w:rPr>
          <w:t xml:space="preserve">Figure 6</w:t>
        </w:r>
      </w:hyperlink>
      <w:r>
        <w:t xml:space="preserve">).</w:t>
      </w:r>
    </w:p>
    <w:p>
      <w:pPr>
        <w:pStyle w:val="SourceCode"/>
      </w:pPr>
      <w:r>
        <w:rPr>
          <w:rStyle w:val="CommentTok"/>
        </w:rPr>
        <w:t xml:space="preserve">#TH_B = GMC</w:t>
      </w:r>
      <w:r>
        <w:br/>
      </w:r>
      <w:r>
        <w:rPr>
          <w:rStyle w:val="FunctionTok"/>
        </w:rPr>
        <w:t xml:space="preserve">hist</w:t>
      </w:r>
      <w:r>
        <w:rPr>
          <w:rStyle w:val="NormalTok"/>
        </w:rPr>
        <w:t xml:space="preserve">(tcc</w:t>
      </w:r>
      <w:r>
        <w:rPr>
          <w:rStyle w:val="SpecialCharTok"/>
        </w:rPr>
        <w:t xml:space="preserve">$</w:t>
      </w:r>
      <w:r>
        <w:rPr>
          <w:rStyle w:val="NormalTok"/>
        </w:rPr>
        <w:t xml:space="preserve">GMC,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GMC,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#quase</w:t>
      </w:r>
      <w:r>
        <w:br/>
      </w:r>
      <w:r>
        <w:rPr>
          <w:rStyle w:val="FunctionTok"/>
        </w:rPr>
        <w:t xml:space="preserve">shapiro.test</w:t>
      </w:r>
      <w:r>
        <w:rPr>
          <w:rStyle w:val="NormalTok"/>
        </w:rPr>
        <w:t xml:space="preserve">(tcc</w:t>
      </w:r>
      <w:r>
        <w:rPr>
          <w:rStyle w:val="SpecialCharTok"/>
        </w:rPr>
        <w:t xml:space="preserve">$</w:t>
      </w:r>
      <w:r>
        <w:rPr>
          <w:rStyle w:val="NormalTok"/>
        </w:rPr>
        <w:t xml:space="preserve">GMC) </w:t>
      </w:r>
      <w:r>
        <w:rPr>
          <w:rStyle w:val="CommentTok"/>
        </w:rPr>
        <w:t xml:space="preserve">#0,06 = normal</w:t>
      </w:r>
      <w:r>
        <w:br/>
      </w:r>
      <w:r>
        <w:rPr>
          <w:rStyle w:val="FunctionTok"/>
        </w:rPr>
        <w:t xml:space="preserve">bartlett.test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#0,7455 = homo ###teste t</w:t>
      </w:r>
      <w:r>
        <w:br/>
      </w:r>
      <w:r>
        <w:rPr>
          <w:rStyle w:val="FunctionTok"/>
        </w:rPr>
        <w:t xml:space="preserve">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#0,002728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"p-value=0,002728"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r>
        <w:br/>
      </w:r>
      <w:r>
        <w:br/>
      </w:r>
      <w:r>
        <w:rPr>
          <w:rStyle w:val="CommentTok"/>
        </w:rPr>
        <w:t xml:space="preserve">#MMC</w:t>
      </w:r>
      <w:r>
        <w:br/>
      </w:r>
      <w:r>
        <w:rPr>
          <w:rStyle w:val="FunctionTok"/>
        </w:rPr>
        <w:t xml:space="preserve">hist</w:t>
      </w:r>
      <w:r>
        <w:rPr>
          <w:rStyle w:val="NormalTok"/>
        </w:rPr>
        <w:t xml:space="preserve">(tcc</w:t>
      </w:r>
      <w:r>
        <w:rPr>
          <w:rStyle w:val="SpecialCharTok"/>
        </w:rPr>
        <w:t xml:space="preserve">$</w:t>
      </w:r>
      <w:r>
        <w:rPr>
          <w:rStyle w:val="NormalTok"/>
        </w:rPr>
        <w:t xml:space="preserve">MMC,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w:t>
      </w:r>
      <w:r>
        <w:br/>
      </w:r>
      <w:r>
        <w:rPr>
          <w:rStyle w:val="FunctionTok"/>
        </w:rPr>
        <w:t xml:space="preserve">shapiro.test</w:t>
      </w:r>
      <w:r>
        <w:rPr>
          <w:rStyle w:val="NormalTok"/>
        </w:rPr>
        <w:t xml:space="preserve">(tcc</w:t>
      </w:r>
      <w:r>
        <w:rPr>
          <w:rStyle w:val="SpecialCharTok"/>
        </w:rPr>
        <w:t xml:space="preserve">$</w:t>
      </w:r>
      <w:r>
        <w:rPr>
          <w:rStyle w:val="NormalTok"/>
        </w:rPr>
        <w:t xml:space="preserve">MMC) </w:t>
      </w:r>
      <w:r>
        <w:rPr>
          <w:rStyle w:val="CommentTok"/>
        </w:rPr>
        <w:t xml:space="preserve">#0,002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#0,047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#0,000004813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"Muscle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"p-value=0,000004813"</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ANOVA test demonstrated similarity between data from sites inside REBIO Guaribas (P5, P6 and P7) and P8, and a lesser similarity with P9, that was also close to P10 (</w:t>
      </w:r>
      <w:hyperlink w:anchor="fig-boxmmcsites">
        <w:r>
          <w:rPr>
            <w:rStyle w:val="Hyperlink"/>
          </w:rPr>
          <w:t xml:space="preserve">Figure 7</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#0,0000004971 = diferença</w:t>
      </w:r>
      <w:r>
        <w:br/>
      </w:r>
      <w:r>
        <w:rPr>
          <w:rStyle w:val="NormalTok"/>
        </w:rPr>
        <w:t xml:space="preserve">(</w:t>
      </w:r>
      <w:r>
        <w:rPr>
          <w:rStyle w:val="AttributeTok"/>
        </w:rPr>
        <w:t xml:space="preserve">tkTHB=</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#a,a,ab,a,bc,c ##P8 próximo aos de dentro, p9 e p10 mais isolados</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GMC,tcc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FloatTok"/>
        </w:rPr>
        <w:t xml:space="preserve">91.3</w:t>
      </w:r>
      <w:r>
        <w:rPr>
          <w:rStyle w:val="NormalTok"/>
        </w:rPr>
        <w:t xml:space="preserve">,</w:t>
      </w:r>
      <w:r>
        <w:rPr>
          <w:rStyle w:val="FloatTok"/>
        </w:rPr>
        <w:t xml:space="preserve">94.3</w:t>
      </w:r>
      <w:r>
        <w:rPr>
          <w:rStyle w:val="NormalTok"/>
        </w:rPr>
        <w:t xml:space="preserve">,</w:t>
      </w:r>
      <w:r>
        <w:rPr>
          <w:rStyle w:val="FloatTok"/>
        </w:rPr>
        <w:t xml:space="preserve">98.1</w:t>
      </w:r>
      <w:r>
        <w:rPr>
          <w:rStyle w:val="NormalTok"/>
        </w:rPr>
        <w:t xml:space="preserve">,</w:t>
      </w:r>
      <w:r>
        <w:rPr>
          <w:rStyle w:val="FloatTok"/>
        </w:rPr>
        <w:t xml:space="preserve">89.1</w:t>
      </w:r>
      <w:r>
        <w:rPr>
          <w:rStyle w:val="NormalTok"/>
        </w:rPr>
        <w:t xml:space="preserve">,</w:t>
      </w:r>
      <w:r>
        <w:rPr>
          <w:rStyle w:val="FloatTok"/>
        </w:rPr>
        <w:t xml:space="preserve">97.1</w:t>
      </w:r>
      <w:r>
        <w:rPr>
          <w:rStyle w:val="NormalTok"/>
        </w:rPr>
        <w:t xml:space="preserve">,</w:t>
      </w:r>
      <w:r>
        <w:rPr>
          <w:rStyle w:val="FloatTok"/>
        </w:rPr>
        <w:t xml:space="preserve">97.9</w:t>
      </w:r>
      <w:r>
        <w:rPr>
          <w:rStyle w:val="NormalTok"/>
        </w:rPr>
        <w:t xml:space="preserve">)</w:t>
      </w:r>
      <w:r>
        <w:rPr>
          <w:rStyle w:val="SpecialCharTok"/>
        </w:rPr>
        <w:t xml:space="preserve">+</w:t>
      </w:r>
      <w:r>
        <w:rPr>
          <w:rStyle w:val="DecValTok"/>
        </w:rPr>
        <w:t xml:space="preserve">3</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"ab"</w:t>
      </w:r>
      <w:r>
        <w:rPr>
          <w:rStyle w:val="NormalTok"/>
        </w:rPr>
        <w:t xml:space="preserve">,</w:t>
      </w:r>
      <w:r>
        <w:rPr>
          <w:rStyle w:val="StringTok"/>
        </w:rPr>
        <w:t xml:space="preserve">"a"</w:t>
      </w:r>
      <w:r>
        <w:rPr>
          <w:rStyle w:val="NormalTok"/>
        </w:rPr>
        <w:t xml:space="preserve">,</w:t>
      </w:r>
      <w:r>
        <w:rPr>
          <w:rStyle w:val="StringTok"/>
        </w:rPr>
        <w:t xml:space="preserve">"bc"</w:t>
      </w:r>
      <w:r>
        <w:rPr>
          <w:rStyle w:val="NormalTok"/>
        </w:rPr>
        <w:t xml:space="preserve">,</w:t>
      </w:r>
      <w:r>
        <w:rPr>
          <w:rStyle w:val="StringTok"/>
        </w:rPr>
        <w:t xml:space="preserve">"c"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w:t>
      </w:r>
    </w:p>
    <w:p>
      <w:pPr>
        <w:pStyle w:val="Corpodetexto"/>
      </w:pPr>
      <w:r>
        <w:rPr>
          <w:b/>
          <w:bCs/>
        </w:rPr>
        <w:t xml:space="preserve">MXR phenotype activity.</w:t>
      </w:r>
      <w:r>
        <w:t xml:space="preserve"> </w:t>
      </w:r>
      <w:r>
        <w:t xml:space="preserve">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w:t>
      </w:r>
      <w:r>
        <w:t xml:space="preserve"> </w:t>
      </w:r>
      <w:r>
        <w:t xml:space="preserve">Kurelec et al. (2000)</w:t>
      </w:r>
      <w:r>
        <w:t xml:space="preserve">.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w:t>
      </w:r>
      <w:r>
        <w:t xml:space="preserve"> </w:t>
      </w:r>
      <w:r>
        <w:t xml:space="preserve">(Smital et al., 2004)</w:t>
      </w:r>
      <w:r>
        <w:t xml:space="preserve"> </w:t>
      </w:r>
      <w:r>
        <w:t xml:space="preserve">Despite the unexpected result, the variance difference between data from the MXR phenotype activity inside and outside the REBIO Guaribas (confirmed by the Kruskal-Wallis test and illustrated in (</w:t>
      </w:r>
      <w:hyperlink w:anchor="fig-fluorescence">
        <w:r>
          <w:rPr>
            <w:rStyle w:val="Hyperlink"/>
          </w:rPr>
          <w:t xml:space="preserve">Figure 8</w:t>
        </w:r>
      </w:hyperlink>
      <w:r>
        <w:t xml:space="preserve">)</w:t>
      </w:r>
    </w:p>
    <w:p>
      <w:pPr>
        <w:pStyle w:val="SourceCode"/>
      </w:pPr>
      <w:r>
        <w:rPr>
          <w:rStyle w:val="CommentTok"/>
        </w:rPr>
        <w:t xml:space="preserve">#MXR</w:t>
      </w:r>
      <w:r>
        <w:br/>
      </w:r>
      <w:r>
        <w:rPr>
          <w:rStyle w:val="FunctionTok"/>
        </w:rPr>
        <w:t xml:space="preserve">hist</w:t>
      </w:r>
      <w:r>
        <w:rPr>
          <w:rStyle w:val="NormalTok"/>
        </w:rPr>
        <w:t xml:space="preserve">(tcc</w:t>
      </w:r>
      <w:r>
        <w:rPr>
          <w:rStyle w:val="SpecialCharTok"/>
        </w:rPr>
        <w:t xml:space="preserve">$</w:t>
      </w:r>
      <w:r>
        <w:rPr>
          <w:rStyle w:val="NormalTok"/>
        </w:rPr>
        <w:t xml:space="preserve">MXR,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MXR,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#não parece</w:t>
      </w:r>
      <w:r>
        <w:br/>
      </w:r>
      <w:r>
        <w:rPr>
          <w:rStyle w:val="FunctionTok"/>
        </w:rPr>
        <w:t xml:space="preserve">shapiro.test</w:t>
      </w:r>
      <w:r>
        <w:rPr>
          <w:rStyle w:val="NormalTok"/>
        </w:rPr>
        <w:t xml:space="preserve">(tcc</w:t>
      </w:r>
      <w:r>
        <w:rPr>
          <w:rStyle w:val="SpecialCharTok"/>
        </w:rPr>
        <w:t xml:space="preserve">$</w:t>
      </w:r>
      <w:r>
        <w:rPr>
          <w:rStyle w:val="NormalTok"/>
        </w:rPr>
        <w:t xml:space="preserve">MXR) </w:t>
      </w:r>
      <w:r>
        <w:rPr>
          <w:rStyle w:val="CommentTok"/>
        </w:rPr>
        <w:t xml:space="preserve">#0,0000038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#0,000264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#0,0000000000005607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6400</w:t>
      </w:r>
      <w:r>
        <w:rPr>
          <w:rStyle w:val="NormalTok"/>
        </w:rPr>
        <w:t xml:space="preserve">,</w:t>
      </w:r>
      <w:r>
        <w:rPr>
          <w:rStyle w:val="DecValTok"/>
        </w:rPr>
        <w:t xml:space="preserve">151000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"(p-value=0,0000000000005607)"</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was also the most conclusive when analysed by ANOVA test, being the only physiological parameter that shows total uniformity for both relationship with the reserve (</w:t>
      </w:r>
      <w:hyperlink w:anchor="fig-boxmxr">
        <w:r>
          <w:rPr>
            <w:rStyle w:val="Hyperlink"/>
          </w:rPr>
          <w:t xml:space="preserve">Figure 9</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#0,0000000000005 = diferença</w:t>
      </w:r>
      <w:r>
        <w:br/>
      </w:r>
      <w:r>
        <w:rPr>
          <w:rStyle w:val="NormalTok"/>
        </w:rPr>
        <w:t xml:space="preserve">(</w:t>
      </w:r>
      <w:r>
        <w:rPr>
          <w:rStyle w:val="AttributeTok"/>
        </w:rPr>
        <w:t xml:space="preserve">tkMXR=</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#a,a,a,b,b,b #dentro e fora 100% isolados</w:t>
      </w:r>
      <w:r>
        <w:br/>
      </w:r>
      <w:r>
        <w:br/>
      </w:r>
      <w:r>
        <w:rPr>
          <w:rStyle w:val="NormalTok"/>
        </w:rPr>
        <w:t xml:space="preserve">dunnMXR</w:t>
      </w:r>
      <w:r>
        <w:rPr>
          <w:rStyle w:val="OtherTok"/>
        </w:rPr>
        <w:t xml:space="preserve">=</w:t>
      </w:r>
      <w:r>
        <w:rPr>
          <w:rStyle w:val="FunctionTok"/>
        </w:rPr>
        <w:t xml:space="preserve">kwAllPairsDunnTest</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br/>
      </w:r>
      <w:r>
        <w:rPr>
          <w:rStyle w:val="FunctionTok"/>
        </w:rPr>
        <w:t xml:space="preserve">summary</w:t>
      </w:r>
      <w:r>
        <w:rPr>
          <w:rStyle w:val="NormalTok"/>
        </w:rPr>
        <w:t xml:space="preserve">(dunnMXR) </w:t>
      </w:r>
      <w:r>
        <w:rPr>
          <w:rStyle w:val="CommentTok"/>
        </w:rPr>
        <w:t xml:space="preserve">#ad,b,ab,c,c,cd</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4000</w:t>
      </w:r>
      <w:r>
        <w:rPr>
          <w:rStyle w:val="NormalTok"/>
        </w:rPr>
        <w:t xml:space="preserve">,</w:t>
      </w:r>
      <w:r>
        <w:rPr>
          <w:rStyle w:val="DecValTok"/>
        </w:rPr>
        <w:t xml:space="preserve">165000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MXR,tcc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68400</w:t>
      </w:r>
      <w:r>
        <w:rPr>
          <w:rStyle w:val="NormalTok"/>
        </w:rPr>
        <w:t xml:space="preserve">,</w:t>
      </w:r>
      <w:r>
        <w:rPr>
          <w:rStyle w:val="DecValTok"/>
        </w:rPr>
        <w:t xml:space="preserve">31371</w:t>
      </w:r>
      <w:r>
        <w:rPr>
          <w:rStyle w:val="NormalTok"/>
        </w:rPr>
        <w:t xml:space="preserve">,</w:t>
      </w:r>
      <w:r>
        <w:rPr>
          <w:rStyle w:val="DecValTok"/>
        </w:rPr>
        <w:t xml:space="preserve">44811</w:t>
      </w:r>
      <w:r>
        <w:rPr>
          <w:rStyle w:val="NormalTok"/>
        </w:rPr>
        <w:t xml:space="preserve">,</w:t>
      </w:r>
      <w:r>
        <w:rPr>
          <w:rStyle w:val="DecValTok"/>
        </w:rPr>
        <w:t xml:space="preserve">88000</w:t>
      </w:r>
      <w:r>
        <w:rPr>
          <w:rStyle w:val="NormalTok"/>
        </w:rPr>
        <w:t xml:space="preserve">,</w:t>
      </w:r>
      <w:r>
        <w:rPr>
          <w:rStyle w:val="DecValTok"/>
        </w:rPr>
        <w:t xml:space="preserve">150658</w:t>
      </w:r>
      <w:r>
        <w:rPr>
          <w:rStyle w:val="NormalTok"/>
        </w:rPr>
        <w:t xml:space="preserve">,</w:t>
      </w:r>
      <w:r>
        <w:rPr>
          <w:rStyle w:val="DecValTok"/>
        </w:rPr>
        <w:t xml:space="preserve">121050</w:t>
      </w:r>
      <w:r>
        <w:rPr>
          <w:rStyle w:val="NormalTok"/>
        </w:rPr>
        <w:t xml:space="preserve">)</w:t>
      </w:r>
      <w:r>
        <w:rPr>
          <w:rStyle w:val="SpecialCharTok"/>
        </w:rPr>
        <w:t xml:space="preserve">+</w:t>
      </w:r>
      <w:r>
        <w:rPr>
          <w:rStyle w:val="DecValTok"/>
        </w:rPr>
        <w:t xml:space="preserve">10000</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rPr>
          <w:b/>
          <w:bCs/>
        </w:rPr>
        <w:t xml:space="preserve">Abiotic data.</w:t>
      </w:r>
      <w:r>
        <w:t xml:space="preserve"> </w:t>
      </w:r>
      <w:r>
        <w:t xml:space="preserve">The abiotic data from every sampling site water was measured and reunited in Tab. 1. The abnormal proportion of ammonia indicates the presence of effluents in the water outside the Reserva Biológica Guaribas, and, as discussed by</w:t>
      </w:r>
      <w:r>
        <w:t xml:space="preserve"> </w:t>
      </w:r>
      <w:r>
        <w:t xml:space="preserve">(Piedras et al., 2006)</w:t>
      </w:r>
      <w:r>
        <w:t xml:space="preserve">,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p>
    <w:bookmarkEnd w:id="11"/>
    <w:bookmarkStart w:id="12" w:name="discussion"/>
    <w:p>
      <w:pPr>
        <w:pStyle w:val="Ttulo1"/>
      </w:pPr>
      <w:r>
        <w:t xml:space="preserve">4. Discussion</w:t>
      </w:r>
    </w:p>
    <w:p>
      <w:pPr>
        <w:pStyle w:val="FirstParagraph"/>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w:t>
      </w:r>
      <w:r>
        <w:t xml:space="preserve"> </w:t>
      </w:r>
      <w:hyperlink w:anchor="fig-bar">
        <w:r>
          <w:rPr>
            <w:rStyle w:val="Hyperlink"/>
          </w:rPr>
          <w:t xml:space="preserve">Figure 10</w:t>
        </w:r>
      </w:hyperlink>
      <w:r>
        <w:t xml:space="preserve">, highlighting the total protein as one that proved itself as an excellent biomarker to detect pollutants in the aquatic environment.</w:t>
      </w:r>
    </w:p>
    <w:p>
      <w:pPr>
        <w:pStyle w:val="SourceCode"/>
      </w:pPr>
      <w:r>
        <w:rPr>
          <w:rStyle w:val="NormalTok"/>
        </w:rPr>
        <w:t xml:space="preserve">md</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rPr>
          <w:rStyle w:val="StringTok"/>
        </w:rPr>
        <w:t xml:space="preserve">"inside"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mf</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br/>
      </w:r>
      <w:r>
        <w:rPr>
          <w:rStyle w:val="NormalTok"/>
        </w:rPr>
        <w:t xml:space="preserve">  </w:t>
      </w:r>
      <w:r>
        <w:rPr>
          <w:rStyle w:val="StringTok"/>
        </w:rPr>
        <w:t xml:space="preserve">"outside"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(médias</w:t>
      </w:r>
      <w:r>
        <w:rPr>
          <w:rStyle w:val="OtherTok"/>
        </w:rPr>
        <w:t xml:space="preserve">=</w:t>
      </w:r>
      <w:r>
        <w:rPr>
          <w:rStyle w:val="FunctionTok"/>
        </w:rPr>
        <w:t xml:space="preserve">matrix</w:t>
      </w:r>
      <w:r>
        <w:rPr>
          <w:rStyle w:val="NormalTok"/>
        </w:rPr>
        <w:t xml:space="preserve">(</w:t>
      </w:r>
      <w:r>
        <w:rPr>
          <w:rStyle w:val="FunctionTok"/>
        </w:rPr>
        <w:t xml:space="preserve">c</w:t>
      </w:r>
      <w:r>
        <w:rPr>
          <w:rStyle w:val="NormalTok"/>
        </w:rPr>
        <w:t xml:space="preserve">(md,mf),</w:t>
      </w:r>
      <w:r>
        <w:rPr>
          <w:rStyle w:val="AttributeTok"/>
        </w:rPr>
        <w:t xml:space="preserve">byrow=</w:t>
      </w:r>
      <w:r>
        <w:rPr>
          <w:rStyle w:val="NormalTok"/>
        </w:rPr>
        <w:t xml:space="preserve">T,</w:t>
      </w:r>
      <w:r>
        <w:rPr>
          <w:rStyle w:val="AttributeTok"/>
        </w:rPr>
        <w:t xml:space="preserve">nrow =</w:t>
      </w:r>
      <w:r>
        <w:rPr>
          <w:rStyle w:val="NormalTok"/>
        </w:rPr>
        <w:t xml:space="preserve"> </w:t>
      </w:r>
      <w:r>
        <w:rPr>
          <w:rStyle w:val="DecValTok"/>
        </w:rPr>
        <w:t xml:space="preserve">2</w:t>
      </w:r>
      <w:r>
        <w:rPr>
          <w:rStyle w:val="NormalTok"/>
        </w:rPr>
        <w:t xml:space="preserve">,</w:t>
      </w:r>
      <w:r>
        <w:rPr>
          <w:rStyle w:val="AttributeTok"/>
        </w:rPr>
        <w:t xml:space="preserve">ncol=</w:t>
      </w:r>
      <w:r>
        <w:rPr>
          <w:rStyle w:val="DecValTok"/>
        </w:rPr>
        <w:t xml:space="preserve">4</w:t>
      </w:r>
      <w:r>
        <w:rPr>
          <w:rStyle w:val="NormalTok"/>
        </w:rPr>
        <w:t xml:space="preserve">,</w:t>
      </w:r>
      <w:r>
        <w:rPr>
          <w:rStyle w:val="AttributeTok"/>
        </w:rPr>
        <w:t xml:space="preserve">dimnames=</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rPr>
          <w:rStyle w:val="FunctionTok"/>
        </w:rPr>
        <w:t xml:space="preserve">c</w:t>
      </w:r>
      <w:r>
        <w:rPr>
          <w:rStyle w:val="NormalTok"/>
        </w:rPr>
        <w:t xml:space="preserve">(</w:t>
      </w:r>
      <w:r>
        <w:rPr>
          <w:rStyle w:val="StringTok"/>
        </w:rPr>
        <w:t xml:space="preserve">"GMC"</w:t>
      </w:r>
      <w:r>
        <w:rPr>
          <w:rStyle w:val="NormalTok"/>
        </w:rPr>
        <w:t xml:space="preserve">,</w:t>
      </w:r>
      <w:r>
        <w:rPr>
          <w:rStyle w:val="StringTok"/>
        </w:rPr>
        <w:t xml:space="preserve">"MMC"</w:t>
      </w:r>
      <w:r>
        <w:rPr>
          <w:rStyle w:val="NormalTok"/>
        </w:rPr>
        <w:t xml:space="preserve">,</w:t>
      </w:r>
      <w:r>
        <w:rPr>
          <w:rStyle w:val="StringTok"/>
        </w:rPr>
        <w:t xml:space="preserve">"TP"</w:t>
      </w:r>
      <w:r>
        <w:rPr>
          <w:rStyle w:val="NormalTok"/>
        </w:rPr>
        <w:t xml:space="preserve">,</w:t>
      </w:r>
      <w:r>
        <w:rPr>
          <w:rStyle w:val="StringTok"/>
        </w:rPr>
        <w:t xml:space="preserve">"MXR"</w:t>
      </w:r>
      <w:r>
        <w:rPr>
          <w:rStyle w:val="NormalTok"/>
        </w:rPr>
        <w:t xml:space="preserve">))))</w:t>
      </w:r>
      <w:r>
        <w:br/>
      </w:r>
      <w:r>
        <w:rPr>
          <w:rStyle w:val="NormalTok"/>
        </w:rPr>
        <w:t xml:space="preserve">(</w:t>
      </w:r>
      <w:r>
        <w:rPr>
          <w:rStyle w:val="AttributeTok"/>
        </w:rPr>
        <w:t xml:space="preserve">prop=</w:t>
      </w:r>
      <w:r>
        <w:rPr>
          <w:rStyle w:val="FunctionTok"/>
        </w:rPr>
        <w:t xml:space="preserve">proportions</w:t>
      </w:r>
      <w:r>
        <w:rPr>
          <w:rStyle w:val="NormalTok"/>
        </w:rPr>
        <w:t xml:space="preserve">(médias,</w:t>
      </w:r>
      <w:r>
        <w:rPr>
          <w:rStyle w:val="DecValTok"/>
        </w:rPr>
        <w:t xml:space="preserve">2</w:t>
      </w:r>
      <w:r>
        <w:rPr>
          <w:rStyle w:val="NormalTok"/>
        </w:rPr>
        <w:t xml:space="preserve">))</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AttributeTok"/>
        </w:rPr>
        <w:t xml:space="preserve">height =</w:t>
      </w:r>
      <w:r>
        <w:rPr>
          <w:rStyle w:val="NormalTok"/>
        </w:rPr>
        <w:t xml:space="preserve"> prop, </w:t>
      </w:r>
      <w:r>
        <w:rPr>
          <w:rStyle w:val="AttributeTok"/>
        </w:rPr>
        <w:t xml:space="preserve">horiz =</w:t>
      </w:r>
      <w:r>
        <w:rPr>
          <w:rStyle w:val="NormalTok"/>
        </w:rPr>
        <w:t xml:space="preserve"> T, </w:t>
      </w:r>
      <w:r>
        <w:rPr>
          <w:rStyle w:val="AttributeTok"/>
        </w:rPr>
        <w:t xml:space="preserve">las=</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"darkgreen"</w:t>
      </w:r>
      <w:r>
        <w:rPr>
          <w:rStyle w:val="NormalTok"/>
        </w:rPr>
        <w:t xml:space="preserve">, </w:t>
      </w:r>
      <w:r>
        <w:rPr>
          <w:rStyle w:val="StringTok"/>
        </w:rPr>
        <w:t xml:space="preserve">"darkred"</w:t>
      </w:r>
      <w:r>
        <w:rPr>
          <w:rStyle w:val="NormalTok"/>
        </w:rPr>
        <w:t xml:space="preserve">), </w:t>
      </w:r>
      <w:r>
        <w:rPr>
          <w:rStyle w:val="AttributeTok"/>
        </w:rPr>
        <w:t xml:space="preserve">legend.text =</w:t>
      </w:r>
      <w:r>
        <w:rPr>
          <w:rStyle w:val="NormalTok"/>
        </w:rPr>
        <w:t xml:space="preserve"> T)</w:t>
      </w:r>
    </w:p>
    <w:p>
      <w:pPr>
        <w:pStyle w:val="FirstParagraph"/>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w:t>
      </w:r>
      <w:r>
        <w:t xml:space="preserve"> </w:t>
      </w:r>
      <w:r>
        <w:t xml:space="preserve">(Kurelec et al., 2000)</w:t>
      </w:r>
      <w:r>
        <w:t xml:space="preserve">, but, until done, the relevance of the MXR phenotype analysis must be restricted to the statistical context.</w:t>
      </w:r>
    </w:p>
    <w:p>
      <w:pPr>
        <w:pStyle w:val="Corpodetexto"/>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w:t>
      </w:r>
      <w:r>
        <w:t xml:space="preserve"> </w:t>
      </w:r>
      <w:r>
        <w:t xml:space="preserve">(</w:t>
      </w:r>
      <w:r>
        <w:rPr>
          <w:b/>
          <w:bCs/>
        </w:rPr>
        <w:t xml:space="preserve">masullo2020a?</w:t>
      </w:r>
      <w:r>
        <w:t xml:space="preserve">)</w:t>
      </w:r>
      <w:r>
        <w:t xml:space="preserve"> </w:t>
      </w:r>
      <w:r>
        <w:t xml:space="preserve">paper and presenting quantifiable data that can complement studies with analysis of historical and geographical data, such as the one from</w:t>
      </w:r>
      <w:r>
        <w:t xml:space="preserve"> </w:t>
      </w:r>
      <w:r>
        <w:t xml:space="preserve">(Assis et al., 2021)</w:t>
      </w:r>
      <w:r>
        <w:t xml:space="preserve">.</w:t>
      </w:r>
    </w:p>
    <w:bookmarkEnd w:id="12"/>
    <w:bookmarkStart w:id="13" w:name="conclusions"/>
    <w:p>
      <w:pPr>
        <w:pStyle w:val="Ttulo1"/>
      </w:pPr>
      <w:r>
        <w:t xml:space="preserve">Conclusions</w:t>
      </w:r>
    </w:p>
    <w:bookmarkEnd w:id="13"/>
    <w:bookmarkStart w:id="14" w:name="acknowledgements"/>
    <w:p>
      <w:pPr>
        <w:pStyle w:val="Ttulo1"/>
      </w:pPr>
      <w:r>
        <w:t xml:space="preserve">Acknowledgements</w:t>
      </w:r>
    </w:p>
    <w:p>
      <w:pPr>
        <w:pStyle w:val="FirstParagraph"/>
      </w:pPr>
      <w:r>
        <w:t xml:space="preserve">We are grateful to Thainá da Silva Oliveira for assistance with laboratory activities; and to Ellen Gomes da Silva for assistance with fieldwork activities. ACP and ASB are grateful to Programa de Pós-Graduação em Ecologia e Conservação (PPGEC-UEPB) and CAPES for scholarship grated. MMSM and LRCS are grateful to Programa de Iniciação Científica (PIBIC-UEPB) and CNPq for scholarship granted.</w:t>
      </w:r>
    </w:p>
    <w:bookmarkEnd w:id="14"/>
    <w:bookmarkStart w:id="15" w:name="authorship-contribution-statement"/>
    <w:p>
      <w:pPr>
        <w:pStyle w:val="Ttulo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Corpodetexto"/>
      </w:pPr>
      <w:r>
        <w:t xml:space="preserve">Adamastor Coutinho Pinto: Conceptualization, Data curation, Formal analysis, Investigation, Software, Visualization, Writing – review &amp; editing, Writing – original draft.</w:t>
      </w:r>
    </w:p>
    <w:p>
      <w:pPr>
        <w:pStyle w:val="Corpodetexto"/>
      </w:pPr>
      <w:r>
        <w:t xml:space="preserve">Mayara Mirelly da Silva Monteiro: Data curation, Formal analysis, Software, Writing – review &amp; editing.</w:t>
      </w:r>
    </w:p>
    <w:p>
      <w:pPr>
        <w:pStyle w:val="Corpodetexto"/>
      </w:pPr>
      <w:r>
        <w:t xml:space="preserve">Alice da Silva Barros: Data curation, Formal analysis, Software, Writing – review &amp; editing.</w:t>
      </w:r>
    </w:p>
    <w:p>
      <w:pPr>
        <w:pStyle w:val="Corpodetexto"/>
      </w:pPr>
      <w:r>
        <w:t xml:space="preserve">Larissa Rafaela Caetano da Silva:Data curation, Formal analysis, Software, Writing – review &amp; editing.</w:t>
      </w:r>
    </w:p>
    <w:p>
      <w:pPr>
        <w:pStyle w:val="Corpodetexto"/>
      </w:pPr>
      <w:r>
        <w:t xml:space="preserve">Enelise Marcelle Amado: Conceptualization, Data curation, Methodology, Project administration, Resources, Supervision, Validation, Writing – review &amp; editing.</w:t>
      </w:r>
    </w:p>
    <w:p>
      <w:pPr>
        <w:pStyle w:val="Corpodetexto"/>
      </w:pPr>
      <w:r>
        <w:t xml:space="preserve">Elvio Sergio Figueredo Medeiros: Conceptualization, Data curation, Formal analysis, Funding acquisition, Methodology, Project administration, Resources, Software, Supervision, Validation, Writing – review &amp; editing.</w:t>
      </w:r>
    </w:p>
    <w:bookmarkEnd w:id="15"/>
    <w:bookmarkStart w:id="16" w:name="ethical-approval"/>
    <w:p>
      <w:pPr>
        <w:pStyle w:val="Ttulo1"/>
      </w:pPr>
      <w:r>
        <w:t xml:space="preserve">Ethical approval</w:t>
      </w:r>
    </w:p>
    <w:p>
      <w:pPr>
        <w:pStyle w:val="FirstParagraph"/>
      </w:pPr>
      <w:r>
        <w:t xml:space="preserve">Fish collection was authorized by the Instituto Chico Mendes de Conservação da Biodiversidade (license SISBIO-89415-2) and the project was approved by the Ethics Committee on Animal Use of the State University of Paraíba (protocol CEUA-048/2023).</w:t>
      </w:r>
    </w:p>
    <w:bookmarkEnd w:id="16"/>
    <w:bookmarkStart w:id="76" w:name="references"/>
    <w:p>
      <w:pPr>
        <w:pStyle w:val="Ttulo1"/>
      </w:pPr>
      <w:r>
        <w:t xml:space="preserve">References</w:t>
      </w:r>
    </w:p>
    <w:bookmarkStart w:id="75" w:name="refs"/>
    <w:bookmarkStart w:id="18" w:name="ref-amoatey2019"/>
    <w:p>
      <w:pPr>
        <w:pStyle w:val="Bibliografia"/>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17">
        <w:r>
          <w:rPr>
            <w:rStyle w:val="Hyperlink"/>
          </w:rPr>
          <w:t xml:space="preserve">https://doi.org/10.1002/wer.1221</w:t>
        </w:r>
      </w:hyperlink>
    </w:p>
    <w:bookmarkEnd w:id="18"/>
    <w:bookmarkStart w:id="19" w:name="ref-arruda2013"/>
    <w:p>
      <w:pPr>
        <w:pStyle w:val="Bibliografia"/>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19"/>
    <w:bookmarkStart w:id="21" w:name="ref-assis2021"/>
    <w:p>
      <w:pPr>
        <w:pStyle w:val="Bibliografia"/>
      </w:pPr>
      <w:r>
        <w:t xml:space="preserve">Assis, P., Faria, K., &amp; Bayer, M. (2021). Unidades de conservação e sua efetividade na proteção dos recursos hídricos na bacia do rio araguaia.</w:t>
      </w:r>
      <w:r>
        <w:t xml:space="preserve"> </w:t>
      </w:r>
      <w:r>
        <w:rPr>
          <w:i/>
          <w:iCs/>
        </w:rPr>
        <w:t xml:space="preserve">Sociedade &amp; Natureza</w:t>
      </w:r>
      <w:r>
        <w:t xml:space="preserve">,</w:t>
      </w:r>
      <w:r>
        <w:t xml:space="preserve"> </w:t>
      </w:r>
      <w:r>
        <w:rPr>
          <w:i/>
          <w:iCs/>
        </w:rPr>
        <w:t xml:space="preserve">34</w:t>
      </w:r>
      <w:r>
        <w:t xml:space="preserve">.</w:t>
      </w:r>
      <w:r>
        <w:t xml:space="preserve"> </w:t>
      </w:r>
      <w:hyperlink r:id="rId20">
        <w:r>
          <w:rPr>
            <w:rStyle w:val="Hyperlink"/>
          </w:rPr>
          <w:t xml:space="preserve">https://doi.org/10.14393/SN-v34-2022-60335</w:t>
        </w:r>
      </w:hyperlink>
    </w:p>
    <w:bookmarkEnd w:id="21"/>
    <w:bookmarkStart w:id="23" w:name="ref-ayrapetyan2012"/>
    <w:p>
      <w:pPr>
        <w:pStyle w:val="Bibliografia"/>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22">
        <w:r>
          <w:rPr>
            <w:rStyle w:val="Hyperlink"/>
          </w:rPr>
          <w:t xml:space="preserve">https://doi.org/10.1007/s10669-011-9380-3</w:t>
        </w:r>
      </w:hyperlink>
    </w:p>
    <w:bookmarkEnd w:id="23"/>
    <w:bookmarkStart w:id="24" w:name="ref-bradford1976"/>
    <w:p>
      <w:pPr>
        <w:pStyle w:val="Bibliografia"/>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24"/>
    <w:bookmarkStart w:id="25" w:name="ref-brasil2000f"/>
    <w:p>
      <w:pPr>
        <w:pStyle w:val="Bibliografia"/>
      </w:pPr>
      <w:r>
        <w:t xml:space="preserve">Brasil. (2000).</w:t>
      </w:r>
      <w:r>
        <w:t xml:space="preserve"> </w:t>
      </w:r>
      <w:r>
        <w:rPr>
          <w:i/>
          <w:iCs/>
        </w:rPr>
        <w:t xml:space="preserve">Lei nº 9.985, de 18 de julho de 2000</w:t>
      </w:r>
      <w:r>
        <w:t xml:space="preserve">.</w:t>
      </w:r>
    </w:p>
    <w:bookmarkEnd w:id="25"/>
    <w:bookmarkStart w:id="27" w:name="ref-credit2026"/>
    <w:p>
      <w:pPr>
        <w:pStyle w:val="Bibliografia"/>
      </w:pPr>
      <w:r>
        <w:t xml:space="preserve">CRediT. (2026). CRediT - contributor role taxonomy.</w:t>
      </w:r>
      <w:r>
        <w:t xml:space="preserve"> </w:t>
      </w:r>
      <w:r>
        <w:rPr>
          <w:i/>
          <w:iCs/>
        </w:rPr>
        <w:t xml:space="preserve">NISO/CRediT Standing Committee</w:t>
      </w:r>
      <w:r>
        <w:t xml:space="preserve">.</w:t>
      </w:r>
      <w:r>
        <w:t xml:space="preserve"> </w:t>
      </w:r>
      <w:hyperlink r:id="rId26">
        <w:r>
          <w:rPr>
            <w:rStyle w:val="Hyperlink"/>
          </w:rPr>
          <w:t xml:space="preserve">https://credit.niso.org/</w:t>
        </w:r>
      </w:hyperlink>
    </w:p>
    <w:bookmarkEnd w:id="27"/>
    <w:bookmarkStart w:id="29" w:name="ref-david2018"/>
    <w:p>
      <w:pPr>
        <w:pStyle w:val="Bibliografia"/>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28">
        <w:r>
          <w:rPr>
            <w:rStyle w:val="Hyperlink"/>
          </w:rPr>
          <w:t xml:space="preserve">https://doi.org/10.1016/j.ecoenv.2018.09.111</w:t>
        </w:r>
      </w:hyperlink>
    </w:p>
    <w:bookmarkEnd w:id="29"/>
    <w:bookmarkStart w:id="30" w:name="ref-evans1987"/>
    <w:p>
      <w:pPr>
        <w:pStyle w:val="Bibliografia"/>
      </w:pPr>
      <w:r>
        <w:t xml:space="preserve">Evans, D. H. (1987).</w:t>
      </w:r>
      <w:r>
        <w:t xml:space="preserve"> </w:t>
      </w:r>
      <w:r>
        <w:rPr>
          <w:i/>
          <w:iCs/>
        </w:rPr>
        <w:t xml:space="preserve">The fish gill: Site of action and model for toxic effects of environmental pollutants</w:t>
      </w:r>
      <w:r>
        <w:t xml:space="preserve">.</w:t>
      </w:r>
    </w:p>
    <w:bookmarkEnd w:id="30"/>
    <w:bookmarkStart w:id="32" w:name="ref-gouveia2017"/>
    <w:p>
      <w:pPr>
        <w:pStyle w:val="Bibliografia"/>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31">
        <w:r>
          <w:rPr>
            <w:rStyle w:val="Hyperlink"/>
          </w:rPr>
          <w:t xml:space="preserve">https://doi.org/10.15560/13.5.581</w:t>
        </w:r>
      </w:hyperlink>
    </w:p>
    <w:bookmarkEnd w:id="32"/>
    <w:bookmarkStart w:id="34" w:name="ref-haredi2020"/>
    <w:p>
      <w:pPr>
        <w:pStyle w:val="Bibliografia"/>
      </w:pPr>
      <w:r>
        <w:t xml:space="preserve">Haredi, A. M. M., Mourad, M., Tanekhy, M., Wassif, E., &amp; Abdel-Tawab, H. S. (2020). Lake edku pollutants induced biochemical and histopathological alterations in muscle tissues of nile tilapia (oreochromis niloticus).</w:t>
      </w:r>
      <w:r>
        <w:t xml:space="preserve"> </w:t>
      </w:r>
      <w:r>
        <w:rPr>
          <w:i/>
          <w:iCs/>
        </w:rPr>
        <w:t xml:space="preserve">Toxicology and Environmental Health Sciences</w:t>
      </w:r>
      <w:r>
        <w:t xml:space="preserve">,</w:t>
      </w:r>
      <w:r>
        <w:t xml:space="preserve"> </w:t>
      </w:r>
      <w:r>
        <w:rPr>
          <w:i/>
          <w:iCs/>
        </w:rPr>
        <w:t xml:space="preserve">12</w:t>
      </w:r>
      <w:r>
        <w:t xml:space="preserve">(3), 247–255.</w:t>
      </w:r>
      <w:r>
        <w:t xml:space="preserve"> </w:t>
      </w:r>
      <w:hyperlink r:id="rId33">
        <w:r>
          <w:rPr>
            <w:rStyle w:val="Hyperlink"/>
          </w:rPr>
          <w:t xml:space="preserve">https://doi.org/10.1007/s13530-020-00042-w</w:t>
        </w:r>
      </w:hyperlink>
    </w:p>
    <w:bookmarkEnd w:id="34"/>
    <w:bookmarkStart w:id="35" w:name="ref-júnior2021"/>
    <w:p>
      <w:pPr>
        <w:pStyle w:val="Bibliografia"/>
      </w:pPr>
      <w:r>
        <w:t xml:space="preserve">Júnior, M. M. C. (2021).</w:t>
      </w:r>
      <w:r>
        <w:t xml:space="preserve"> </w:t>
      </w:r>
      <w:r>
        <w:rPr>
          <w:i/>
          <w:iCs/>
        </w:rPr>
        <w:t xml:space="preserve">Funcionamento de Rios Intermitentes sob Influência da Transposição do Rio São Francisco</w:t>
      </w:r>
      <w:r>
        <w:t xml:space="preserve">.</w:t>
      </w:r>
    </w:p>
    <w:bookmarkEnd w:id="35"/>
    <w:bookmarkStart w:id="36" w:name="ref-köppen1928a"/>
    <w:p>
      <w:pPr>
        <w:pStyle w:val="Bibliografia"/>
      </w:pPr>
      <w:r>
        <w:t xml:space="preserve">Köppen, W., &amp; Geiger, R. (1928).</w:t>
      </w:r>
      <w:r>
        <w:t xml:space="preserve"> </w:t>
      </w:r>
      <w:r>
        <w:rPr>
          <w:i/>
          <w:iCs/>
        </w:rPr>
        <w:t xml:space="preserve">Klimate der erde</w:t>
      </w:r>
      <w:r>
        <w:t xml:space="preserve">.</w:t>
      </w:r>
    </w:p>
    <w:bookmarkEnd w:id="36"/>
    <w:bookmarkStart w:id="38" w:name="ref-kurelec2000"/>
    <w:p>
      <w:pPr>
        <w:pStyle w:val="Bibliografia"/>
      </w:pPr>
      <w:r>
        <w:t xml:space="preserve">Kurelec, B., Smital, T., Pivèeviæ, B., Eufemia, N., &amp; Epel, D. (2000). Multixenobiotic resistance, p-glycoprotein, and chemosensitizers.</w:t>
      </w:r>
      <w:r>
        <w:t xml:space="preserve"> </w:t>
      </w:r>
      <w:r>
        <w:rPr>
          <w:i/>
          <w:iCs/>
        </w:rPr>
        <w:t xml:space="preserve">Ecotoxicology</w:t>
      </w:r>
      <w:r>
        <w:t xml:space="preserve">,</w:t>
      </w:r>
      <w:r>
        <w:t xml:space="preserve"> </w:t>
      </w:r>
      <w:r>
        <w:rPr>
          <w:i/>
          <w:iCs/>
        </w:rPr>
        <w:t xml:space="preserve">9</w:t>
      </w:r>
      <w:r>
        <w:t xml:space="preserve">(5), 307–327.</w:t>
      </w:r>
      <w:r>
        <w:t xml:space="preserve"> </w:t>
      </w:r>
      <w:hyperlink r:id="rId37">
        <w:r>
          <w:rPr>
            <w:rStyle w:val="Hyperlink"/>
          </w:rPr>
          <w:t xml:space="preserve">https://doi.org/10.1023/A:1026560922731</w:t>
        </w:r>
      </w:hyperlink>
    </w:p>
    <w:bookmarkEnd w:id="38"/>
    <w:bookmarkStart w:id="39" w:name="ref-lê2008"/>
    <w:p>
      <w:pPr>
        <w:pStyle w:val="Bibliografia"/>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p>
    <w:bookmarkEnd w:id="39"/>
    <w:bookmarkStart w:id="41" w:name="ref-macêdo2019"/>
    <w:p>
      <w:pPr>
        <w:pStyle w:val="Bibliografia"/>
      </w:pPr>
      <w:r>
        <w:t xml:space="preserve">Macêdo, A. K. S., Da Silva, J. R. P., Dos Santos, H. B., Thomé, R. G., Vendel, A. L., &amp; Amado, E. M. (2019). Estuarine fish assemblages present a species</w:t>
      </w:r>
      <w:r>
        <w:t xml:space="preserve">-</w:t>
      </w:r>
      <w:r>
        <w:t xml:space="preserve">specific difference in the multixenobiotics resistance activity.</w:t>
      </w:r>
      <w:r>
        <w:t xml:space="preserve"> </w:t>
      </w:r>
      <w:r>
        <w:rPr>
          <w:i/>
          <w:iCs/>
        </w:rPr>
        <w:t xml:space="preserve">Journal of Experimental Zoology Part A: Ecological and Integrative Physiology</w:t>
      </w:r>
      <w:r>
        <w:t xml:space="preserve">,</w:t>
      </w:r>
      <w:r>
        <w:t xml:space="preserve"> </w:t>
      </w:r>
      <w:r>
        <w:rPr>
          <w:i/>
          <w:iCs/>
        </w:rPr>
        <w:t xml:space="preserve">331</w:t>
      </w:r>
      <w:r>
        <w:t xml:space="preserve">(10), 530–539.</w:t>
      </w:r>
      <w:r>
        <w:t xml:space="preserve"> </w:t>
      </w:r>
      <w:hyperlink r:id="rId40">
        <w:r>
          <w:rPr>
            <w:rStyle w:val="Hyperlink"/>
          </w:rPr>
          <w:t xml:space="preserve">https://doi.org/10.1002/jez.2320</w:t>
        </w:r>
      </w:hyperlink>
    </w:p>
    <w:bookmarkEnd w:id="41"/>
    <w:bookmarkStart w:id="43" w:name="ref-maitland1990"/>
    <w:p>
      <w:pPr>
        <w:pStyle w:val="Bibliografia"/>
      </w:pPr>
      <w:r>
        <w:t xml:space="preserve">Maitland, P. S. (1990).</w:t>
      </w:r>
      <w:r>
        <w:t xml:space="preserve"> </w:t>
      </w:r>
      <w:r>
        <w:rPr>
          <w:i/>
          <w:iCs/>
        </w:rPr>
        <w:t xml:space="preserve">Field studies: Sampling in freshwaters</w:t>
      </w:r>
      <w:r>
        <w:t xml:space="preserve"> </w:t>
      </w:r>
      <w:r>
        <w:t xml:space="preserve">(pp. 123–148). Springer US.</w:t>
      </w:r>
      <w:r>
        <w:t xml:space="preserve"> </w:t>
      </w:r>
      <w:hyperlink r:id="rId42">
        <w:r>
          <w:rPr>
            <w:rStyle w:val="Hyperlink"/>
          </w:rPr>
          <w:t xml:space="preserve">https://doi.org/10.1007/978-1-4613-0501-9_5</w:t>
        </w:r>
      </w:hyperlink>
    </w:p>
    <w:bookmarkEnd w:id="43"/>
    <w:bookmarkStart w:id="44" w:name="ref-mccune2002"/>
    <w:p>
      <w:pPr>
        <w:pStyle w:val="Bibliografia"/>
      </w:pPr>
      <w:r>
        <w:t xml:space="preserve">McCune, B., &amp; Grace, J. B. (2002).</w:t>
      </w:r>
      <w:r>
        <w:t xml:space="preserve"> </w:t>
      </w:r>
      <w:r>
        <w:rPr>
          <w:i/>
          <w:iCs/>
        </w:rPr>
        <w:t xml:space="preserve">Analysis of ecological communities</w:t>
      </w:r>
      <w:r>
        <w:t xml:space="preserve">. MjM Software Design.</w:t>
      </w:r>
    </w:p>
    <w:bookmarkEnd w:id="44"/>
    <w:bookmarkStart w:id="46" w:name="ref-medeiros2010"/>
    <w:p>
      <w:pPr>
        <w:pStyle w:val="Bibliografia"/>
      </w:pPr>
      <w:r>
        <w:t xml:space="preserve">Medeiros, E. S. F., Silva, M., Figueiredo, B., Ramos, T., &amp; Ramos, R. (2010). Effects of fishing technique on assessing species composition in aquatic systems in semi-arid brazil.</w:t>
      </w:r>
      <w:r>
        <w:t xml:space="preserve"> </w:t>
      </w:r>
      <w:r>
        <w:rPr>
          <w:i/>
          <w:iCs/>
        </w:rPr>
        <w:t xml:space="preserve">Brazilian Journal of Biology</w:t>
      </w:r>
      <w:r>
        <w:t xml:space="preserve">,</w:t>
      </w:r>
      <w:r>
        <w:t xml:space="preserve"> </w:t>
      </w:r>
      <w:r>
        <w:rPr>
          <w:i/>
          <w:iCs/>
        </w:rPr>
        <w:t xml:space="preserve">70</w:t>
      </w:r>
      <w:r>
        <w:t xml:space="preserve">, 255–262.</w:t>
      </w:r>
      <w:r>
        <w:t xml:space="preserve"> </w:t>
      </w:r>
      <w:hyperlink r:id="rId45">
        <w:r>
          <w:rPr>
            <w:rStyle w:val="Hyperlink"/>
          </w:rPr>
          <w:t xml:space="preserve">https://doi.org/10.1590/S1519-69842010000200004</w:t>
        </w:r>
      </w:hyperlink>
    </w:p>
    <w:bookmarkEnd w:id="46"/>
    <w:bookmarkStart w:id="47" w:name="ref-medeiros2008"/>
    <w:p>
      <w:pPr>
        <w:pStyle w:val="Bibliografia"/>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47"/>
    <w:bookmarkStart w:id="49" w:name="ref-ministériodomeioambiente2025"/>
    <w:p>
      <w:pPr>
        <w:pStyle w:val="Bibliografia"/>
      </w:pPr>
      <w:r>
        <w:t xml:space="preserve">Ministério do Meio Ambiente. (2025).</w:t>
      </w:r>
      <w:r>
        <w:t xml:space="preserve"> </w:t>
      </w:r>
      <w:r>
        <w:rPr>
          <w:i/>
          <w:iCs/>
        </w:rPr>
        <w:t xml:space="preserve">Painel unidades de conservação. retrieved</w:t>
      </w:r>
      <w:r>
        <w:t xml:space="preserve">.</w:t>
      </w:r>
      <w:r>
        <w:t xml:space="preserve"> </w:t>
      </w:r>
      <w:hyperlink r:id="rId48">
        <w:r>
          <w:rPr>
            <w:rStyle w:val="Hyperlink"/>
          </w:rPr>
          <w:t xml:space="preserve">https://encurtador.com.br/kLle</w:t>
        </w:r>
      </w:hyperlink>
    </w:p>
    <w:bookmarkEnd w:id="49"/>
    <w:bookmarkStart w:id="50" w:name="ref-miranda2012"/>
    <w:p>
      <w:pPr>
        <w:pStyle w:val="Bibliografia"/>
      </w:pPr>
      <w:r>
        <w:t xml:space="preserve">Miranda, J. (2012). Ameaças aos peixes de riachos da mata atlântica.</w:t>
      </w:r>
      <w:r>
        <w:t xml:space="preserve"> </w:t>
      </w:r>
      <w:r>
        <w:rPr>
          <w:i/>
          <w:iCs/>
        </w:rPr>
        <w:t xml:space="preserve">Ameaças Aos Peixes de Riachos Da Mata Atlântica</w:t>
      </w:r>
      <w:r>
        <w:t xml:space="preserve">.</w:t>
      </w:r>
    </w:p>
    <w:bookmarkEnd w:id="50"/>
    <w:bookmarkStart w:id="51" w:name="ref-mmai"/>
    <w:p>
      <w:pPr>
        <w:pStyle w:val="Bibliografia"/>
      </w:pPr>
      <w:r>
        <w:t xml:space="preserve">MMA, M. do meio ambiente. (n.d.).</w:t>
      </w:r>
      <w:r>
        <w:t xml:space="preserve"> </w:t>
      </w:r>
      <w:r>
        <w:rPr>
          <w:i/>
          <w:iCs/>
        </w:rPr>
        <w:t xml:space="preserve">Plano de manejo, fase 2, da reserva biológica guaribas</w:t>
      </w:r>
      <w:r>
        <w:t xml:space="preserve">.</w:t>
      </w:r>
    </w:p>
    <w:bookmarkEnd w:id="51"/>
    <w:bookmarkStart w:id="53" w:name="ref-mugodo2006"/>
    <w:p>
      <w:pPr>
        <w:pStyle w:val="Bibliografia"/>
      </w:pPr>
      <w:r>
        <w:t xml:space="preserve">Mugodo, J., Kennard, M. J.,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52">
        <w:r>
          <w:rPr>
            <w:rStyle w:val="Hyperlink"/>
          </w:rPr>
          <w:t xml:space="preserve">https://doi.org/10.1007/s10750-006-0252-7</w:t>
        </w:r>
      </w:hyperlink>
    </w:p>
    <w:bookmarkEnd w:id="53"/>
    <w:bookmarkStart w:id="55" w:name="ref-myers2000"/>
    <w:p>
      <w:pPr>
        <w:pStyle w:val="Bibliografia"/>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54">
        <w:r>
          <w:rPr>
            <w:rStyle w:val="Hyperlink"/>
          </w:rPr>
          <w:t xml:space="preserve">https://doi.org/10.1038/35002501</w:t>
        </w:r>
      </w:hyperlink>
    </w:p>
    <w:bookmarkEnd w:id="55"/>
    <w:bookmarkStart w:id="56" w:name="ref-peel2007"/>
    <w:p>
      <w:pPr>
        <w:pStyle w:val="Bibliografia"/>
      </w:pPr>
      <w:r>
        <w:t xml:space="preserve">Peel, M. C., Finlayson, B. L., &amp; McMahon, T. A. (2007). Updated world map of the k¨oppen-geiger climate classi</w:t>
      </w:r>
      <w:r>
        <w:t xml:space="preserve">fi</w:t>
      </w:r>
      <w:r>
        <w:t xml:space="preserve">cation.</w:t>
      </w:r>
      <w:r>
        <w:t xml:space="preserve"> </w:t>
      </w:r>
      <w:r>
        <w:rPr>
          <w:i/>
          <w:iCs/>
        </w:rPr>
        <w:t xml:space="preserve">Hydrol. Earth Syst. Sci.</w:t>
      </w:r>
    </w:p>
    <w:bookmarkEnd w:id="56"/>
    <w:bookmarkStart w:id="58" w:name="ref-piedras2006"/>
    <w:p>
      <w:pPr>
        <w:pStyle w:val="Bibliografia"/>
      </w:pPr>
      <w:r>
        <w:t xml:space="preserve">Piedras, S., Oliveira, J., Moraes, P., &amp; Bager, A. (2006). Toxicidade aguda da amônia não ionizada e do nitrito em alevinos de cichlasoma facetum (jenyns, 1842).</w:t>
      </w:r>
      <w:r>
        <w:t xml:space="preserve"> </w:t>
      </w:r>
      <w:r>
        <w:rPr>
          <w:i/>
          <w:iCs/>
        </w:rPr>
        <w:t xml:space="preserve">Ciência e Agrotecnologia</w:t>
      </w:r>
      <w:r>
        <w:t xml:space="preserve">,</w:t>
      </w:r>
      <w:r>
        <w:t xml:space="preserve"> </w:t>
      </w:r>
      <w:r>
        <w:rPr>
          <w:i/>
          <w:iCs/>
        </w:rPr>
        <w:t xml:space="preserve">30</w:t>
      </w:r>
      <w:r>
        <w:t xml:space="preserve">, 1008–1012.</w:t>
      </w:r>
      <w:r>
        <w:t xml:space="preserve"> </w:t>
      </w:r>
      <w:hyperlink r:id="rId57">
        <w:r>
          <w:rPr>
            <w:rStyle w:val="Hyperlink"/>
          </w:rPr>
          <w:t xml:space="preserve">https://doi.org/10.1590/S1413-70542006000500027</w:t>
        </w:r>
      </w:hyperlink>
    </w:p>
    <w:bookmarkEnd w:id="58"/>
    <w:bookmarkStart w:id="59" w:name="ref-pusey2004"/>
    <w:p>
      <w:pPr>
        <w:pStyle w:val="Bibliografia"/>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59"/>
    <w:bookmarkStart w:id="61" w:name="ref-rcoreteam2017"/>
    <w:p>
      <w:pPr>
        <w:pStyle w:val="Bibliografia"/>
      </w:pPr>
      <w:r>
        <w:t xml:space="preserve">R Core Team. (2017).</w:t>
      </w:r>
      <w:r>
        <w:t xml:space="preserve"> </w:t>
      </w:r>
      <w:r>
        <w:rPr>
          <w:i/>
          <w:iCs/>
        </w:rPr>
        <w:t xml:space="preserve">R: A language and environment for statistical computing</w:t>
      </w:r>
      <w:r>
        <w:t xml:space="preserve">.</w:t>
      </w:r>
      <w:r>
        <w:t xml:space="preserve"> </w:t>
      </w:r>
      <w:hyperlink r:id="rId60">
        <w:r>
          <w:rPr>
            <w:rStyle w:val="Hyperlink"/>
          </w:rPr>
          <w:t xml:space="preserve">https://www.R-project.org/</w:t>
        </w:r>
      </w:hyperlink>
    </w:p>
    <w:bookmarkEnd w:id="61"/>
    <w:bookmarkStart w:id="62" w:name="ref-rstudioteam"/>
    <w:p>
      <w:pPr>
        <w:pStyle w:val="Bibliografia"/>
      </w:pPr>
      <w:r>
        <w:t xml:space="preserve">RStudio Team. (n.d.).</w:t>
      </w:r>
      <w:r>
        <w:t xml:space="preserve"> </w:t>
      </w:r>
      <w:r>
        <w:rPr>
          <w:i/>
          <w:iCs/>
        </w:rPr>
        <w:t xml:space="preserve">RStudio: Integrated development environment for r</w:t>
      </w:r>
      <w:r>
        <w:t xml:space="preserve">.</w:t>
      </w:r>
    </w:p>
    <w:bookmarkEnd w:id="62"/>
    <w:bookmarkStart w:id="63" w:name="ref-sabae2015"/>
    <w:p>
      <w:pPr>
        <w:pStyle w:val="Bibliografia"/>
      </w:pPr>
      <w:r>
        <w:t xml:space="preserve">Sabae, S. Z., &amp; Mohamed, F. A. S. (2015).</w:t>
      </w:r>
      <w:r>
        <w:t xml:space="preserve"> </w:t>
      </w:r>
      <w:r>
        <w:rPr>
          <w:i/>
          <w:iCs/>
        </w:rPr>
        <w:t xml:space="preserve">Effect of environmental pollution on the health of tilapia spp. From lake qarun</w:t>
      </w:r>
      <w:r>
        <w:t xml:space="preserve">.</w:t>
      </w:r>
    </w:p>
    <w:bookmarkEnd w:id="63"/>
    <w:bookmarkStart w:id="65" w:name="ref-santos2017"/>
    <w:p>
      <w:pPr>
        <w:pStyle w:val="Bibliografia"/>
      </w:pPr>
      <w:r>
        <w:t xml:space="preserve">Santos, M. B., Monteiro Neto, I. E., Souza Melo, S. R. C., &amp; Amado, E. M. (2017). Hemolymph and gill carbonic anhydrase are more sensitive to aquatic contamination than mantle carbonic anhydrase in the mangrove oyster crassostrea rhizophorae.</w:t>
      </w:r>
      <w:r>
        <w:t xml:space="preserve"> </w:t>
      </w:r>
      <w:r>
        <w:rPr>
          <w:i/>
          <w:iCs/>
        </w:rPr>
        <w:t xml:space="preserve">Comparative Biochemistry and Physiology Part C: Toxicology &amp; Pharmacology</w:t>
      </w:r>
      <w:r>
        <w:t xml:space="preserve">,</w:t>
      </w:r>
      <w:r>
        <w:t xml:space="preserve"> </w:t>
      </w:r>
      <w:r>
        <w:rPr>
          <w:i/>
          <w:iCs/>
        </w:rPr>
        <w:t xml:space="preserve">201</w:t>
      </w:r>
      <w:r>
        <w:t xml:space="preserve">, 19–25.</w:t>
      </w:r>
      <w:r>
        <w:t xml:space="preserve"> </w:t>
      </w:r>
      <w:hyperlink r:id="rId64">
        <w:r>
          <w:rPr>
            <w:rStyle w:val="Hyperlink"/>
          </w:rPr>
          <w:t xml:space="preserve">https://doi.org/10.1016/j.cbpc.2017.08.008</w:t>
        </w:r>
      </w:hyperlink>
    </w:p>
    <w:bookmarkEnd w:id="65"/>
    <w:bookmarkStart w:id="67" w:name="ref-serra2010"/>
    <w:p>
      <w:pPr>
        <w:pStyle w:val="Bibliografia"/>
      </w:pPr>
      <w:r>
        <w:t xml:space="preserve">Serra, P. P. (2010).</w:t>
      </w:r>
      <w:r>
        <w:t xml:space="preserve"> </w:t>
      </w:r>
      <w:r>
        <w:rPr>
          <w:i/>
          <w:iCs/>
        </w:rPr>
        <w:t xml:space="preserve">Análise filogenética das espécies de Hemigrammus Gill, 1858 (Characiformes, Characidae)</w:t>
      </w:r>
      <w:r>
        <w:t xml:space="preserve"> </w:t>
      </w:r>
      <w:r>
        <w:t xml:space="preserve">[PhD thesis].</w:t>
      </w:r>
      <w:r>
        <w:t xml:space="preserve"> </w:t>
      </w:r>
      <w:hyperlink r:id="rId66">
        <w:r>
          <w:rPr>
            <w:rStyle w:val="Hyperlink"/>
          </w:rPr>
          <w:t xml:space="preserve">https://doi.org/10.5016/DT000610176</w:t>
        </w:r>
      </w:hyperlink>
    </w:p>
    <w:bookmarkEnd w:id="67"/>
    <w:bookmarkStart w:id="69" w:name="ref-smital1998"/>
    <w:p>
      <w:pPr>
        <w:pStyle w:val="Bibliografia"/>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68">
        <w:r>
          <w:rPr>
            <w:rStyle w:val="Hyperlink"/>
          </w:rPr>
          <w:t xml:space="preserve">https://doi.org/10.1016/S0027-5107(97)00265-0</w:t>
        </w:r>
      </w:hyperlink>
    </w:p>
    <w:bookmarkEnd w:id="69"/>
    <w:bookmarkStart w:id="71" w:name="ref-smital2004"/>
    <w:p>
      <w:pPr>
        <w:pStyle w:val="Bibliografia"/>
      </w:pPr>
      <w:r>
        <w:t xml:space="preserve">Smital, T., Luckenbach, T., Sauerborn Klobucar, R., Hamdoun, A., Vega, R., &amp; Epel, D. (2004). Emerging contaminants - pesticides, PPCPs, microbial degradation products and natural substances as inhibitors of multixenobiotic defense in aquatic organisms.</w:t>
      </w:r>
      <w:r>
        <w:t xml:space="preserve"> </w:t>
      </w:r>
      <w:r>
        <w:rPr>
          <w:i/>
          <w:iCs/>
        </w:rPr>
        <w:t xml:space="preserve">Mutation Research</w:t>
      </w:r>
      <w:r>
        <w:t xml:space="preserve">,</w:t>
      </w:r>
      <w:r>
        <w:t xml:space="preserve"> </w:t>
      </w:r>
      <w:r>
        <w:rPr>
          <w:i/>
          <w:iCs/>
        </w:rPr>
        <w:t xml:space="preserve">552</w:t>
      </w:r>
      <w:r>
        <w:t xml:space="preserve">, 101–117.</w:t>
      </w:r>
      <w:r>
        <w:t xml:space="preserve"> </w:t>
      </w:r>
      <w:hyperlink r:id="rId70">
        <w:r>
          <w:rPr>
            <w:rStyle w:val="Hyperlink"/>
          </w:rPr>
          <w:t xml:space="preserve">https://doi.org/10.1016/j.mrfmmm.2004.06.006</w:t>
        </w:r>
      </w:hyperlink>
    </w:p>
    <w:bookmarkEnd w:id="71"/>
    <w:bookmarkStart w:id="72" w:name="ref-sokal1995"/>
    <w:p>
      <w:pPr>
        <w:pStyle w:val="Bibliografia"/>
      </w:pPr>
      <w:r>
        <w:t xml:space="preserve">Sokal, R. R., &amp; Rohlf, F. J. (1995).</w:t>
      </w:r>
      <w:r>
        <w:t xml:space="preserve"> </w:t>
      </w:r>
      <w:r>
        <w:rPr>
          <w:i/>
          <w:iCs/>
        </w:rPr>
        <w:t xml:space="preserve">Biometry: The principles and practice of statistics in biological research</w:t>
      </w:r>
      <w:r>
        <w:t xml:space="preserve"> </w:t>
      </w:r>
      <w:r>
        <w:t xml:space="preserve">(3rd ed.). W.H. Freeman; Company.</w:t>
      </w:r>
    </w:p>
    <w:bookmarkEnd w:id="72"/>
    <w:bookmarkStart w:id="73" w:name="ref-soler2004"/>
    <w:p>
      <w:pPr>
        <w:pStyle w:val="Bibliografia"/>
      </w:pPr>
      <w:r>
        <w:t xml:space="preserve">Soler, J. M. P. (2004).</w:t>
      </w:r>
      <w:r>
        <w:t xml:space="preserve"> </w:t>
      </w:r>
      <w:r>
        <w:rPr>
          <w:i/>
          <w:iCs/>
        </w:rPr>
        <w:t xml:space="preserve">Planejamento de experimentos e pesquisa em limnologia</w:t>
      </w:r>
      <w:r>
        <w:t xml:space="preserve"> </w:t>
      </w:r>
      <w:r>
        <w:t xml:space="preserve">(pp. 16–24). BICUDO, C. E. M. BICUDO, D. C.</w:t>
      </w:r>
    </w:p>
    <w:bookmarkEnd w:id="73"/>
    <w:bookmarkStart w:id="74" w:name="ref-udvardy1975"/>
    <w:p>
      <w:pPr>
        <w:pStyle w:val="Bibliografia"/>
      </w:pPr>
      <w:r>
        <w:t xml:space="preserve">Udvardy, M. (1975).</w:t>
      </w:r>
      <w:r>
        <w:t xml:space="preserve"> </w:t>
      </w:r>
      <w:r>
        <w:rPr>
          <w:i/>
          <w:iCs/>
        </w:rPr>
        <w:t xml:space="preserve">A classification of the biogeographical provinces of the world</w:t>
      </w:r>
      <w:r>
        <w:t xml:space="preserve"> </w:t>
      </w:r>
      <w:r>
        <w:t xml:space="preserve">[Unpublished manuscript].</w:t>
      </w:r>
    </w:p>
    <w:bookmarkEnd w:id="74"/>
    <w:bookmarkEnd w:id="75"/>
    <w:bookmarkEnd w:id="76"/>
    <w:bookmarkStart w:id="120" w:name="figures-and-tables"/>
    <w:p>
      <w:pPr>
        <w:pStyle w:val="Ttulo1"/>
      </w:pPr>
      <w:r>
        <w:t xml:space="preserve">Figures and Tables</w:t>
      </w:r>
    </w:p>
    <w:bookmarkStart w:id="117" w:name="figures"/>
    <w:p>
      <w:pPr>
        <w:pStyle w:val="Ttulo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80" w:name="fig-mapa"/>
          <w:p>
            <w:pPr>
              <w:pStyle w:val="Compact"/>
              <w:jc w:val="center"/>
            </w:pPr>
            <w:r>
              <w:drawing>
                <wp:inline>
                  <wp:extent cx="5600700" cy="3960010"/>
                  <wp:effectExtent b="0" l="0" r="0" t="0"/>
                  <wp:docPr descr="" title="" id="78" name="Picture"/>
                  <a:graphic>
                    <a:graphicData uri="http://schemas.openxmlformats.org/drawingml/2006/picture">
                      <pic:pic>
                        <pic:nvPicPr>
                          <pic:cNvPr descr="imagens/Mapa%20Atualizado.png" id="79" name="Picture"/>
                          <pic:cNvPicPr>
                            <a:picLocks noChangeArrowheads="1" noChangeAspect="1"/>
                          </pic:cNvPicPr>
                        </pic:nvPicPr>
                        <pic:blipFill>
                          <a:blip r:embed="rId77"/>
                          <a:stretch>
                            <a:fillRect/>
                          </a:stretch>
                        </pic:blipFill>
                        <pic:spPr bwMode="auto">
                          <a:xfrm>
                            <a:off x="0" y="0"/>
                            <a:ext cx="5600700" cy="396001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Location of sampling sites within (P1 - 06°43’06,58555’’ S, 35°10’54,70041’</w:t>
            </w:r>
            <w:r>
              <w:t xml:space="preserve">‘W -, P2 - 06°42’38,71927’</w:t>
            </w:r>
            <w:r>
              <w:t xml:space="preserve">‘S, 35°10’38,68013’</w:t>
            </w:r>
            <w:r>
              <w:t xml:space="preserve">‘W - and P3 - 06°43’06,58555’</w:t>
            </w:r>
            <w:r>
              <w:t xml:space="preserve">‘S, 35°10’54,70041’</w:t>
            </w:r>
            <w:r>
              <w:t xml:space="preserve">‘W) and surrounding REBIO Guaribas (P4 - 06°41’46,29119’</w:t>
            </w:r>
            <w:r>
              <w:t xml:space="preserve">‘S, 35°10’36,09933’</w:t>
            </w:r>
            <w:r>
              <w:t xml:space="preserve">‘W -, P5 - 06°40’56,47593’</w:t>
            </w:r>
            <w:r>
              <w:t xml:space="preserve">‘S, 35°10’27,84963’</w:t>
            </w:r>
            <w:r>
              <w:t xml:space="preserve">‘W - and P6 - 06°40’18,97010’</w:t>
            </w:r>
            <w:r>
              <w:t xml:space="preserve">‘S, 35°10’34,68148’</w:t>
            </w:r>
            <w:r>
              <w:t xml:space="preserve">’W). In total, 92 fish were collected inside the Conservation Unity and 97 outside it.</w:t>
            </w:r>
          </w:p>
          <w:bookmarkEnd w:id="80"/>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84" w:name="fig-refsites"/>
          <w:p>
            <w:pPr>
              <w:pStyle w:val="Compact"/>
              <w:jc w:val="center"/>
            </w:pPr>
            <w:r>
              <w:drawing>
                <wp:inline>
                  <wp:extent cx="5600700" cy="4657626"/>
                  <wp:effectExtent b="0" l="0" r="0" t="0"/>
                  <wp:docPr descr="" title="" id="82" name="Picture"/>
                  <a:graphic>
                    <a:graphicData uri="http://schemas.openxmlformats.org/drawingml/2006/picture">
                      <pic:pic>
                        <pic:nvPicPr>
                          <pic:cNvPr descr="imagens/refsites.png" id="83" name="Picture"/>
                          <pic:cNvPicPr>
                            <a:picLocks noChangeArrowheads="1" noChangeAspect="1"/>
                          </pic:cNvPicPr>
                        </pic:nvPicPr>
                        <pic:blipFill>
                          <a:blip r:embed="rId81"/>
                          <a:stretch>
                            <a:fillRect/>
                          </a:stretch>
                        </pic:blipFill>
                        <pic:spPr bwMode="auto">
                          <a:xfrm>
                            <a:off x="0" y="0"/>
                            <a:ext cx="5600700" cy="465762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Images of the main four types of sites found in the Reserva Biológica Guaribas and its surrounding areas (Mamanguape, PB). Type I or local reference site, well preserved and within the conservation unit. Type II site, preserved and outside the conservation unit. Type III site, disturbed but withing the conservation unit. Type IV site, disturbed and outside the conservation unit.</w:t>
            </w:r>
          </w:p>
          <w:bookmarkEnd w:id="84"/>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88" w:name="fig-hab_PCA_fviz"/>
          <w:p>
            <w:pPr>
              <w:pStyle w:val="Compact"/>
              <w:jc w:val="center"/>
            </w:pPr>
            <w:r>
              <w:drawing>
                <wp:inline>
                  <wp:extent cx="5600700" cy="4582390"/>
                  <wp:effectExtent b="0" l="0" r="0" t="0"/>
                  <wp:docPr descr="" title="" id="86" name="Picture"/>
                  <a:graphic>
                    <a:graphicData uri="http://schemas.openxmlformats.org/drawingml/2006/picture">
                      <pic:pic>
                        <pic:nvPicPr>
                          <pic:cNvPr descr="fig-hab_PCA_fviz.png" id="87" name="Picture"/>
                          <pic:cNvPicPr>
                            <a:picLocks noChangeArrowheads="1" noChangeAspect="1"/>
                          </pic:cNvPicPr>
                        </pic:nvPicPr>
                        <pic:blipFill>
                          <a:blip r:embed="rId85"/>
                          <a:stretch>
                            <a:fillRect/>
                          </a:stretch>
                        </pic:blipFill>
                        <pic:spPr bwMode="auto">
                          <a:xfrm>
                            <a:off x="0" y="0"/>
                            <a:ext cx="5600700" cy="458239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Principal Component Analysis of the environmental variables using the fviz function.</w:t>
            </w:r>
          </w:p>
          <w:bookmarkEnd w:id="88"/>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92" w:name="fig-boxtpinandout"/>
          <w:p>
            <w:pPr>
              <w:pStyle w:val="Compact"/>
              <w:jc w:val="center"/>
            </w:pPr>
            <w:r>
              <w:drawing>
                <wp:inline>
                  <wp:extent cx="5600700" cy="3843033"/>
                  <wp:effectExtent b="0" l="0" r="0" t="0"/>
                  <wp:docPr descr="" title="" id="90" name="Picture"/>
                  <a:graphic>
                    <a:graphicData uri="http://schemas.openxmlformats.org/drawingml/2006/picture">
                      <pic:pic>
                        <pic:nvPicPr>
                          <pic:cNvPr descr="imagens/Figura%203.png" id="91" name="Picture"/>
                          <pic:cNvPicPr>
                            <a:picLocks noChangeArrowheads="1" noChangeAspect="1"/>
                          </pic:cNvPicPr>
                        </pic:nvPicPr>
                        <pic:blipFill>
                          <a:blip r:embed="rId89"/>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Total protein (mg) variance of data inside and outside REBIO Guaribas.</w:t>
            </w:r>
          </w:p>
          <w:bookmarkEnd w:id="92"/>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96" w:name="fig-boxtpsites"/>
          <w:p>
            <w:pPr>
              <w:pStyle w:val="Compact"/>
              <w:jc w:val="center"/>
            </w:pPr>
            <w:r>
              <w:drawing>
                <wp:inline>
                  <wp:extent cx="5600700" cy="3843033"/>
                  <wp:effectExtent b="0" l="0" r="0" t="0"/>
                  <wp:docPr descr="" title="" id="94" name="Picture"/>
                  <a:graphic>
                    <a:graphicData uri="http://schemas.openxmlformats.org/drawingml/2006/picture">
                      <pic:pic>
                        <pic:nvPicPr>
                          <pic:cNvPr descr="imagens/Figura%204.png" id="95" name="Picture"/>
                          <pic:cNvPicPr>
                            <a:picLocks noChangeArrowheads="1" noChangeAspect="1"/>
                          </pic:cNvPicPr>
                        </pic:nvPicPr>
                        <pic:blipFill>
                          <a:blip r:embed="rId93"/>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Boxplot with total protein data of collected fish from the sampling sites inside (green) and outside REBIO Guaribas (red), including its respective grouping by similarity above each box.</w:t>
            </w:r>
          </w:p>
          <w:bookmarkEnd w:id="96"/>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00" w:name="fig-mcsites"/>
          <w:p>
            <w:pPr>
              <w:pStyle w:val="Compact"/>
              <w:jc w:val="center"/>
            </w:pPr>
            <w:r>
              <w:drawing>
                <wp:inline>
                  <wp:extent cx="5600700" cy="3843033"/>
                  <wp:effectExtent b="0" l="0" r="0" t="0"/>
                  <wp:docPr descr="" title="" id="98" name="Picture"/>
                  <a:graphic>
                    <a:graphicData uri="http://schemas.openxmlformats.org/drawingml/2006/picture">
                      <pic:pic>
                        <pic:nvPicPr>
                          <pic:cNvPr descr="imagens/Figura%205.png" id="99" name="Picture"/>
                          <pic:cNvPicPr>
                            <a:picLocks noChangeArrowheads="1" noChangeAspect="1"/>
                          </pic:cNvPicPr>
                        </pic:nvPicPr>
                        <pic:blipFill>
                          <a:blip r:embed="rId97"/>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Moisture content (%) of tissues from sampling sites inside and outside the REBIO Guaribas, with the respective p-value between each locality.</w:t>
            </w:r>
          </w:p>
          <w:bookmarkEnd w:id="100"/>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04" w:name="fig-boxmmcsites"/>
          <w:p>
            <w:pPr>
              <w:pStyle w:val="Compact"/>
              <w:jc w:val="center"/>
            </w:pPr>
            <w:r>
              <w:drawing>
                <wp:inline>
                  <wp:extent cx="5600700" cy="3843033"/>
                  <wp:effectExtent b="0" l="0" r="0" t="0"/>
                  <wp:docPr descr="" title="" id="102" name="Picture"/>
                  <a:graphic>
                    <a:graphicData uri="http://schemas.openxmlformats.org/drawingml/2006/picture">
                      <pic:pic>
                        <pic:nvPicPr>
                          <pic:cNvPr descr="imagens/Figura%206.png" id="103" name="Picture"/>
                          <pic:cNvPicPr>
                            <a:picLocks noChangeArrowheads="1" noChangeAspect="1"/>
                          </pic:cNvPicPr>
                        </pic:nvPicPr>
                        <pic:blipFill>
                          <a:blip r:embed="rId101"/>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7: Boxplot with gill and muscle moisture content data of fish collected from sites inside (green) and outside REBIO Guaribas (red), with its respective grouping by similarity above each box.</w:t>
            </w:r>
          </w:p>
          <w:bookmarkEnd w:id="104"/>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08" w:name="fig-fluorescence"/>
          <w:p>
            <w:pPr>
              <w:pStyle w:val="Compact"/>
              <w:jc w:val="center"/>
            </w:pPr>
            <w:r>
              <w:drawing>
                <wp:inline>
                  <wp:extent cx="5600700" cy="3843033"/>
                  <wp:effectExtent b="0" l="0" r="0" t="0"/>
                  <wp:docPr descr="" title="" id="106" name="Picture"/>
                  <a:graphic>
                    <a:graphicData uri="http://schemas.openxmlformats.org/drawingml/2006/picture">
                      <pic:pic>
                        <pic:nvPicPr>
                          <pic:cNvPr descr="imagens/Figura%207.png" id="107" name="Picture"/>
                          <pic:cNvPicPr>
                            <a:picLocks noChangeArrowheads="1" noChangeAspect="1"/>
                          </pic:cNvPicPr>
                        </pic:nvPicPr>
                        <pic:blipFill>
                          <a:blip r:embed="rId105"/>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8: Average fluorescence data from sampling sites inside and outside the REBIO Guaribas, expressed by relative fluorescence units/milligrammes of tissue (gill).</w:t>
            </w:r>
          </w:p>
          <w:bookmarkEnd w:id="108"/>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12" w:name="fig-boxmxr"/>
          <w:p>
            <w:pPr>
              <w:pStyle w:val="Compact"/>
              <w:jc w:val="center"/>
            </w:pPr>
            <w:r>
              <w:drawing>
                <wp:inline>
                  <wp:extent cx="5600700" cy="3843033"/>
                  <wp:effectExtent b="0" l="0" r="0" t="0"/>
                  <wp:docPr descr="" title="" id="110" name="Picture"/>
                  <a:graphic>
                    <a:graphicData uri="http://schemas.openxmlformats.org/drawingml/2006/picture">
                      <pic:pic>
                        <pic:nvPicPr>
                          <pic:cNvPr descr="imagens/Figura%208.png" id="111" name="Picture"/>
                          <pic:cNvPicPr>
                            <a:picLocks noChangeArrowheads="1" noChangeAspect="1"/>
                          </pic:cNvPicPr>
                        </pic:nvPicPr>
                        <pic:blipFill>
                          <a:blip r:embed="rId109"/>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9: Boxplot with the MXR phenotype activity data of fish collected from sites inside (green) and outside the REBIO Guaribas (red), with its respective grouping by similarity above each box.</w:t>
            </w:r>
          </w:p>
          <w:bookmarkEnd w:id="112"/>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16" w:name="fig-bar"/>
          <w:p>
            <w:pPr>
              <w:pStyle w:val="Compact"/>
              <w:jc w:val="center"/>
            </w:pPr>
            <w:r>
              <w:drawing>
                <wp:inline>
                  <wp:extent cx="5600700" cy="3843033"/>
                  <wp:effectExtent b="0" l="0" r="0" t="0"/>
                  <wp:docPr descr="" title="" id="114" name="Picture"/>
                  <a:graphic>
                    <a:graphicData uri="http://schemas.openxmlformats.org/drawingml/2006/picture">
                      <pic:pic>
                        <pic:nvPicPr>
                          <pic:cNvPr descr="imagens/Figure%209.png" id="115" name="Picture"/>
                          <pic:cNvPicPr>
                            <a:picLocks noChangeArrowheads="1" noChangeAspect="1"/>
                          </pic:cNvPicPr>
                        </pic:nvPicPr>
                        <pic:blipFill>
                          <a:blip r:embed="rId113"/>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Proportion between average values for each physiological marker analysed, comparing themselves in order to its relationship with the REBIO Guaribas, highlighting the disparity among data of total protein (</w:t>
            </w:r>
            <w:r>
              <w:t xml:space="preserve">“TP”</w:t>
            </w:r>
            <w:r>
              <w:t xml:space="preserve">) and the MXR phenotype activity (</w:t>
            </w:r>
            <w:r>
              <w:t xml:space="preserve">“MXR”</w:t>
            </w:r>
            <w:r>
              <w:t xml:space="preserve">), and higher proximity among data of muscle (</w:t>
            </w:r>
            <w:r>
              <w:t xml:space="preserve">“MMC”</w:t>
            </w:r>
            <w:r>
              <w:t xml:space="preserve">) and gill moisture content (</w:t>
            </w:r>
            <w:r>
              <w:t xml:space="preserve">“GMC”</w:t>
            </w:r>
            <w:r>
              <w:t xml:space="preserve">).</w:t>
            </w:r>
          </w:p>
          <w:bookmarkEnd w:id="116"/>
        </w:tc>
      </w:tr>
    </w:tbl>
    <w:bookmarkEnd w:id="117"/>
    <w:bookmarkStart w:id="119" w:name="tables"/>
    <w:p>
      <w:pPr>
        <w:pStyle w:val="Ttulo2"/>
      </w:pPr>
      <w:r>
        <w:t xml:space="preserve">Tables</w:t>
      </w:r>
    </w:p>
    <w:tbl>
      <w:tblPr>
        <w:tblStyle w:val="Table"/>
        <w:tblW w:type="pct" w:w="5000"/>
        <w:tblLayout w:type="fixed"/>
        <w:tblLook w:firstRow="0" w:lastRow="0" w:firstColumn="0" w:lastColumn="0" w:noHBand="0" w:noVBand="0" w:val="0000"/>
      </w:tblPr>
      <w:tblGrid>
        <w:gridCol w:w="7920"/>
      </w:tblGrid>
      <w:tr>
        <w:tc>
          <w:tcPr/>
          <w:bookmarkStart w:id="118" w:name="tbl-abund"/>
          <w:p>
            <w:pPr>
              <w:jc w:val="center"/>
            </w:pPr>
            <w:pPr>
              <w:jc w:val="left"/>
              <w:spacing w:before="200"/>
              <w:pStyle w:val="ImageCaption"/>
            </w:pPr>
            <w:r>
              <w:t xml:space="preserve">Table 1: Table abundance.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Species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B-P05_rd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B-P05_th</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B-P06_rd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B-P06_th</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B-P06_xx</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B-P07_rd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B-P07_th</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B-P07_xx</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B-P08_rd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B-P08_th</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B-P08_xx</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B-P09_rd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B-P09_th</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B-P09_xx</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B-P10_rd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B-P10_th</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B-P10_xx</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Hemigrammus unilineatus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Astyanax bimaculatus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Hemigrammus marginatus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Hemigrammus rodwayi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Astyanax fasciatus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Characidium bimaculatum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bl>
          <w:bookmarkEnd w:id="118"/>
        </w:tc>
      </w:tr>
    </w:tbl>
    <w:bookmarkEnd w:id="119"/>
    <w:bookmarkEnd w:id="120"/>
    <w:bookmarkStart w:id="121" w:name="apendices"/>
    <w:p>
      <w:pPr>
        <w:pStyle w:val="Ttulo1"/>
      </w:pPr>
      <w:r>
        <w:t xml:space="preserve">Apendices</w:t>
      </w:r>
    </w:p>
    <w:bookmarkEnd w:id="121"/>
    <w:bookmarkStart w:id="125" w:name="non-used-figures-and-tables"/>
    <w:p>
      <w:pPr>
        <w:pStyle w:val="Ttulo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C:\PROGRA~1\RStudio\RESOUR~1\app\bin\quarto\share\formats\docx\warning.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125"/>
    <w:sectPr w:rsidR="00427872" w:rsidRPr="00427872">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45342BC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218609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A6185"/>
    <w:rsid w:val="00427872"/>
    <w:rsid w:val="005A6185"/>
    <w:rsid w:val="007E317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pacing w:val="-10"/>
      <w:kern w:val="28"/>
      <w:sz w:val="56"/>
      <w:szCs w:val="56"/>
    </w:rPr>
  </w:style>
  <w:style w:styleId="Subttulo" w:type="paragraph">
    <w:name w:val="Subtitle"/>
    <w:basedOn w:val="Normal"/>
    <w:next w:val="Corpodetexto"/>
    <w:link w:val="Subttulo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2" Target="media/rId122.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hyperlink" Id="rId26" Target="https://credit.niso.org/" TargetMode="External" /><Relationship Type="http://schemas.openxmlformats.org/officeDocument/2006/relationships/hyperlink" Id="rId40" Target="https://doi.org/10.1002/jez.2320" TargetMode="External" /><Relationship Type="http://schemas.openxmlformats.org/officeDocument/2006/relationships/hyperlink" Id="rId17" Target="https://doi.org/10.1002/wer.1221" TargetMode="External" /><Relationship Type="http://schemas.openxmlformats.org/officeDocument/2006/relationships/hyperlink" Id="rId42" Target="https://doi.org/10.1007/978-1-4613-0501-9_5" TargetMode="External" /><Relationship Type="http://schemas.openxmlformats.org/officeDocument/2006/relationships/hyperlink" Id="rId22" Target="https://doi.org/10.1007/s10669-011-9380-3" TargetMode="External" /><Relationship Type="http://schemas.openxmlformats.org/officeDocument/2006/relationships/hyperlink" Id="rId52" Target="https://doi.org/10.1007/s10750-006-0252-7" TargetMode="External" /><Relationship Type="http://schemas.openxmlformats.org/officeDocument/2006/relationships/hyperlink" Id="rId33" Target="https://doi.org/10.1007/s13530-020-00042-w" TargetMode="External" /><Relationship Type="http://schemas.openxmlformats.org/officeDocument/2006/relationships/hyperlink" Id="rId68" Target="https://doi.org/10.1016/S0027-5107(97)00265-0" TargetMode="External" /><Relationship Type="http://schemas.openxmlformats.org/officeDocument/2006/relationships/hyperlink" Id="rId64" Target="https://doi.org/10.1016/j.cbpc.2017.08.008" TargetMode="External" /><Relationship Type="http://schemas.openxmlformats.org/officeDocument/2006/relationships/hyperlink" Id="rId28" Target="https://doi.org/10.1016/j.ecoenv.2018.09.111" TargetMode="External" /><Relationship Type="http://schemas.openxmlformats.org/officeDocument/2006/relationships/hyperlink" Id="rId70" Target="https://doi.org/10.1016/j.mrfmmm.2004.06.006" TargetMode="External" /><Relationship Type="http://schemas.openxmlformats.org/officeDocument/2006/relationships/hyperlink" Id="rId37" Target="https://doi.org/10.1023/A:1026560922731" TargetMode="External" /><Relationship Type="http://schemas.openxmlformats.org/officeDocument/2006/relationships/hyperlink" Id="rId54" Target="https://doi.org/10.1038/35002501" TargetMode="External" /><Relationship Type="http://schemas.openxmlformats.org/officeDocument/2006/relationships/hyperlink" Id="rId20" Target="https://doi.org/10.14393/SN-v34-2022-60335" TargetMode="External" /><Relationship Type="http://schemas.openxmlformats.org/officeDocument/2006/relationships/hyperlink" Id="rId31" Target="https://doi.org/10.15560/13.5.581" TargetMode="External" /><Relationship Type="http://schemas.openxmlformats.org/officeDocument/2006/relationships/hyperlink" Id="rId57" Target="https://doi.org/10.1590/S1413-70542006000500027" TargetMode="External" /><Relationship Type="http://schemas.openxmlformats.org/officeDocument/2006/relationships/hyperlink" Id="rId45" Target="https://doi.org/10.1590/S1519-69842010000200004" TargetMode="External" /><Relationship Type="http://schemas.openxmlformats.org/officeDocument/2006/relationships/hyperlink" Id="rId66" Target="https://doi.org/10.5016/DT000610176" TargetMode="External" /><Relationship Type="http://schemas.openxmlformats.org/officeDocument/2006/relationships/hyperlink" Id="rId48" Target="https://encurtador.com.br/kLle" TargetMode="External" /><Relationship Type="http://schemas.openxmlformats.org/officeDocument/2006/relationships/hyperlink" Id="rId60"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26" Target="https://credit.niso.org/" TargetMode="External" /><Relationship Type="http://schemas.openxmlformats.org/officeDocument/2006/relationships/hyperlink" Id="rId40" Target="https://doi.org/10.1002/jez.2320" TargetMode="External" /><Relationship Type="http://schemas.openxmlformats.org/officeDocument/2006/relationships/hyperlink" Id="rId17" Target="https://doi.org/10.1002/wer.1221" TargetMode="External" /><Relationship Type="http://schemas.openxmlformats.org/officeDocument/2006/relationships/hyperlink" Id="rId42" Target="https://doi.org/10.1007/978-1-4613-0501-9_5" TargetMode="External" /><Relationship Type="http://schemas.openxmlformats.org/officeDocument/2006/relationships/hyperlink" Id="rId22" Target="https://doi.org/10.1007/s10669-011-9380-3" TargetMode="External" /><Relationship Type="http://schemas.openxmlformats.org/officeDocument/2006/relationships/hyperlink" Id="rId52" Target="https://doi.org/10.1007/s10750-006-0252-7" TargetMode="External" /><Relationship Type="http://schemas.openxmlformats.org/officeDocument/2006/relationships/hyperlink" Id="rId33" Target="https://doi.org/10.1007/s13530-020-00042-w" TargetMode="External" /><Relationship Type="http://schemas.openxmlformats.org/officeDocument/2006/relationships/hyperlink" Id="rId68" Target="https://doi.org/10.1016/S0027-5107(97)00265-0" TargetMode="External" /><Relationship Type="http://schemas.openxmlformats.org/officeDocument/2006/relationships/hyperlink" Id="rId64" Target="https://doi.org/10.1016/j.cbpc.2017.08.008" TargetMode="External" /><Relationship Type="http://schemas.openxmlformats.org/officeDocument/2006/relationships/hyperlink" Id="rId28" Target="https://doi.org/10.1016/j.ecoenv.2018.09.111" TargetMode="External" /><Relationship Type="http://schemas.openxmlformats.org/officeDocument/2006/relationships/hyperlink" Id="rId70" Target="https://doi.org/10.1016/j.mrfmmm.2004.06.006" TargetMode="External" /><Relationship Type="http://schemas.openxmlformats.org/officeDocument/2006/relationships/hyperlink" Id="rId37" Target="https://doi.org/10.1023/A:1026560922731" TargetMode="External" /><Relationship Type="http://schemas.openxmlformats.org/officeDocument/2006/relationships/hyperlink" Id="rId54" Target="https://doi.org/10.1038/35002501" TargetMode="External" /><Relationship Type="http://schemas.openxmlformats.org/officeDocument/2006/relationships/hyperlink" Id="rId20" Target="https://doi.org/10.14393/SN-v34-2022-60335" TargetMode="External" /><Relationship Type="http://schemas.openxmlformats.org/officeDocument/2006/relationships/hyperlink" Id="rId31" Target="https://doi.org/10.15560/13.5.581" TargetMode="External" /><Relationship Type="http://schemas.openxmlformats.org/officeDocument/2006/relationships/hyperlink" Id="rId57" Target="https://doi.org/10.1590/S1413-70542006000500027" TargetMode="External" /><Relationship Type="http://schemas.openxmlformats.org/officeDocument/2006/relationships/hyperlink" Id="rId45" Target="https://doi.org/10.1590/S1519-69842010000200004" TargetMode="External" /><Relationship Type="http://schemas.openxmlformats.org/officeDocument/2006/relationships/hyperlink" Id="rId66" Target="https://doi.org/10.5016/DT000610176" TargetMode="External" /><Relationship Type="http://schemas.openxmlformats.org/officeDocument/2006/relationships/hyperlink" Id="rId48" Target="https://encurtador.com.br/kLle" TargetMode="External" /><Relationship Type="http://schemas.openxmlformats.org/officeDocument/2006/relationships/hyperlink" Id="rId60"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81</Words>
  <Characters>439</Characters>
  <Application>Microsoft Office Word</Application>
  <DocSecurity>0</DocSecurity>
  <Lines>3</Lines>
  <Paragraphs>1</Paragraphs>
  <ScaleCrop>false</ScaleCrop>
  <Company/>
  <LinksUpToDate>false</LinksUpToDate>
  <CharactersWithSpaces>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Physiological biomarkers of stream fish from the Atlantic Forest within a Conservation Unit and its surroundings</dc:title>
  <dc:creator>Adamastor Coutinho Pinto; Mayara Mirelly da Silva Monteiro; Alice da Silva Barros; Larissa Rafaela Caetano da Silva; Enelise Marcelle Amado; Elvio Sergio Figueredo Medeiros</dc:creator>
  <dc:language>en-US</dc:language>
  <cp:keywords>Ecological Health, Physiological Stress</cp:keywords>
  <dcterms:created xsi:type="dcterms:W3CDTF">2026-05-28T17:50:03Z</dcterms:created>
  <dcterms:modified xsi:type="dcterms:W3CDTF">2026-05-28T17:50:03Z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2026-05-28</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Physiological biomarkers of fish as predictors of habitat quality in an Atlantic Forest stream Linking fish physiological biomarkers to habitat integrity in an Atlantic Forest Stream</vt:lpwstr>
  </property>
  <property fmtid="{D5CDD505-2E9C-101B-9397-08002B2CF9AE}" pid="21" name="toc-title">
    <vt:lpwstr>Table of contents</vt:lpwstr>
  </property>
</Properties>
</file>