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3.png" ContentType="image/png"/>
  <Override PartName="/word/media/rId94.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86.png" ContentType="image/png"/>
  <Override PartName="/word/media/rId9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Physiological biomarkers of fish as predictors of habitat quality in an Atlantic Forest stream</w:t>
      </w:r>
      <w:r>
        <w:t xml:space="preserve"> </w:t>
      </w:r>
      <w:r>
        <w:t xml:space="preserve">Linking fish physiological biomarkers to habitat integrity in an Atlantic Forest Stream</w:t>
      </w:r>
    </w:p>
    <w:p>
      <w:pPr>
        <w:pStyle w:val="Author"/>
      </w:pPr>
      <w:r>
        <w:t xml:space="preserve">Adamastor Coutinho Pinto</w:t>
      </w:r>
    </w:p>
    <w:p>
      <w:pPr>
        <w:pStyle w:val="Author"/>
      </w:pPr>
      <w:r>
        <w:t xml:space="preserve">Mayara Mirelly da Silva Monteiro</w:t>
      </w:r>
    </w:p>
    <w:p>
      <w:pPr>
        <w:pStyle w:val="Author"/>
      </w:pPr>
      <w:r>
        <w:t xml:space="preserve">Alice da Silva Barros</w:t>
      </w:r>
    </w:p>
    <w:p>
      <w:pPr>
        <w:pStyle w:val="Author"/>
      </w:pPr>
      <w:r>
        <w:t xml:space="preserve">Larissa Rafaela Caetano da Silva</w:t>
      </w:r>
    </w:p>
    <w:p>
      <w:pPr>
        <w:pStyle w:val="Author"/>
      </w:pPr>
      <w:r>
        <w:t xml:space="preserve">Enelise Marcelle Amado</w:t>
      </w:r>
    </w:p>
    <w:p>
      <w:pPr>
        <w:pStyle w:val="Author"/>
      </w:pPr>
      <w:r>
        <w:t xml:space="preserve">Elvio Sergio Figueredo Medeiros</w:t>
      </w:r>
    </w:p>
    <w:p>
      <w:pPr>
        <w:pStyle w:val="Data"/>
      </w:pPr>
      <w:r>
        <w:t xml:space="preserve">2026-03-24</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mapa">
        <w:r>
          <w:rPr>
            <w:rStyle w:val="Hyperlink"/>
          </w:rPr>
          <w:t xml:space="preserve">Figure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2025)</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1" w:name="material-and-methods"/>
    <w:p>
      <w:pPr>
        <w:pStyle w:val="Ttulo1"/>
      </w:pPr>
      <w:r>
        <w:t xml:space="preserve">2. Material and Methods</w:t>
      </w:r>
    </w:p>
    <w:p>
      <w:pPr>
        <w:pStyle w:val="FirstParagraph"/>
      </w:pPr>
      <w:r>
        <w:rPr>
          <w:b/>
          <w:bCs/>
        </w:rPr>
        <w:t xml:space="preserve">Study area and sampling design.</w:t>
      </w:r>
      <w:r>
        <w:t xml:space="preserve"> </w:t>
      </w:r>
      <w:r>
        <w:t xml:space="preserve">This study was conducted in the Guaribas Biological Reserve (REBIO Guaribas), in northeastern Brazil, a protected area created in 1990 to preserve one of the last remnants of the Atlantic Forest</w:t>
      </w:r>
      <w:r>
        <w:t xml:space="preserve"> </w:t>
      </w:r>
      <w:r>
        <w:t xml:space="preserve">(Brasil, 2000; MMA, n.d.)</w:t>
      </w:r>
      <w:r>
        <w:t xml:space="preserve">. The reserve is located in the municipality of Mamanguape, state of Paraíba, in a heterogeneous landscape influenced by the adjacent Caatinga and Cerrado biomes. The regional climate is classified as As’</w:t>
      </w:r>
      <w:r>
        <w:t xml:space="preserve"> </w:t>
      </w:r>
      <w:r>
        <w:t xml:space="preserve">(Köppen &amp; Geiger, 1928)</w:t>
      </w:r>
      <w:r>
        <w:t xml:space="preserve">, characterized by a rainy season from February to July and a dry period from October to December</w:t>
      </w:r>
      <w:r>
        <w:t xml:space="preserve"> </w:t>
      </w:r>
      <w:r>
        <w:t xml:space="preserve">(Peel et al., 2007)</w:t>
      </w:r>
      <w:r>
        <w:t xml:space="preserve">. The average annual temperature varies from 24 to 26 °C, while the annual rainfall varies between 1,750 and 2,000 mm. The hydrographic network is composed of small streams fed by rain, notably the Barro Branco stream, a tributary of the Camaratuba River, where this study was carried out. These systems are influenced by riparian vegetation; however, parts of the buffer zone exhibit different levels of anthropogenic disturbance</w:t>
      </w:r>
      <w:r>
        <w:t xml:space="preserve"> </w:t>
      </w:r>
      <w:r>
        <w:t xml:space="preserve">(Gouveia et al., 2017)</w:t>
      </w:r>
      <w:r>
        <w:t xml:space="preserve">. The surrounding landscape is predominantly agricultural, including sugarcane and coconut plantations, livestock farming, and small orchards. These land uses can act as sources of diffuse pollution, especially through pesticide runoff and domestic effluents, creating a spatial gradient of environmental disturbance</w:t>
      </w:r>
      <w:r>
        <w:t xml:space="preserve"> </w:t>
      </w:r>
      <w:r>
        <w:t xml:space="preserve">(MMA, n.d.; Soler, 2004)</w:t>
      </w:r>
      <w:r>
        <w:t xml:space="preserve">. Sampling was conducted along the Barro Branco stream, comprising six sampling sites, and at each site, three subsamples were collected between November 2023 and February 2024. The sampling sites were distributed longitudinally to capture environmental variability and gradients of human influence. Sites P1 to P3 were located within the reserve, where more preserved conditions were expected, while sites P4 to P6 were situated in the buffer zone or in adjacent areas with greater human influence (</w:t>
      </w:r>
      <w:hyperlink w:anchor="fig-mapa">
        <w:r>
          <w:rPr>
            <w:rStyle w:val="Hyperlink"/>
          </w:rPr>
          <w:t xml:space="preserve">Figure 1</w:t>
        </w:r>
      </w:hyperlink>
      <w:r>
        <w:t xml:space="preserve">). This design aimed to include different levels of habitat integrity, riparian condition, and water quality.</w:t>
      </w:r>
    </w:p>
    <w:p>
      <w:pPr>
        <w:pStyle w:val="Corpodetexto"/>
      </w:pPr>
      <w:r>
        <w:t xml:space="preserve">For the sake of comparison, we classified all sites into four categories defined</w:t>
      </w:r>
      <w:r>
        <w:t xml:space="preserve"> </w:t>
      </w:r>
      <w:r>
        <w:rPr>
          <w:i/>
          <w:iCs/>
        </w:rPr>
        <w:t xml:space="preserve">a priori</w:t>
      </w:r>
      <w:r>
        <w:t xml:space="preserve"> </w:t>
      </w:r>
      <w:r>
        <w:t xml:space="preserve">(</w:t>
      </w:r>
      <w:hyperlink w:anchor="fig-refsites">
        <w:r>
          <w:rPr>
            <w:rStyle w:val="Hyperlink"/>
          </w:rPr>
          <w:t xml:space="preserve">Figure 2</w:t>
        </w:r>
      </w:hyperlink>
      <w:r>
        <w:t xml:space="preserve">). Reference site or Type I site, which are the sites that occur within the conservation unit and are well preserved, with intact riparian forest and no crop fields nearby (at least 1 km distant), free flowing water (≥ 0.25 m/s), high dissolved oxygen concentration (≥ 6 mg/L) and temperature below 28 °C. Type II sites, are those that occur within the conservation unit, but are not well preserved, failing in one or more of the water quality criteria and/or having its riparian vegetation removed or managed. Type III sites are those outside the conservation unit but meet the water quality criteria for a type I site, and type IV sites are those that fall outside the conservation unit and are also disturbed, not meeting the water quality criteria for a type I site. Sites type III and IV were intentionally chosen not to meet the riparian forest and crop proximity criteria. Since they fall outside of the REBIO they are not expected to have intact riparian forest or to be at least 1 km distant from a crop field.</w:t>
      </w:r>
    </w:p>
    <w:p>
      <w:pPr>
        <w:pStyle w:val="Corpodetexto"/>
      </w:pPr>
      <w:r>
        <w:rPr>
          <w:b/>
          <w:bCs/>
        </w:rPr>
        <w:t xml:space="preserve">Environmental data collection.</w:t>
      </w:r>
      <w:r>
        <w:t xml:space="preserve"> </w:t>
      </w:r>
      <w:r>
        <w:t xml:space="preserve">Environmental characteristics of each sampling site were measured in four sets of variables: (a) site morphology, (b) water quality, (c) sediment composition, and (d) marginal habitat structure</w:t>
      </w:r>
      <w:r>
        <w:t xml:space="preserve"> </w:t>
      </w:r>
      <w:r>
        <w:t xml:space="preserve">Medeiros et al. (2008)</w:t>
      </w:r>
      <w:r>
        <w:t xml:space="preserve">. Site morphology was assessed by site width (cm) and depth (cm) and catchment scale variables (such as elevation and stream length) measured using handheld GPS and satellite imagery. Water quality was measured as physical and chemical variables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adapted by</w:t>
      </w:r>
      <w:r>
        <w:t xml:space="preserve"> </w:t>
      </w:r>
      <w:r>
        <w:t xml:space="preserve">Medeiros et al. (2008)</w:t>
      </w:r>
      <w:r>
        <w:t xml:space="preserve"> </w:t>
      </w:r>
      <w:r>
        <w:t xml:space="preserve">from</w:t>
      </w:r>
      <w:r>
        <w:t xml:space="preserve"> </w:t>
      </w:r>
      <w:r>
        <w:t xml:space="preserve">(Mugodo et al., 2006; Pusey et al., 2004)</w:t>
      </w:r>
      <w:r>
        <w:t xml:space="preserve">.</w:t>
      </w:r>
    </w:p>
    <w:p>
      <w:pPr>
        <w:pStyle w:val="Corpodetexto"/>
      </w:pPr>
      <w:r>
        <w:rPr>
          <w:b/>
          <w:bCs/>
        </w:rPr>
        <w:t xml:space="preserve">Fish collection and maintenance.</w:t>
      </w:r>
      <w:r>
        <w:t xml:space="preserve"> </w:t>
      </w:r>
      <w:r>
        <w:t xml:space="preserve">Fish collection was conducted between October and November 2023 across six previously established sites (three inside the Reserva Biológica Guaribas and three in the surrounding area) using a hand net in a sweeping motion in shallow waters. Effort of capture was standardized across all sampling occasions and sites. To ensure specimen survival for the ecophysiological analyses, the fish caught were not chemically fixed; instead, they were immediately transferred to plastic bags containing local water and pumped air. Sorting, taxonomic identification, and subsequent experimental procedures were carried out at the Animal Ecophysiology Laboratory (LEFA) of Universidade Estadual da Paraíba (UEPB - campus V, João Pessoa, Brazil). To analyze osmoregulatory function, blood samples were taken from 78 individuals (38 from inside the reserve and 40 from the outside). For that, these fish were anesthetized with eugenol, and a blood aliquot was obtained by puncturing the heart using a pipette with a heparinized tip. The samples were kept on ice, and plasma was subsequently separated from cells by centrifugation. Due to the low plasma volume obtained from these small fish, the chlorine ions assay could not be performed. From those same specimens, gill and muscle were extracted in order to calculate the moisture content of tissues. Plasma and tissue samples were stored in a freezer at -20°C until the analyses were carried out. The remaining 111 individuals (54 from the reserve’s interior and 57 from the exterior) were used in the multixenobiotic resistance (MXR) phenotype assay</w:t>
      </w:r>
      <w:r>
        <w:t xml:space="preserve"> </w:t>
      </w:r>
      <w:r>
        <w:t xml:space="preserve">(David et al., 2018; Macêdo et al., 2019; Santos et al., 2017)</w:t>
      </w:r>
      <w:r>
        <w:t xml:space="preserve">.</w:t>
      </w:r>
    </w:p>
    <w:p>
      <w:pPr>
        <w:pStyle w:val="Corpodetexto"/>
      </w:pPr>
      <w:r>
        <w:rPr>
          <w:b/>
          <w:bCs/>
        </w:rPr>
        <w:t xml:space="preserve">Plasmatic protein dosage.</w:t>
      </w:r>
      <w:r>
        <w:t xml:space="preserve"> </w:t>
      </w: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p>
      <w:pPr>
        <w:pStyle w:val="Corpodetexto"/>
      </w:pPr>
      <w:r>
        <w:rPr>
          <w:b/>
          <w:bCs/>
        </w:rPr>
        <w:t xml:space="preserve">Moisture content.</w:t>
      </w:r>
      <w:r>
        <w:t xml:space="preserve"> </w:t>
      </w: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p>
      <w:pPr>
        <w:pStyle w:val="Corpodetexto"/>
      </w:pPr>
      <w:r>
        <w:rPr>
          <w:b/>
          <w:bCs/>
        </w:rPr>
        <w:t xml:space="preserve">MXR phenotype activity.</w:t>
      </w:r>
      <w:r>
        <w:t xml:space="preserve"> </w:t>
      </w: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p>
      <w:pPr>
        <w:pStyle w:val="Corpodetexto"/>
      </w:pPr>
      <w:r>
        <w:rPr>
          <w:b/>
          <w:bCs/>
        </w:rPr>
        <w:t xml:space="preserve">Statistical analysis.</w:t>
      </w:r>
      <w:r>
        <w:t xml:space="preserve"> </w:t>
      </w:r>
      <w:r>
        <w:t xml:space="preserve">Environmental variables were checked for multivariate collinearity and square root transformed before analyses</w:t>
      </w:r>
      <w:r>
        <w:t xml:space="preserve"> </w:t>
      </w:r>
      <w:r>
        <w:t xml:space="preserve">Sokal &amp; Rohlf (1995)</w:t>
      </w:r>
      <w:r>
        <w:t xml:space="preserve">.</w:t>
      </w:r>
    </w:p>
    <w:p>
      <w:pPr>
        <w:pStyle w:val="Corpodetexto"/>
      </w:pPr>
      <w:r>
        <w:t xml:space="preserve">These variables were subsequently subjected to Principal Component Analysis (PCA) to evaluate multivariate correlations among sites. Prior to analysis,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&amp; Grace (2002)</w:t>
      </w:r>
      <w:r>
        <w:t xml:space="preserve">. PCA was performed using the</w:t>
      </w:r>
      <w:r>
        <w:t xml:space="preserve"> </w:t>
      </w:r>
      <w:r>
        <w:rPr>
          <w:rStyle w:val="VerbatimChar"/>
        </w:rPr>
        <w:t xml:space="preserve">FactoMineR</w:t>
      </w:r>
      <w:r>
        <w:t xml:space="preserve"> </w:t>
      </w:r>
      <w:r>
        <w:t xml:space="preserve">package in R</w:t>
      </w:r>
      <w:r>
        <w:t xml:space="preserve"> </w:t>
      </w:r>
      <w:r>
        <w:t xml:space="preserve">Lê et al. (2008)</w:t>
      </w:r>
      <w:r>
        <w:t xml:space="preserve">. All variables were centered and scaled to unit of variance.</w:t>
      </w:r>
    </w:p>
    <w:bookmarkEnd w:id="21"/>
    <w:bookmarkStart w:id="22" w:name="results"/>
    <w:p>
      <w:pPr>
        <w:pStyle w:val="Ttulo1"/>
      </w:pPr>
      <w:r>
        <w:t xml:space="preserve">3. Results</w:t>
      </w:r>
    </w:p>
    <w:p>
      <w:pPr>
        <w:pStyle w:val="FirstParagraph"/>
      </w:pPr>
      <w:r>
        <w:rPr>
          <w:b/>
          <w:bCs/>
        </w:rPr>
        <w:t xml:space="preserve">Environmental variables.</w:t>
      </w:r>
      <w:r>
        <w:t xml:space="preserve"> </w:t>
      </w:r>
      <w:r>
        <w:t xml:space="preserve">Water flow was generally slow or absent across sampled streams (0.00-0.35 m/s). Stream sites tended to be narrow, with widths ranging from 0.66 to 16.0 m. Average depths varied from 9.0 to 51.3 cm across all sites. Dissolved oxygen (DO) ranged from 4.9 to 8.5 mg/L and temperatures from 24.9 to 28.5 °C. Waters were slightly acidic to neutral, with pH ranging from 4.5 to 7.7. Mud and sand were the main substrates across all sampled sites (with average covers of 72.4 and 27.6%, respectively), while coarse substrates were absent. The habitat elements that gave greater overall contributions were overhanging terrestrial vegetation (53.8% on average), root masses (13.1%), littoral grass (11.1%) and leaf litter (11.1%), but these contributions varied widely across sites.</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w:t>
      </w:r>
      <w:r>
        <w:t xml:space="preserve"> </w:t>
      </w:r>
      <w:hyperlink w:anchor="fig-hab_PCA_fviz">
        <w:r>
          <w:rPr>
            <w:rStyle w:val="Hyperlink"/>
          </w:rPr>
          <w:t xml:space="preserve">Figure 3</w:t>
        </w:r>
      </w:hyperlink>
      <w:r>
        <w:t xml:space="preserve">. PCA explained 52.4% of the variance in the environmental variables, with the first axis (30.9%) showing a clear spatial gradient. This primary axis separated sites P08 and P10—characterized by greater stream width, depth, and sandy substrate—from sites P05, P06, and P07, which were associated with muddy substrates, higher DO, and dense overhanging vegetation. The second axis (21.5%) was primarily driven by local habitat features, separating site P09, which was strongly associated with root masses and water velocity, from sites characterized by attached algae and macrophytes. The overall multivariate conditions did not differ significantly between the interior and the surroundings of the reserve, although specific local variables such as water turbidity, leaf litter cover, and attached algae were important in explaining specific sites across the conservation unit’s boundary.</w:t>
      </w:r>
    </w:p>
    <w:p>
      <w:pPr>
        <w:pStyle w:val="Corpodetexto"/>
      </w:pPr>
      <w:r>
        <w:rPr>
          <w:b/>
          <w:bCs/>
        </w:rPr>
        <w:t xml:space="preserve">Fish community.</w:t>
      </w:r>
      <w:r>
        <w:t xml:space="preserve"> </w:t>
      </w:r>
      <w:r>
        <w:t xml:space="preserve">A total of 422 individuals were collected. Fish were distributed among 6 species, 2 families, and a single order Characiformes. Among the families recorded, Characidae was the richest with 5 species, Astyanax bimaculatus, Astyanax fasciatus, Hemigrammus marginatus, Hemigrammus rodwayi, and Hemigrammus unilineatus, while Crenuchidae was represented by only 1 species, Characidium bimaculatum, with a single specimen collected. The most abundant species were Hemigrammus unilineatus (45.2% of the individuals colleted). Other abundant species were Hemigrammus rodwayi (23.7%) and Hemigrammus marginatus (18.2%), establishing Hemigrammus as the dominant genus in the study area. Regarding their spatial distribution, only 1 species (H. unilineatus) was present at the sites located inside the Reserva Biológica Guaribas, whereas all 6 species were recorded in the surrounding areas. Out of the total collected fish, 118 specimens were submitted to the rhodamine B accumulation assay (MXR), 78 were used for total plasmatic protein dosage and moisture content quantification, and 226 individuals died prior to the physiological procedures</w:t>
      </w:r>
      <w:r>
        <w:t xml:space="preserve"> </w:t>
      </w:r>
      <w:hyperlink w:anchor="tbl-abund">
        <w:r>
          <w:rPr>
            <w:rStyle w:val="Hyperlink"/>
          </w:rPr>
          <w:t xml:space="preserve">Table 1</w:t>
        </w:r>
      </w:hyperlink>
      <w:r>
        <w:t xml:space="preserve">.</w:t>
      </w:r>
    </w:p>
    <w:p>
      <w:pPr>
        <w:pStyle w:val="Corpodetexto"/>
      </w:pPr>
      <w:r>
        <w:rPr>
          <w:b/>
          <w:bCs/>
        </w:rPr>
        <w:t xml:space="preserve">Plasmatic protein dosage.</w:t>
      </w:r>
      <w:r>
        <w:t xml:space="preserve"> </w:t>
      </w:r>
      <w:r>
        <w:t xml:space="preserve">The average plasmatic protein concentration, parameter that is 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boxtpinandout">
        <w:r>
          <w:rPr>
            <w:rStyle w:val="Hyperlink"/>
          </w:rPr>
          <w:t xml:space="preserve">Figure 4</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"C:/Users/Mirelly/Downloads/mxr23_Q"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boxtpsites">
        <w:r>
          <w:rPr>
            <w:rStyle w:val="Hyperlink"/>
          </w:rPr>
          <w:t xml:space="preserve">Figure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p>
      <w:pPr>
        <w:pStyle w:val="Corpodetexto"/>
      </w:pPr>
      <w:r>
        <w:rPr>
          <w:b/>
          <w:bCs/>
        </w:rPr>
        <w:t xml:space="preserve">Moisture content.</w:t>
      </w:r>
      <w:r>
        <w:t xml:space="preserve"> </w:t>
      </w: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w:t>
      </w:r>
      <w:r>
        <w:t xml:space="preserve"> </w:t>
      </w:r>
      <w:r>
        <w:t xml:space="preserve">Haredi et al. (2020)</w:t>
      </w:r>
      <w:r>
        <w:t xml:space="preserve">. However, through T test (gills, which data had normal variation) and Kruskal-Wallis test (muscle, with non-normal variation data), it was detected statistical difference for both tissues between fish from the sampling sites inside and outside the Guaribas (</w:t>
      </w:r>
      <w:hyperlink w:anchor="fig-mcsites">
        <w:r>
          <w:rPr>
            <w:rStyle w:val="Hyperlink"/>
          </w:rPr>
          <w:t xml:space="preserve">Figure 6</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boxmmcsites">
        <w:r>
          <w:rPr>
            <w:rStyle w:val="Hyperlink"/>
          </w:rPr>
          <w:t xml:space="preserve">Figure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p>
      <w:pPr>
        <w:pStyle w:val="Corpodetexto"/>
      </w:pPr>
      <w:r>
        <w:rPr>
          <w:b/>
          <w:bCs/>
        </w:rPr>
        <w:t xml:space="preserve">MXR phenotype activity.</w:t>
      </w:r>
      <w:r>
        <w:t xml:space="preserve"> </w:t>
      </w: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w:t>
      </w:r>
      <w:r>
        <w:t xml:space="preserve"> </w:t>
      </w:r>
      <w:r>
        <w:t xml:space="preserve">Kurelec et al. (2000)</w:t>
      </w:r>
      <w:r>
        <w:t xml:space="preserve">.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w:t>
      </w:r>
      <w:r>
        <w:t xml:space="preserve"> </w:t>
      </w:r>
      <w:r>
        <w:t xml:space="preserve">(Smital et al., 2004)</w:t>
      </w:r>
      <w:r>
        <w:t xml:space="preserve"> </w:t>
      </w:r>
      <w:r>
        <w:t xml:space="preserve">Despite the unexpected result, the variance difference between data from the MXR phenotype activity inside and outside the ReBio Guaribas (confirmed by the Kruskal-Wallis test and illustrated in (</w:t>
      </w:r>
      <w:hyperlink w:anchor="fig-fluorescence">
        <w:r>
          <w:rPr>
            <w:rStyle w:val="Hyperlink"/>
          </w:rPr>
          <w:t xml:space="preserve">Figure 8</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boxmxr">
        <w:r>
          <w:rPr>
            <w:rStyle w:val="Hyperlink"/>
          </w:rPr>
          <w:t xml:space="preserve">Figure 9</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rPr>
          <w:b/>
          <w:bCs/>
        </w:rPr>
        <w:t xml:space="preserve">Abiotic data.</w:t>
      </w:r>
      <w:r>
        <w:t xml:space="preserve"> </w:t>
      </w: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2"/>
    <w:bookmarkStart w:id="23"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w:t>
      </w:r>
      <w:r>
        <w:t xml:space="preserve"> </w:t>
      </w:r>
      <w:hyperlink w:anchor="fig-bar">
        <w:r>
          <w:rPr>
            <w:rStyle w:val="Hyperlink"/>
          </w:rPr>
          <w:t xml:space="preserve">Figure 10</w:t>
        </w:r>
      </w:hyperlink>
      <w:r>
        <w:t xml:space="preserve">, highlighting the total protein as one that proved itself as an excellent biomarker to detect pollutants in the aquatic environment.</w:t>
      </w:r>
    </w:p>
    <w:p>
      <w:pPr>
        <w:pStyle w:val="SourceCode"/>
      </w:pPr>
      <w:r>
        <w:rPr>
          <w:rStyle w:val="NormalTok"/>
        </w:rPr>
        <w:t xml:space="preserve">md</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"inside"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mf</w:t>
      </w:r>
      <w:r>
        <w:rPr>
          <w:rStyle w:val="OtherTok"/>
        </w:rPr>
        <w:t xml:space="preserve">=</w:t>
      </w:r>
      <w:r>
        <w:rPr>
          <w:rStyle w:val="FunctionTok"/>
        </w:rPr>
        <w:t xml:space="preserve">colMeans</w:t>
      </w:r>
      <w:r>
        <w:rPr>
          <w:rStyle w:val="NormalTok"/>
        </w:rPr>
        <w:t xml:space="preserve">(tcc[</w:t>
      </w:r>
      <w:r>
        <w:rPr>
          <w:rStyle w:val="FunctionTok"/>
        </w:rPr>
        <w:t xml:space="preserve">grep</w:t>
      </w:r>
      <w:r>
        <w:rPr>
          <w:rStyle w:val="NormalTok"/>
        </w:rPr>
        <w:t xml:space="preserve">(</w:t>
      </w:r>
      <w:r>
        <w:rPr>
          <w:rStyle w:val="StringTok"/>
        </w:rPr>
        <w:t xml:space="preserve">"outside"</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Local),</w:t>
      </w:r>
      <w:r>
        <w:rPr>
          <w:rStyle w:val="FunctionTok"/>
        </w:rPr>
        <w:t xml:space="preserve">c</w:t>
      </w:r>
      <w:r>
        <w:rPr>
          <w:rStyle w:val="NormalTok"/>
        </w:rPr>
        <w:t xml:space="preserve">(</w:t>
      </w:r>
      <w:r>
        <w:rPr>
          <w:rStyle w:val="DecValTok"/>
        </w:rPr>
        <w:t xml:space="preserve">3</w:t>
      </w:r>
      <w:r>
        <w:rPr>
          <w:rStyle w:val="SpecialCharTok"/>
        </w:rPr>
        <w:t xml:space="preserve">:</w:t>
      </w:r>
      <w:r>
        <w:rPr>
          <w:rStyle w:val="DecValTok"/>
        </w:rPr>
        <w:t xml:space="preserve">6</w:t>
      </w:r>
      <w:r>
        <w:rPr>
          <w:rStyle w:val="NormalTok"/>
        </w:rPr>
        <w:t xml:space="preserve">)],</w:t>
      </w:r>
      <w:r>
        <w:rPr>
          <w:rStyle w:val="AttributeTok"/>
        </w:rPr>
        <w:t xml:space="preserve">na.rm =</w:t>
      </w:r>
      <w:r>
        <w:rPr>
          <w:rStyle w:val="NormalTok"/>
        </w:rPr>
        <w:t xml:space="preserve"> T)</w:t>
      </w:r>
      <w:r>
        <w:br/>
      </w:r>
      <w:r>
        <w:rPr>
          <w:rStyle w:val="NormalTok"/>
        </w:rPr>
        <w:t xml:space="preserve">(médias</w:t>
      </w:r>
      <w:r>
        <w:rPr>
          <w:rStyle w:val="OtherTok"/>
        </w:rPr>
        <w:t xml:space="preserve">=</w:t>
      </w:r>
      <w:r>
        <w:rPr>
          <w:rStyle w:val="FunctionTok"/>
        </w:rPr>
        <w:t xml:space="preserve">matrix</w:t>
      </w:r>
      <w:r>
        <w:rPr>
          <w:rStyle w:val="NormalTok"/>
        </w:rPr>
        <w:t xml:space="preserve">(</w:t>
      </w:r>
      <w:r>
        <w:rPr>
          <w:rStyle w:val="FunctionTok"/>
        </w:rPr>
        <w:t xml:space="preserve">c</w:t>
      </w:r>
      <w:r>
        <w:rPr>
          <w:rStyle w:val="NormalTok"/>
        </w:rPr>
        <w:t xml:space="preserve">(md,mf),</w:t>
      </w:r>
      <w:r>
        <w:rPr>
          <w:rStyle w:val="AttributeTok"/>
        </w:rPr>
        <w:t xml:space="preserve">byrow=</w:t>
      </w:r>
      <w:r>
        <w:rPr>
          <w:rStyle w:val="NormalTok"/>
        </w:rPr>
        <w:t xml:space="preserve">T,</w:t>
      </w:r>
      <w:r>
        <w:rPr>
          <w:rStyle w:val="AttributeTok"/>
        </w:rPr>
        <w:t xml:space="preserve">nrow =</w:t>
      </w:r>
      <w:r>
        <w:rPr>
          <w:rStyle w:val="NormalTok"/>
        </w:rPr>
        <w:t xml:space="preserve"> </w:t>
      </w:r>
      <w:r>
        <w:rPr>
          <w:rStyle w:val="DecValTok"/>
        </w:rPr>
        <w:t xml:space="preserve">2</w:t>
      </w:r>
      <w:r>
        <w:rPr>
          <w:rStyle w:val="NormalTok"/>
        </w:rPr>
        <w:t xml:space="preserve">,</w:t>
      </w:r>
      <w:r>
        <w:rPr>
          <w:rStyle w:val="AttributeTok"/>
        </w:rPr>
        <w:t xml:space="preserve">ncol=</w:t>
      </w:r>
      <w:r>
        <w:rPr>
          <w:rStyle w:val="DecValTok"/>
        </w:rPr>
        <w:t xml:space="preserve">4</w:t>
      </w:r>
      <w:r>
        <w:rPr>
          <w:rStyle w:val="NormalTok"/>
        </w:rPr>
        <w:t xml:space="preserve">,</w:t>
      </w:r>
      <w:r>
        <w:rPr>
          <w:rStyle w:val="AttributeTok"/>
        </w:rPr>
        <w:t xml:space="preserve">dimnames=</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rPr>
          <w:rStyle w:val="FunctionTok"/>
        </w:rPr>
        <w:t xml:space="preserve">c</w:t>
      </w:r>
      <w:r>
        <w:rPr>
          <w:rStyle w:val="NormalTok"/>
        </w:rPr>
        <w:t xml:space="preserve">(</w:t>
      </w:r>
      <w:r>
        <w:rPr>
          <w:rStyle w:val="StringTok"/>
        </w:rPr>
        <w:t xml:space="preserve">"GMC"</w:t>
      </w:r>
      <w:r>
        <w:rPr>
          <w:rStyle w:val="NormalTok"/>
        </w:rPr>
        <w:t xml:space="preserve">,</w:t>
      </w:r>
      <w:r>
        <w:rPr>
          <w:rStyle w:val="StringTok"/>
        </w:rPr>
        <w:t xml:space="preserve">"MMC"</w:t>
      </w:r>
      <w:r>
        <w:rPr>
          <w:rStyle w:val="NormalTok"/>
        </w:rPr>
        <w:t xml:space="preserve">,</w:t>
      </w:r>
      <w:r>
        <w:rPr>
          <w:rStyle w:val="StringTok"/>
        </w:rPr>
        <w:t xml:space="preserve">"TP"</w:t>
      </w:r>
      <w:r>
        <w:rPr>
          <w:rStyle w:val="NormalTok"/>
        </w:rPr>
        <w:t xml:space="preserve">,</w:t>
      </w:r>
      <w:r>
        <w:rPr>
          <w:rStyle w:val="StringTok"/>
        </w:rPr>
        <w:t xml:space="preserve">"MXR"</w:t>
      </w:r>
      <w:r>
        <w:rPr>
          <w:rStyle w:val="NormalTok"/>
        </w:rPr>
        <w:t xml:space="preserve">))))</w:t>
      </w:r>
      <w:r>
        <w:br/>
      </w:r>
      <w:r>
        <w:rPr>
          <w:rStyle w:val="NormalTok"/>
        </w:rPr>
        <w:t xml:space="preserve">(</w:t>
      </w:r>
      <w:r>
        <w:rPr>
          <w:rStyle w:val="AttributeTok"/>
        </w:rPr>
        <w:t xml:space="preserve">prop=</w:t>
      </w:r>
      <w:r>
        <w:rPr>
          <w:rStyle w:val="FunctionTok"/>
        </w:rPr>
        <w:t xml:space="preserve">proportions</w:t>
      </w:r>
      <w:r>
        <w:rPr>
          <w:rStyle w:val="NormalTok"/>
        </w:rPr>
        <w:t xml:space="preserve">(médias,</w:t>
      </w:r>
      <w:r>
        <w:rPr>
          <w:rStyle w:val="DecValTok"/>
        </w:rPr>
        <w:t xml:space="preserve">2</w:t>
      </w:r>
      <w:r>
        <w:rPr>
          <w:rStyle w:val="NormalTok"/>
        </w:rPr>
        <w:t xml:space="preserve">))</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AttributeTok"/>
        </w:rPr>
        <w:t xml:space="preserve">height =</w:t>
      </w:r>
      <w:r>
        <w:rPr>
          <w:rStyle w:val="NormalTok"/>
        </w:rPr>
        <w:t xml:space="preserve"> prop, </w:t>
      </w:r>
      <w:r>
        <w:rPr>
          <w:rStyle w:val="AttributeTok"/>
        </w:rPr>
        <w:t xml:space="preserve">horiz =</w:t>
      </w:r>
      <w:r>
        <w:rPr>
          <w:rStyle w:val="NormalTok"/>
        </w:rPr>
        <w:t xml:space="preserve"> T, </w:t>
      </w:r>
      <w:r>
        <w:rPr>
          <w:rStyle w:val="AttributeTok"/>
        </w:rPr>
        <w:t xml:space="preserve">las=</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"darkgreen"</w:t>
      </w:r>
      <w:r>
        <w:rPr>
          <w:rStyle w:val="NormalTok"/>
        </w:rPr>
        <w:t xml:space="preserve">, </w:t>
      </w:r>
      <w:r>
        <w:rPr>
          <w:rStyle w:val="StringTok"/>
        </w:rPr>
        <w:t xml:space="preserve">"darkred"</w:t>
      </w:r>
      <w:r>
        <w:rPr>
          <w:rStyle w:val="NormalTok"/>
        </w:rPr>
        <w:t xml:space="preserve">), </w:t>
      </w:r>
      <w:r>
        <w:rPr>
          <w:rStyle w:val="AttributeTok"/>
        </w:rPr>
        <w:t xml:space="preserve">legend.text =</w:t>
      </w:r>
      <w:r>
        <w:rPr>
          <w:rStyle w:val="NormalTok"/>
        </w:rPr>
        <w:t xml:space="preserve"> T)</w:t>
      </w:r>
    </w:p>
    <w:p>
      <w:pPr>
        <w:pStyle w:val="FirstParagraph"/>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w:t>
      </w:r>
      <w:r>
        <w:rPr>
          <w:b/>
          <w:bCs/>
        </w:rPr>
        <w:t xml:space="preserve">masullo2020a?</w:t>
      </w:r>
      <w:r>
        <w:t xml:space="preserve">)</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23"/>
    <w:bookmarkStart w:id="24" w:name="conclusions"/>
    <w:p>
      <w:pPr>
        <w:pStyle w:val="Ttulo1"/>
      </w:pPr>
      <w:r>
        <w:t xml:space="preserve">Conclusions</w:t>
      </w:r>
    </w:p>
    <w:bookmarkEnd w:id="24"/>
    <w:bookmarkStart w:id="25" w:name="acknowledgements"/>
    <w:p>
      <w:pPr>
        <w:pStyle w:val="Ttulo1"/>
      </w:pPr>
      <w:r>
        <w:t xml:space="preserve">Acknowledgements</w:t>
      </w:r>
    </w:p>
    <w:p>
      <w:pPr>
        <w:pStyle w:val="FirstParagraph"/>
      </w:pPr>
      <w:r>
        <w:t xml:space="preserve">We are grateful to Thainá da Silva Oliveira for assistance with laboratory activities; and to Ellen Gomes da Silva for assistance with fieldwork activities. ACP and ASB are grateful to Programa de Pós-Graduação em Ecologia e Conservação (PPGEC-UEPB) and CAPES for scholarship grated. MMSM and LRCS are grateful to Programa de Iniciação Científica (PIBIC-UEPB) and CNPq for scholarship granted.</w:t>
      </w:r>
    </w:p>
    <w:bookmarkEnd w:id="25"/>
    <w:bookmarkStart w:id="26"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Adamastor Coutinho Pinto: Conceptualization, Data curation, Formal analysis, Investigation, Software, Visualization, Writing – review &amp; editing, Writing – original draft.</w:t>
      </w:r>
    </w:p>
    <w:p>
      <w:pPr>
        <w:pStyle w:val="Corpodetexto"/>
      </w:pPr>
      <w:r>
        <w:t xml:space="preserve">Mayara Mirelly da Silva Monteiro: Data curation, Formal analysis, Software, Writing – review &amp; editing.</w:t>
      </w:r>
    </w:p>
    <w:p>
      <w:pPr>
        <w:pStyle w:val="Corpodetexto"/>
      </w:pPr>
      <w:r>
        <w:t xml:space="preserve">Alice da Silva Barros: Data curation, Formal analysis, Software, Writing – review &amp; editing.</w:t>
      </w:r>
    </w:p>
    <w:p>
      <w:pPr>
        <w:pStyle w:val="Corpodetexto"/>
      </w:pPr>
      <w:r>
        <w:t xml:space="preserve">Larissa Rafaela Caetano da Silva:Data curation, Formal analysis, Software, Writing – review &amp; editing.</w:t>
      </w:r>
    </w:p>
    <w:p>
      <w:pPr>
        <w:pStyle w:val="Corpodetexto"/>
      </w:pPr>
      <w:r>
        <w:t xml:space="preserve">Enelise Marcelle Amado: Conceptualization, Data curation, Methodology, Project administration, Resources, Supervision, Validation, Writing – review &amp; editing.</w:t>
      </w:r>
    </w:p>
    <w:p>
      <w:pPr>
        <w:pStyle w:val="Corpodetexto"/>
      </w:pPr>
      <w:r>
        <w:t xml:space="preserve">Elvio Sergio Figueredo Medeiros: Conceptualization, Data curation, Formal analysis, Funding acquisition, Methodology, Project administration, Resources, Software, Supervision, Validation, Writing – review &amp; editing.</w:t>
      </w:r>
    </w:p>
    <w:bookmarkEnd w:id="26"/>
    <w:bookmarkStart w:id="27" w:name="ethical-approval"/>
    <w:p>
      <w:pPr>
        <w:pStyle w:val="Ttulo1"/>
      </w:pPr>
      <w:r>
        <w:t xml:space="preserve">Ethical approval</w:t>
      </w:r>
    </w:p>
    <w:p>
      <w:pPr>
        <w:pStyle w:val="FirstParagraph"/>
      </w:pPr>
      <w:r>
        <w:t xml:space="preserve">Fish collection was authorized by the Instituto Chico Mendes de Conservação da Biodiversidade (license SISBIO-89415-2) and the project was approved by the Ethics Committee on Animal Use of the State University of Paraíba (protocol CEUA-048/2023).</w:t>
      </w:r>
    </w:p>
    <w:bookmarkEnd w:id="27"/>
    <w:bookmarkStart w:id="85" w:name="references"/>
    <w:p>
      <w:pPr>
        <w:pStyle w:val="Ttulo1"/>
      </w:pPr>
      <w:r>
        <w:t xml:space="preserve">References</w:t>
      </w:r>
    </w:p>
    <w:bookmarkStart w:id="84" w:name="refs"/>
    <w:bookmarkStart w:id="29"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28">
        <w:r>
          <w:rPr>
            <w:rStyle w:val="Hyperlink"/>
          </w:rPr>
          <w:t xml:space="preserve">https://doi.org/10.1002/wer.1221</w:t>
        </w:r>
      </w:hyperlink>
    </w:p>
    <w:bookmarkEnd w:id="29"/>
    <w:bookmarkStart w:id="30"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0"/>
    <w:bookmarkStart w:id="32"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1">
        <w:r>
          <w:rPr>
            <w:rStyle w:val="Hyperlink"/>
          </w:rPr>
          <w:t xml:space="preserve">https://doi.org/10.14393/SN-v34-2022-60335</w:t>
        </w:r>
      </w:hyperlink>
    </w:p>
    <w:bookmarkEnd w:id="32"/>
    <w:bookmarkStart w:id="34"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33">
        <w:r>
          <w:rPr>
            <w:rStyle w:val="Hyperlink"/>
          </w:rPr>
          <w:t xml:space="preserve">https://doi.org/10.1007/s10669-011-9380-3</w:t>
        </w:r>
      </w:hyperlink>
    </w:p>
    <w:bookmarkEnd w:id="34"/>
    <w:bookmarkStart w:id="35"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35"/>
    <w:bookmarkStart w:id="36" w:name="ref-brasil2000f"/>
    <w:p>
      <w:pPr>
        <w:pStyle w:val="Bibliografia"/>
      </w:pPr>
      <w:r>
        <w:t xml:space="preserve">Brasil. (2000).</w:t>
      </w:r>
      <w:r>
        <w:t xml:space="preserve"> </w:t>
      </w:r>
      <w:r>
        <w:rPr>
          <w:i/>
          <w:iCs/>
        </w:rPr>
        <w:t xml:space="preserve">Lei nº 9.985, de 18 de julho de 2000</w:t>
      </w:r>
      <w:r>
        <w:t xml:space="preserve">.</w:t>
      </w:r>
    </w:p>
    <w:bookmarkEnd w:id="36"/>
    <w:bookmarkStart w:id="38"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37">
        <w:r>
          <w:rPr>
            <w:rStyle w:val="Hyperlink"/>
          </w:rPr>
          <w:t xml:space="preserve">https://credit.niso.org/</w:t>
        </w:r>
      </w:hyperlink>
    </w:p>
    <w:bookmarkEnd w:id="38"/>
    <w:bookmarkStart w:id="40"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39">
        <w:r>
          <w:rPr>
            <w:rStyle w:val="Hyperlink"/>
          </w:rPr>
          <w:t xml:space="preserve">https://doi.org/10.1016/j.ecoenv.2018.09.111</w:t>
        </w:r>
      </w:hyperlink>
    </w:p>
    <w:bookmarkEnd w:id="40"/>
    <w:bookmarkStart w:id="41"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1"/>
    <w:bookmarkStart w:id="43"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42">
        <w:r>
          <w:rPr>
            <w:rStyle w:val="Hyperlink"/>
          </w:rPr>
          <w:t xml:space="preserve">https://doi.org/10.15560/13.5.581</w:t>
        </w:r>
      </w:hyperlink>
    </w:p>
    <w:bookmarkEnd w:id="43"/>
    <w:bookmarkStart w:id="45" w:name="ref-haredi2020"/>
    <w:p>
      <w:pPr>
        <w:pStyle w:val="Bibliografia"/>
      </w:pPr>
      <w:r>
        <w:t xml:space="preserve">Haredi, A. M. M., Mourad, M., Tanekhy, M., Wassif, E., &amp; Abdel-Tawab, H. S. (2020). Lake edku pollutants induced biochemical and histopathological alterations in muscle tissues of nile tilapia (oreochromis niloticus).</w:t>
      </w:r>
      <w:r>
        <w:t xml:space="preserve"> </w:t>
      </w:r>
      <w:r>
        <w:rPr>
          <w:i/>
          <w:iCs/>
        </w:rPr>
        <w:t xml:space="preserve">Toxicology and Environmental Health Sciences</w:t>
      </w:r>
      <w:r>
        <w:t xml:space="preserve">,</w:t>
      </w:r>
      <w:r>
        <w:t xml:space="preserve"> </w:t>
      </w:r>
      <w:r>
        <w:rPr>
          <w:i/>
          <w:iCs/>
        </w:rPr>
        <w:t xml:space="preserve">12</w:t>
      </w:r>
      <w:r>
        <w:t xml:space="preserve">(3), 247–255.</w:t>
      </w:r>
      <w:r>
        <w:t xml:space="preserve"> </w:t>
      </w:r>
      <w:hyperlink r:id="rId44">
        <w:r>
          <w:rPr>
            <w:rStyle w:val="Hyperlink"/>
          </w:rPr>
          <w:t xml:space="preserve">https://doi.org/10.1007/s13530-020-00042-w</w:t>
        </w:r>
      </w:hyperlink>
    </w:p>
    <w:bookmarkEnd w:id="45"/>
    <w:bookmarkStart w:id="46"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46"/>
    <w:bookmarkStart w:id="47" w:name="ref-köppen1928a"/>
    <w:p>
      <w:pPr>
        <w:pStyle w:val="Bibliografia"/>
      </w:pPr>
      <w:r>
        <w:t xml:space="preserve">Köppen, W., &amp; Geiger, R. (1928).</w:t>
      </w:r>
      <w:r>
        <w:t xml:space="preserve"> </w:t>
      </w:r>
      <w:r>
        <w:rPr>
          <w:i/>
          <w:iCs/>
        </w:rPr>
        <w:t xml:space="preserve">Klimate der erde</w:t>
      </w:r>
      <w:r>
        <w:t xml:space="preserve">.</w:t>
      </w:r>
    </w:p>
    <w:bookmarkEnd w:id="47"/>
    <w:bookmarkStart w:id="49"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48">
        <w:r>
          <w:rPr>
            <w:rStyle w:val="Hyperlink"/>
          </w:rPr>
          <w:t xml:space="preserve">https://doi.org/10.1023/A:1026560922731</w:t>
        </w:r>
      </w:hyperlink>
    </w:p>
    <w:bookmarkEnd w:id="49"/>
    <w:bookmarkStart w:id="50" w:name="ref-lê2008"/>
    <w:p>
      <w:pPr>
        <w:pStyle w:val="Bibliografia"/>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50"/>
    <w:bookmarkStart w:id="52" w:name="ref-macêdo2019"/>
    <w:p>
      <w:pPr>
        <w:pStyle w:val="Bibliografia"/>
      </w:pPr>
      <w:r>
        <w:t xml:space="preserve">Macêdo, A. K. S., Da Silva, J. R. P., Dos Santos, H. B., Thomé, R. G., Vendel, A. L., &amp; Amado, E. M. (2019). Estuarine fish assemblages present a species</w:t>
      </w:r>
      <w:r>
        <w:t xml:space="preserve">-</w:t>
      </w:r>
      <w:r>
        <w:t xml:space="preserve">specific difference in the multixenobiotics resistance activity.</w:t>
      </w:r>
      <w:r>
        <w:t xml:space="preserve"> </w:t>
      </w:r>
      <w:r>
        <w:rPr>
          <w:i/>
          <w:iCs/>
        </w:rPr>
        <w:t xml:space="preserve">Journal of Experimental Zoology Part A: Ecological and Integrative Physiology</w:t>
      </w:r>
      <w:r>
        <w:t xml:space="preserve">,</w:t>
      </w:r>
      <w:r>
        <w:t xml:space="preserve"> </w:t>
      </w:r>
      <w:r>
        <w:rPr>
          <w:i/>
          <w:iCs/>
        </w:rPr>
        <w:t xml:space="preserve">331</w:t>
      </w:r>
      <w:r>
        <w:t xml:space="preserve">(10), 530–539.</w:t>
      </w:r>
      <w:r>
        <w:t xml:space="preserve"> </w:t>
      </w:r>
      <w:hyperlink r:id="rId51">
        <w:r>
          <w:rPr>
            <w:rStyle w:val="Hyperlink"/>
          </w:rPr>
          <w:t xml:space="preserve">https://doi.org/10.1002/jez.2320</w:t>
        </w:r>
      </w:hyperlink>
    </w:p>
    <w:bookmarkEnd w:id="52"/>
    <w:bookmarkStart w:id="54" w:name="ref-maitland1990"/>
    <w:p>
      <w:pPr>
        <w:pStyle w:val="Bibliografia"/>
      </w:pPr>
      <w:r>
        <w:t xml:space="preserve">Maitland, P. S. (1990).</w:t>
      </w:r>
      <w:r>
        <w:t xml:space="preserve"> </w:t>
      </w:r>
      <w:r>
        <w:rPr>
          <w:i/>
          <w:iCs/>
        </w:rPr>
        <w:t xml:space="preserve">Field Studies: Sampling in Freshwaters</w:t>
      </w:r>
      <w:r>
        <w:t xml:space="preserve"> </w:t>
      </w:r>
      <w:r>
        <w:t xml:space="preserve">(pp. 123–148). Springer US.</w:t>
      </w:r>
      <w:r>
        <w:t xml:space="preserve"> </w:t>
      </w:r>
      <w:hyperlink r:id="rId53">
        <w:r>
          <w:rPr>
            <w:rStyle w:val="Hyperlink"/>
          </w:rPr>
          <w:t xml:space="preserve">https://doi.org/10.1007/978-1-4613-0501-9_5</w:t>
        </w:r>
      </w:hyperlink>
    </w:p>
    <w:bookmarkEnd w:id="54"/>
    <w:bookmarkStart w:id="55" w:name="ref-mccune2002"/>
    <w:p>
      <w:pPr>
        <w:pStyle w:val="Bibliografia"/>
      </w:pPr>
      <w:r>
        <w:t xml:space="preserve">McCune, B., &amp; Grace, J. B. (2002).</w:t>
      </w:r>
      <w:r>
        <w:t xml:space="preserve"> </w:t>
      </w:r>
      <w:r>
        <w:rPr>
          <w:i/>
          <w:iCs/>
        </w:rPr>
        <w:t xml:space="preserve">Analysis of ecological communities</w:t>
      </w:r>
      <w:r>
        <w:t xml:space="preserve">. MjM Software Design.</w:t>
      </w:r>
    </w:p>
    <w:bookmarkEnd w:id="55"/>
    <w:bookmarkStart w:id="56" w:name="ref-medeiros2008"/>
    <w:p>
      <w:pPr>
        <w:pStyle w:val="Bibliografia"/>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(1), 13–20.</w:t>
      </w:r>
    </w:p>
    <w:bookmarkEnd w:id="56"/>
    <w:bookmarkStart w:id="58" w:name="ref-ministériodomeioambiente2025"/>
    <w:p>
      <w:pPr>
        <w:pStyle w:val="Bibliografia"/>
      </w:pPr>
      <w:r>
        <w:t xml:space="preserve">Ministério do Meio Ambiente. (2025).</w:t>
      </w:r>
      <w:r>
        <w:t xml:space="preserve"> </w:t>
      </w:r>
      <w:r>
        <w:rPr>
          <w:i/>
          <w:iCs/>
        </w:rPr>
        <w:t xml:space="preserve">Painel unidades de conservação. retrieved</w:t>
      </w:r>
      <w:r>
        <w:t xml:space="preserve">.</w:t>
      </w:r>
      <w:r>
        <w:t xml:space="preserve"> </w:t>
      </w:r>
      <w:hyperlink r:id="rId57">
        <w:r>
          <w:rPr>
            <w:rStyle w:val="Hyperlink"/>
          </w:rPr>
          <w:t xml:space="preserve">https://encurtador.com.br/kLle</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0" w:name="ref-mmai"/>
    <w:p>
      <w:pPr>
        <w:pStyle w:val="Bibliografia"/>
      </w:pPr>
      <w:r>
        <w:t xml:space="preserve">MMA, M. do meio ambiente. (n.d.).</w:t>
      </w:r>
      <w:r>
        <w:t xml:space="preserve"> </w:t>
      </w:r>
      <w:r>
        <w:rPr>
          <w:i/>
          <w:iCs/>
        </w:rPr>
        <w:t xml:space="preserve">Plano de manejo, fase 2, da reserva biológica guaribas</w:t>
      </w:r>
      <w:r>
        <w:t xml:space="preserve">.</w:t>
      </w:r>
    </w:p>
    <w:bookmarkEnd w:id="60"/>
    <w:bookmarkStart w:id="62" w:name="ref-mugodo2006"/>
    <w:p>
      <w:pPr>
        <w:pStyle w:val="Bibliografia"/>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61">
        <w:r>
          <w:rPr>
            <w:rStyle w:val="Hyperlink"/>
          </w:rPr>
          <w:t xml:space="preserve">https://doi.org/10.1007/s10750-006-0252-7</w:t>
        </w:r>
      </w:hyperlink>
    </w:p>
    <w:bookmarkEnd w:id="62"/>
    <w:bookmarkStart w:id="64"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3">
        <w:r>
          <w:rPr>
            <w:rStyle w:val="Hyperlink"/>
          </w:rPr>
          <w:t xml:space="preserve">https://doi.org/10.1038/35002501</w:t>
        </w:r>
      </w:hyperlink>
    </w:p>
    <w:bookmarkEnd w:id="64"/>
    <w:bookmarkStart w:id="65" w:name="ref-peel2007"/>
    <w:p>
      <w:pPr>
        <w:pStyle w:val="Bibliografia"/>
      </w:pPr>
      <w:r>
        <w:t xml:space="preserve">Peel, M. C., Finlayson, B. L., &amp; McMahon, T. A. (2007). Updated world map of the K¨oppen-Geiger climate classi</w:t>
      </w:r>
      <w:r>
        <w:t xml:space="preserve">fi</w:t>
      </w:r>
      <w:r>
        <w:t xml:space="preserve">cation.</w:t>
      </w:r>
      <w:r>
        <w:t xml:space="preserve"> </w:t>
      </w:r>
      <w:r>
        <w:rPr>
          <w:i/>
          <w:iCs/>
        </w:rPr>
        <w:t xml:space="preserve">Hydrol. Earth Syst. Sci.</w:t>
      </w:r>
    </w:p>
    <w:bookmarkEnd w:id="65"/>
    <w:bookmarkStart w:id="67"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6">
        <w:r>
          <w:rPr>
            <w:rStyle w:val="Hyperlink"/>
          </w:rPr>
          <w:t xml:space="preserve">https://doi.org/10.1590/S1413-70542006000500027</w:t>
        </w:r>
      </w:hyperlink>
    </w:p>
    <w:bookmarkEnd w:id="67"/>
    <w:bookmarkStart w:id="68" w:name="ref-pusey2004"/>
    <w:p>
      <w:pPr>
        <w:pStyle w:val="Bibliografia"/>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68"/>
    <w:bookmarkStart w:id="70"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9">
        <w:r>
          <w:rPr>
            <w:rStyle w:val="Hyperlink"/>
          </w:rPr>
          <w:t xml:space="preserve">https://www.R-project.org/</w:t>
        </w:r>
      </w:hyperlink>
    </w:p>
    <w:bookmarkEnd w:id="70"/>
    <w:bookmarkStart w:id="71" w:name="ref-rstudioteam"/>
    <w:p>
      <w:pPr>
        <w:pStyle w:val="Bibliografia"/>
      </w:pPr>
      <w:r>
        <w:t xml:space="preserve">RStudio Team. (n.d.).</w:t>
      </w:r>
      <w:r>
        <w:t xml:space="preserve"> </w:t>
      </w:r>
      <w:r>
        <w:rPr>
          <w:i/>
          <w:iCs/>
        </w:rPr>
        <w:t xml:space="preserve">RStudio: Integrated Development Environment for R</w:t>
      </w:r>
      <w:r>
        <w:t xml:space="preserve">.</w:t>
      </w:r>
    </w:p>
    <w:bookmarkEnd w:id="71"/>
    <w:bookmarkStart w:id="72"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72"/>
    <w:bookmarkStart w:id="74" w:name="ref-santos2017"/>
    <w:p>
      <w:pPr>
        <w:pStyle w:val="Bibliografia"/>
      </w:pPr>
      <w:r>
        <w:t xml:space="preserve">Santos, M. B., Monteiro Neto, I. E., Souza Melo, S. R. C., &amp; Amado, E. M. (2017). Hemolymph and gill carbonic anhydrase are more sensitive to aquatic contamination than mantle carbonic anhydrase in the mangrove oyster Crassostrea rhizophorae.</w:t>
      </w:r>
      <w:r>
        <w:t xml:space="preserve"> </w:t>
      </w:r>
      <w:r>
        <w:rPr>
          <w:i/>
          <w:iCs/>
        </w:rPr>
        <w:t xml:space="preserve">Comparative Biochemistry and Physiology Part C: Toxicology &amp; Pharmacology</w:t>
      </w:r>
      <w:r>
        <w:t xml:space="preserve">,</w:t>
      </w:r>
      <w:r>
        <w:t xml:space="preserve"> </w:t>
      </w:r>
      <w:r>
        <w:rPr>
          <w:i/>
          <w:iCs/>
        </w:rPr>
        <w:t xml:space="preserve">201</w:t>
      </w:r>
      <w:r>
        <w:t xml:space="preserve">, 19–25.</w:t>
      </w:r>
      <w:r>
        <w:t xml:space="preserve"> </w:t>
      </w:r>
      <w:hyperlink r:id="rId73">
        <w:r>
          <w:rPr>
            <w:rStyle w:val="Hyperlink"/>
          </w:rPr>
          <w:t xml:space="preserve">https://doi.org/10.1016/j.cbpc.2017.08.008</w:t>
        </w:r>
      </w:hyperlink>
    </w:p>
    <w:bookmarkEnd w:id="74"/>
    <w:bookmarkStart w:id="76"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75">
        <w:r>
          <w:rPr>
            <w:rStyle w:val="Hyperlink"/>
          </w:rPr>
          <w:t xml:space="preserve">https://doi.org/10.5016/DT000610176</w:t>
        </w:r>
      </w:hyperlink>
    </w:p>
    <w:bookmarkEnd w:id="76"/>
    <w:bookmarkStart w:id="78"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7">
        <w:r>
          <w:rPr>
            <w:rStyle w:val="Hyperlink"/>
          </w:rPr>
          <w:t xml:space="preserve">https://doi.org/10.1016/S0027-5107(97)00265-0</w:t>
        </w:r>
      </w:hyperlink>
    </w:p>
    <w:bookmarkEnd w:id="78"/>
    <w:bookmarkStart w:id="80" w:name="ref-smital2004"/>
    <w:p>
      <w:pPr>
        <w:pStyle w:val="Bibliografia"/>
      </w:pPr>
      <w:r>
        <w:t xml:space="preserve">Smital, T., Luckenbach, T., Sauerborn Klobucar, R., Hamdoun, A., Vega, R., &amp; Epel, D. (2004). Emerging contaminants - pesticides, PPCPs, microbial degradation products and natural substances as inhibitors of multixenobiotic defense in aquatic organisms.</w:t>
      </w:r>
      <w:r>
        <w:t xml:space="preserve"> </w:t>
      </w:r>
      <w:r>
        <w:rPr>
          <w:i/>
          <w:iCs/>
        </w:rPr>
        <w:t xml:space="preserve">Mutation Research</w:t>
      </w:r>
      <w:r>
        <w:t xml:space="preserve">,</w:t>
      </w:r>
      <w:r>
        <w:t xml:space="preserve"> </w:t>
      </w:r>
      <w:r>
        <w:rPr>
          <w:i/>
          <w:iCs/>
        </w:rPr>
        <w:t xml:space="preserve">552</w:t>
      </w:r>
      <w:r>
        <w:t xml:space="preserve">, 101–117.</w:t>
      </w:r>
      <w:r>
        <w:t xml:space="preserve"> </w:t>
      </w:r>
      <w:hyperlink r:id="rId79">
        <w:r>
          <w:rPr>
            <w:rStyle w:val="Hyperlink"/>
          </w:rPr>
          <w:t xml:space="preserve">https://doi.org/10.1016/j.mrfmmm.2004.06.006</w:t>
        </w:r>
      </w:hyperlink>
    </w:p>
    <w:bookmarkEnd w:id="80"/>
    <w:bookmarkStart w:id="81" w:name="ref-sokal1995"/>
    <w:p>
      <w:pPr>
        <w:pStyle w:val="Bibliografia"/>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81"/>
    <w:bookmarkStart w:id="82" w:name="ref-soler2004"/>
    <w:p>
      <w:pPr>
        <w:pStyle w:val="Bibliografia"/>
      </w:pPr>
      <w:r>
        <w:t xml:space="preserve">Soler, J. M. P. (2004).</w:t>
      </w:r>
      <w:r>
        <w:t xml:space="preserve"> </w:t>
      </w:r>
      <w:r>
        <w:rPr>
          <w:i/>
          <w:iCs/>
        </w:rPr>
        <w:t xml:space="preserve">Planejamento de experimentos e pesquisa em limnologia</w:t>
      </w:r>
      <w:r>
        <w:t xml:space="preserve"> </w:t>
      </w:r>
      <w:r>
        <w:t xml:space="preserve">(pp. 16–24). BICUDO, C. E. M. BICUDO, D. C.</w:t>
      </w:r>
    </w:p>
    <w:bookmarkEnd w:id="82"/>
    <w:bookmarkStart w:id="83"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83"/>
    <w:bookmarkEnd w:id="84"/>
    <w:bookmarkEnd w:id="85"/>
    <w:bookmarkStart w:id="131" w:name="figures-and-tables"/>
    <w:p>
      <w:pPr>
        <w:pStyle w:val="Ttulo1"/>
      </w:pPr>
      <w:r>
        <w:t xml:space="preserve">Figures and Tables</w:t>
      </w:r>
    </w:p>
    <w:bookmarkStart w:id="128"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9" w:name="fig-mapa"/>
          <w:p>
            <w:pPr>
              <w:pStyle w:val="Compact"/>
              <w:jc w:val="center"/>
            </w:pPr>
            <w:r>
              <w:drawing>
                <wp:inline>
                  <wp:extent cx="5600700" cy="3959578"/>
                  <wp:effectExtent b="0" l="0" r="0" t="0"/>
                  <wp:docPr descr="" title="" id="87" name="Picture"/>
                  <a:graphic>
                    <a:graphicData uri="http://schemas.openxmlformats.org/drawingml/2006/picture">
                      <pic:pic>
                        <pic:nvPicPr>
                          <pic:cNvPr descr="imagens/mapa.png" id="88" name="Picture"/>
                          <pic:cNvPicPr>
                            <a:picLocks noChangeArrowheads="1" noChangeAspect="1"/>
                          </pic:cNvPicPr>
                        </pic:nvPicPr>
                        <pic:blipFill>
                          <a:blip r:embed="rId86"/>
                          <a:stretch>
                            <a:fillRect/>
                          </a:stretch>
                        </pic:blipFill>
                        <pic:spPr bwMode="auto">
                          <a:xfrm>
                            <a:off x="0" y="0"/>
                            <a:ext cx="5600700" cy="3959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 of sampling sites within (P5 - 06°43’06,58555’’ S, 35°10’54,70041’</w:t>
            </w:r>
            <w:r>
              <w:t xml:space="preserve">‘W -, P6 - 06°42’38,71927’</w:t>
            </w:r>
            <w:r>
              <w:t xml:space="preserve">‘S, 35°10’38,68013’</w:t>
            </w:r>
            <w:r>
              <w:t xml:space="preserve">‘W - and P7 - 06°43’06,58555’</w:t>
            </w:r>
            <w:r>
              <w:t xml:space="preserve">‘S, 35°10’54,70041’</w:t>
            </w:r>
            <w:r>
              <w:t xml:space="preserve">‘W) and surrounding ReBio Guaribas (P8 - 06°41’46,29119’</w:t>
            </w:r>
            <w:r>
              <w:t xml:space="preserve">‘S, 35°10’36,09933’</w:t>
            </w:r>
            <w:r>
              <w:t xml:space="preserve">‘W -, P9 - 06°40’56,47593’</w:t>
            </w:r>
            <w:r>
              <w:t xml:space="preserve">‘S, 35°10’27,84963’</w:t>
            </w:r>
            <w:r>
              <w:t xml:space="preserve">‘W - and P10 - 06°40’18,97010’</w:t>
            </w:r>
            <w:r>
              <w:t xml:space="preserve">‘S, 35°10’34,68148’</w:t>
            </w:r>
            <w:r>
              <w:t xml:space="preserve">’W). In total, 92 fish were collected inside the Conservation Unity and 97 outside it.</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3" w:name="fig-refsites"/>
          <w:p>
            <w:pPr>
              <w:pStyle w:val="Compact"/>
              <w:jc w:val="center"/>
            </w:pPr>
            <w:r>
              <w:drawing>
                <wp:inline>
                  <wp:extent cx="5600700" cy="4657626"/>
                  <wp:effectExtent b="0" l="0" r="0" t="0"/>
                  <wp:docPr descr="" title="" id="91" name="Picture"/>
                  <a:graphic>
                    <a:graphicData uri="http://schemas.openxmlformats.org/drawingml/2006/picture">
                      <pic:pic>
                        <pic:nvPicPr>
                          <pic:cNvPr descr="imagens/refsites.png" id="92" name="Picture"/>
                          <pic:cNvPicPr>
                            <a:picLocks noChangeArrowheads="1" noChangeAspect="1"/>
                          </pic:cNvPicPr>
                        </pic:nvPicPr>
                        <pic:blipFill>
                          <a:blip r:embed="rId90"/>
                          <a:stretch>
                            <a:fillRect/>
                          </a:stretch>
                        </pic:blipFill>
                        <pic:spPr bwMode="auto">
                          <a:xfrm>
                            <a:off x="0" y="0"/>
                            <a:ext cx="5600700" cy="4657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Images of the main four types of sites found in the Reserva Biológica Guaribas and its surrounding areas (Mamanguape, PB). Type I or local reference site, well preserved and within the conservation unit. Type II site, preserved and outside the conservation unit. Type III site, disturbed but withing the conservation unit. Type IV site, disturbed and outside the conservation unit.</w:t>
            </w:r>
          </w:p>
          <w:bookmarkEnd w:id="9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7" w:name="fig-hab_PCA_fviz"/>
          <w:p>
            <w:pPr>
              <w:pStyle w:val="Compact"/>
              <w:jc w:val="center"/>
            </w:pPr>
            <w:r>
              <w:drawing>
                <wp:inline>
                  <wp:extent cx="3810000" cy="2540000"/>
                  <wp:effectExtent b="0" l="0" r="0" t="0"/>
                  <wp:docPr descr="" title="" id="95" name="Picture"/>
                  <a:graphic>
                    <a:graphicData uri="http://schemas.openxmlformats.org/drawingml/2006/picture">
                      <pic:pic>
                        <pic:nvPicPr>
                          <pic:cNvPr descr="fig-hab_PCA_fviz.png" id="96" name="Picture"/>
                          <pic:cNvPicPr>
                            <a:picLocks noChangeArrowheads="1" noChangeAspect="1"/>
                          </pic:cNvPicPr>
                        </pic:nvPicPr>
                        <pic:blipFill>
                          <a:blip r:embed="rId94"/>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Principal Component Analysis of the environmental variables using the fviz function.</w:t>
            </w:r>
          </w:p>
          <w:bookmarkEnd w:id="97"/>
        </w:tc>
      </w:tr>
    </w:tbl>
    <w:p>
      <w:pPr>
        <w:pStyle w:val="CaptionedFigure"/>
      </w:pPr>
      <w:r>
        <w:drawing>
          <wp:inline>
            <wp:extent cx="3810000" cy="2540000"/>
            <wp:effectExtent b="0" l="0" r="0" t="0"/>
            <wp:docPr descr="Principal Component Analysis of the environmental variables using the fviz function" title="" id="98" name="Picture"/>
            <a:graphic>
              <a:graphicData uri="http://schemas.openxmlformats.org/drawingml/2006/picture">
                <pic:pic>
                  <pic:nvPicPr>
                    <pic:cNvPr descr="fig-hab_PCA_fviz.png" id="99" name="Picture"/>
                    <pic:cNvPicPr>
                      <a:picLocks noChangeArrowheads="1" noChangeAspect="1"/>
                    </pic:cNvPicPr>
                  </pic:nvPicPr>
                  <pic:blipFill>
                    <a:blip r:embed="rId9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Principal Component Analysis of the environmental variables using the fviz function</w:t>
      </w:r>
    </w:p>
    <w:tbl>
      <w:tblPr>
        <w:tblStyle w:val="Table"/>
        <w:tblW w:type="pct" w:w="5000"/>
        <w:tblLayout w:type="fixed"/>
        <w:tblLook w:firstRow="0" w:lastRow="0" w:firstColumn="0" w:lastColumn="0" w:noHBand="0" w:noVBand="0" w:val="0000"/>
      </w:tblPr>
      <w:tblGrid>
        <w:gridCol w:w="7920"/>
      </w:tblGrid>
      <w:tr>
        <w:tc>
          <w:tcPr/>
          <w:bookmarkStart w:id="103" w:name="fig-boxtpinandout"/>
          <w:p>
            <w:pPr>
              <w:pStyle w:val="Compact"/>
              <w:jc w:val="center"/>
            </w:pPr>
            <w:r>
              <w:drawing>
                <wp:inline>
                  <wp:extent cx="5600700" cy="3843033"/>
                  <wp:effectExtent b="0" l="0" r="0" t="0"/>
                  <wp:docPr descr="" title="" id="101" name="Picture"/>
                  <a:graphic>
                    <a:graphicData uri="http://schemas.openxmlformats.org/drawingml/2006/picture">
                      <pic:pic>
                        <pic:nvPicPr>
                          <pic:cNvPr descr="imagens/Figura%203.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Total protein (mg) variance of data inside and outside ReBio Guaribas.</w:t>
            </w:r>
          </w:p>
          <w:bookmarkEnd w:id="10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fig-boxtpsites"/>
          <w:p>
            <w:pPr>
              <w:pStyle w:val="Compact"/>
              <w:jc w:val="center"/>
            </w:pPr>
            <w:r>
              <w:drawing>
                <wp:inline>
                  <wp:extent cx="5600700" cy="3843033"/>
                  <wp:effectExtent b="0" l="0" r="0" t="0"/>
                  <wp:docPr descr="" title="" id="105" name="Picture"/>
                  <a:graphic>
                    <a:graphicData uri="http://schemas.openxmlformats.org/drawingml/2006/picture">
                      <pic:pic>
                        <pic:nvPicPr>
                          <pic:cNvPr descr="imagens/Figura%204.png" id="106" name="Picture"/>
                          <pic:cNvPicPr>
                            <a:picLocks noChangeArrowheads="1" noChangeAspect="1"/>
                          </pic:cNvPicPr>
                        </pic:nvPicPr>
                        <pic:blipFill>
                          <a:blip r:embed="rId10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Boxplot with total protein data of collected fish from the sampling sites inside (green) and outside ReBio Guaribas (red), including its respective grouping by similarity above each box.</w:t>
            </w:r>
          </w:p>
          <w:bookmarkEnd w:id="107"/>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1" w:name="fig-mcsites"/>
          <w:p>
            <w:pPr>
              <w:pStyle w:val="Compact"/>
              <w:jc w:val="center"/>
            </w:pPr>
            <w:r>
              <w:drawing>
                <wp:inline>
                  <wp:extent cx="5600700" cy="3843033"/>
                  <wp:effectExtent b="0" l="0" r="0" t="0"/>
                  <wp:docPr descr="" title="" id="109" name="Picture"/>
                  <a:graphic>
                    <a:graphicData uri="http://schemas.openxmlformats.org/drawingml/2006/picture">
                      <pic:pic>
                        <pic:nvPicPr>
                          <pic:cNvPr descr="imagens/Figura%205.png" id="110" name="Picture"/>
                          <pic:cNvPicPr>
                            <a:picLocks noChangeArrowheads="1" noChangeAspect="1"/>
                          </pic:cNvPicPr>
                        </pic:nvPicPr>
                        <pic:blipFill>
                          <a:blip r:embed="rId108"/>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Moisture content (%) of tissues from sampling sites inside and outside the ReBio Guaribas, with the respective p-value between each locality.</w:t>
            </w:r>
          </w:p>
          <w:bookmarkEnd w:id="111"/>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5" w:name="fig-boxmmcsites"/>
          <w:p>
            <w:pPr>
              <w:pStyle w:val="Compact"/>
              <w:jc w:val="center"/>
            </w:pPr>
            <w:r>
              <w:drawing>
                <wp:inline>
                  <wp:extent cx="5600700" cy="3843033"/>
                  <wp:effectExtent b="0" l="0" r="0" t="0"/>
                  <wp:docPr descr="" title="" id="113" name="Picture"/>
                  <a:graphic>
                    <a:graphicData uri="http://schemas.openxmlformats.org/drawingml/2006/picture">
                      <pic:pic>
                        <pic:nvPicPr>
                          <pic:cNvPr descr="imagens/Figura%206.png" id="114" name="Picture"/>
                          <pic:cNvPicPr>
                            <a:picLocks noChangeArrowheads="1" noChangeAspect="1"/>
                          </pic:cNvPicPr>
                        </pic:nvPicPr>
                        <pic:blipFill>
                          <a:blip r:embed="rId112"/>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 Boxplot with gill and muscle moisture content data of fish collected from sites inside (green) and outside ReBio Guaribas (red), with its respective grouping by similarity above each box.</w:t>
            </w:r>
          </w:p>
          <w:bookmarkEnd w:id="115"/>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19" w:name="fig-fluorescence"/>
          <w:p>
            <w:pPr>
              <w:pStyle w:val="Compact"/>
              <w:jc w:val="center"/>
            </w:pPr>
            <w:r>
              <w:drawing>
                <wp:inline>
                  <wp:extent cx="5600700" cy="3843033"/>
                  <wp:effectExtent b="0" l="0" r="0" t="0"/>
                  <wp:docPr descr="" title="" id="117" name="Picture"/>
                  <a:graphic>
                    <a:graphicData uri="http://schemas.openxmlformats.org/drawingml/2006/picture">
                      <pic:pic>
                        <pic:nvPicPr>
                          <pic:cNvPr descr="imagens/Figura%207.png" id="118" name="Picture"/>
                          <pic:cNvPicPr>
                            <a:picLocks noChangeArrowheads="1" noChangeAspect="1"/>
                          </pic:cNvPicPr>
                        </pic:nvPicPr>
                        <pic:blipFill>
                          <a:blip r:embed="rId116"/>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Average fluorescence data from sampling sites inside and outside the ReBio Guaribas, expressed by relative fluorescence units/milligrammes of tissue (gill).</w:t>
            </w:r>
          </w:p>
          <w:bookmarkEnd w:id="11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3" w:name="fig-boxmxr"/>
          <w:p>
            <w:pPr>
              <w:pStyle w:val="Compact"/>
              <w:jc w:val="center"/>
            </w:pPr>
            <w:r>
              <w:drawing>
                <wp:inline>
                  <wp:extent cx="5600700" cy="3843033"/>
                  <wp:effectExtent b="0" l="0" r="0" t="0"/>
                  <wp:docPr descr="" title="" id="121" name="Picture"/>
                  <a:graphic>
                    <a:graphicData uri="http://schemas.openxmlformats.org/drawingml/2006/picture">
                      <pic:pic>
                        <pic:nvPicPr>
                          <pic:cNvPr descr="imagens/Figura%208.png" id="122" name="Picture"/>
                          <pic:cNvPicPr>
                            <a:picLocks noChangeArrowheads="1" noChangeAspect="1"/>
                          </pic:cNvPicPr>
                        </pic:nvPicPr>
                        <pic:blipFill>
                          <a:blip r:embed="rId120"/>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Boxplot with the MXR phenotype activity data of fish collected from sites inside (green) and outside the ReBio Guaribas (red), with its respective grouping by similarity above each box.</w:t>
            </w:r>
          </w:p>
          <w:bookmarkEnd w:id="123"/>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fig-bar"/>
          <w:p>
            <w:pPr>
              <w:pStyle w:val="Compact"/>
              <w:jc w:val="center"/>
            </w:pPr>
            <w:r>
              <w:drawing>
                <wp:inline>
                  <wp:extent cx="5600700" cy="3843033"/>
                  <wp:effectExtent b="0" l="0" r="0" t="0"/>
                  <wp:docPr descr="" title="" id="125" name="Picture"/>
                  <a:graphic>
                    <a:graphicData uri="http://schemas.openxmlformats.org/drawingml/2006/picture">
                      <pic:pic>
                        <pic:nvPicPr>
                          <pic:cNvPr descr="imagens/Figure%209.png" id="126" name="Picture"/>
                          <pic:cNvPicPr>
                            <a:picLocks noChangeArrowheads="1" noChangeAspect="1"/>
                          </pic:cNvPicPr>
                        </pic:nvPicPr>
                        <pic:blipFill>
                          <a:blip r:embed="rId124"/>
                          <a:stretch>
                            <a:fillRect/>
                          </a:stretch>
                        </pic:blipFill>
                        <pic:spPr bwMode="auto">
                          <a:xfrm>
                            <a:off x="0" y="0"/>
                            <a:ext cx="5600700" cy="3843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Proportion between average values for each physiological marker analysed, comparing themselves in order to its relationship with the ReBio Guaribas, highlighting the disparity among data of total protein (</w:t>
            </w:r>
            <w:r>
              <w:t xml:space="preserve">“TP”</w:t>
            </w:r>
            <w:r>
              <w:t xml:space="preserve">) and the MXR phenotype activity (</w:t>
            </w:r>
            <w:r>
              <w:t xml:space="preserve">“MXR”</w:t>
            </w:r>
            <w:r>
              <w:t xml:space="preserve">), and higher proximity among data of muscle (</w:t>
            </w:r>
            <w:r>
              <w:t xml:space="preserve">“MMC”</w:t>
            </w:r>
            <w:r>
              <w:t xml:space="preserve">) and gill moisture content (</w:t>
            </w:r>
            <w:r>
              <w:t xml:space="preserve">“GMC”</w:t>
            </w:r>
            <w:r>
              <w:t xml:space="preserve">).</w:t>
            </w:r>
          </w:p>
          <w:bookmarkEnd w:id="127"/>
        </w:tc>
      </w:tr>
    </w:tbl>
    <w:bookmarkEnd w:id="128"/>
    <w:bookmarkStart w:id="130" w:name="tables"/>
    <w:p>
      <w:pPr>
        <w:pStyle w:val="Ttulo2"/>
      </w:pPr>
      <w:r>
        <w:t xml:space="preserve">Tables</w:t>
      </w:r>
    </w:p>
    <w:tbl>
      <w:tblPr>
        <w:tblStyle w:val="Table"/>
        <w:tblW w:type="pct" w:w="5000"/>
        <w:tblLayout w:type="fixed"/>
        <w:tblLook w:firstRow="0" w:lastRow="0" w:firstColumn="0" w:lastColumn="0" w:noHBand="0" w:noVBand="0" w:val="0000"/>
      </w:tblPr>
      <w:tblGrid>
        <w:gridCol w:w="7920"/>
      </w:tblGrid>
      <w:tr>
        <w:tc>
          <w:tcPr/>
          <w:bookmarkStart w:id="129" w:name="tbl-abund"/>
          <w:p>
            <w:pPr>
              <w:jc w:val="center"/>
            </w:pPr>
            <w:pPr>
              <w:jc w:val="left"/>
              <w:spacing w:before="200"/>
              <w:pStyle w:val="ImageCaption"/>
            </w:pPr>
            <w:r>
              <w:t xml:space="preserve">Table 1: Table abundance.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Species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B-P05_th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B-P06_xx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B-P07_xx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B-P08_xx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B-P09_th</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B-P09_xx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B-P10_rd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B-P10_th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B-P10_xx</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unilineatus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bimaculatus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marginatus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Hemigrammus rodwayi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Astyanax fasciatus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i/>
                    </w:rPr>
                    <w:t xml:space="default">Characidium bimaculatum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129"/>
        </w:tc>
      </w:tr>
    </w:tbl>
    <w:bookmarkEnd w:id="130"/>
    <w:bookmarkEnd w:id="131"/>
    <w:bookmarkStart w:id="132" w:name="apendices"/>
    <w:p>
      <w:pPr>
        <w:pStyle w:val="Ttulo1"/>
      </w:pPr>
      <w:r>
        <w:t xml:space="preserve">Apendices</w:t>
      </w:r>
    </w:p>
    <w:bookmarkEnd w:id="132"/>
    <w:bookmarkStart w:id="136"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PROGRA~1\RStudio\RESOUR~1\app\bin\quarto\share\formats\docx\warning.png" id="135" name="Picture"/>
                          <pic:cNvPicPr>
                            <a:picLocks noChangeArrowheads="1" noChangeAspect="1"/>
                          </pic:cNvPicPr>
                        </pic:nvPicPr>
                        <pic:blipFill>
                          <a:blip r:embed="rId1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36"/>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3" Target="media/rId133.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7" Target="https://credit.niso.org/" TargetMode="External" /><Relationship Type="http://schemas.openxmlformats.org/officeDocument/2006/relationships/hyperlink" Id="rId51" Target="https://doi.org/10.1002/jez.2320" TargetMode="External" /><Relationship Type="http://schemas.openxmlformats.org/officeDocument/2006/relationships/hyperlink" Id="rId28" Target="https://doi.org/10.1002/wer.1221" TargetMode="External" /><Relationship Type="http://schemas.openxmlformats.org/officeDocument/2006/relationships/hyperlink" Id="rId53" Target="https://doi.org/10.1007/978-1-4613-0501-9_5" TargetMode="External" /><Relationship Type="http://schemas.openxmlformats.org/officeDocument/2006/relationships/hyperlink" Id="rId33" Target="https://doi.org/10.1007/s10669-011-9380-3" TargetMode="External" /><Relationship Type="http://schemas.openxmlformats.org/officeDocument/2006/relationships/hyperlink" Id="rId61" Target="https://doi.org/10.1007/s10750-006-0252-7" TargetMode="External" /><Relationship Type="http://schemas.openxmlformats.org/officeDocument/2006/relationships/hyperlink" Id="rId44" Target="https://doi.org/10.1007/s13530-020-00042-w" TargetMode="External" /><Relationship Type="http://schemas.openxmlformats.org/officeDocument/2006/relationships/hyperlink" Id="rId77" Target="https://doi.org/10.1016/S0027-5107(97)00265-0" TargetMode="External" /><Relationship Type="http://schemas.openxmlformats.org/officeDocument/2006/relationships/hyperlink" Id="rId73" Target="https://doi.org/10.1016/j.cbpc.2017.08.008" TargetMode="External" /><Relationship Type="http://schemas.openxmlformats.org/officeDocument/2006/relationships/hyperlink" Id="rId39" Target="https://doi.org/10.1016/j.ecoenv.2018.09.111" TargetMode="External" /><Relationship Type="http://schemas.openxmlformats.org/officeDocument/2006/relationships/hyperlink" Id="rId79" Target="https://doi.org/10.1016/j.mrfmmm.2004.06.006" TargetMode="External" /><Relationship Type="http://schemas.openxmlformats.org/officeDocument/2006/relationships/hyperlink" Id="rId48" Target="https://doi.org/10.1023/A:1026560922731" TargetMode="External" /><Relationship Type="http://schemas.openxmlformats.org/officeDocument/2006/relationships/hyperlink" Id="rId63" Target="https://doi.org/10.1038/35002501" TargetMode="External" /><Relationship Type="http://schemas.openxmlformats.org/officeDocument/2006/relationships/hyperlink" Id="rId31" Target="https://doi.org/10.14393/SN-v34-2022-60335" TargetMode="External" /><Relationship Type="http://schemas.openxmlformats.org/officeDocument/2006/relationships/hyperlink" Id="rId42" Target="https://doi.org/10.15560/13.5.581" TargetMode="External" /><Relationship Type="http://schemas.openxmlformats.org/officeDocument/2006/relationships/hyperlink" Id="rId66" Target="https://doi.org/10.1590/S1413-70542006000500027" TargetMode="External" /><Relationship Type="http://schemas.openxmlformats.org/officeDocument/2006/relationships/hyperlink" Id="rId75" Target="https://doi.org/10.5016/DT000610176" TargetMode="External" /><Relationship Type="http://schemas.openxmlformats.org/officeDocument/2006/relationships/hyperlink" Id="rId57" Target="https://encurtador.com.br/kLle" TargetMode="External" /><Relationship Type="http://schemas.openxmlformats.org/officeDocument/2006/relationships/hyperlink" Id="rId69"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Mayara Mirelly da Silva Monteiro; Alice da Silva Barros; Larissa Rafaela Caetano da Silva; Enelise Marcelle Amado; Elvio Sergio Figueredo Medeiros</dc:creator>
  <dc:language>en-US</dc:language>
  <cp:keywords>Ecological Health, Physiological Stress</cp:keywords>
  <dcterms:created xsi:type="dcterms:W3CDTF">2026-03-25T15:10:51Z</dcterms:created>
  <dcterms:modified xsi:type="dcterms:W3CDTF">2026-03-25T15:10:51Z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2026-03-24</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Physiological biomarkers of fish as predictors of habitat quality in an Atlantic Forest stream Linking fish physiological biomarkers to habitat integrity in an Atlantic Forest Stream</vt:lpwstr>
  </property>
  <property fmtid="{D5CDD505-2E9C-101B-9397-08002B2CF9AE}" pid="20" name="toc-title">
    <vt:lpwstr>Table of contents</vt:lpwstr>
  </property>
</Properties>
</file>