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85.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2026-05-27</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9"/>
    <w:bookmarkStart w:id="10"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10"/>
    <w:bookmarkStart w:id="11"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11"/>
    <w:bookmarkStart w:id="1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12"/>
    <w:bookmarkStart w:id="13" w:name="conclusions"/>
    <w:p>
      <w:pPr>
        <w:pStyle w:val="Ttulo1"/>
      </w:pPr>
      <w:r>
        <w:t xml:space="preserve">Conclusions</w:t>
      </w:r>
    </w:p>
    <w:bookmarkEnd w:id="13"/>
    <w:bookmarkStart w:id="14"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14"/>
    <w:bookmarkStart w:id="1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15"/>
    <w:bookmarkStart w:id="16"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16"/>
    <w:bookmarkStart w:id="76" w:name="references"/>
    <w:p>
      <w:pPr>
        <w:pStyle w:val="Ttulo1"/>
      </w:pPr>
      <w:r>
        <w:t xml:space="preserve">References</w:t>
      </w:r>
    </w:p>
    <w:bookmarkStart w:id="75" w:name="refs"/>
    <w:bookmarkStart w:id="1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17">
        <w:r>
          <w:rPr>
            <w:rStyle w:val="Hyperlink"/>
          </w:rPr>
          <w:t xml:space="preserve">https://doi.org/10.1002/wer.1221</w:t>
        </w:r>
      </w:hyperlink>
    </w:p>
    <w:bookmarkEnd w:id="18"/>
    <w:bookmarkStart w:id="1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19"/>
    <w:bookmarkStart w:id="21"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20">
        <w:r>
          <w:rPr>
            <w:rStyle w:val="Hyperlink"/>
          </w:rPr>
          <w:t xml:space="preserve">https://doi.org/10.14393/SN-v34-2022-60335</w:t>
        </w:r>
      </w:hyperlink>
    </w:p>
    <w:bookmarkEnd w:id="21"/>
    <w:bookmarkStart w:id="23"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22">
        <w:r>
          <w:rPr>
            <w:rStyle w:val="Hyperlink"/>
          </w:rPr>
          <w:t xml:space="preserve">https://doi.org/10.1007/s10669-011-9380-3</w:t>
        </w:r>
      </w:hyperlink>
    </w:p>
    <w:bookmarkEnd w:id="23"/>
    <w:bookmarkStart w:id="24"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24"/>
    <w:bookmarkStart w:id="25" w:name="ref-brasil2000f"/>
    <w:p>
      <w:pPr>
        <w:pStyle w:val="Bibliografia"/>
      </w:pPr>
      <w:r>
        <w:t xml:space="preserve">Brasil. (2000).</w:t>
      </w:r>
      <w:r>
        <w:t xml:space="preserve"> </w:t>
      </w:r>
      <w:r>
        <w:rPr>
          <w:i/>
          <w:iCs/>
        </w:rPr>
        <w:t xml:space="preserve">Lei nº 9.985, de 18 de julho de 2000</w:t>
      </w:r>
      <w:r>
        <w:t xml:space="preserve">.</w:t>
      </w:r>
    </w:p>
    <w:bookmarkEnd w:id="25"/>
    <w:bookmarkStart w:id="2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26">
        <w:r>
          <w:rPr>
            <w:rStyle w:val="Hyperlink"/>
          </w:rPr>
          <w:t xml:space="preserve">https://credit.niso.org/</w:t>
        </w:r>
      </w:hyperlink>
    </w:p>
    <w:bookmarkEnd w:id="27"/>
    <w:bookmarkStart w:id="2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28">
        <w:r>
          <w:rPr>
            <w:rStyle w:val="Hyperlink"/>
          </w:rPr>
          <w:t xml:space="preserve">https://doi.org/10.1016/j.ecoenv.2018.09.111</w:t>
        </w:r>
      </w:hyperlink>
    </w:p>
    <w:bookmarkEnd w:id="29"/>
    <w:bookmarkStart w:id="3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30"/>
    <w:bookmarkStart w:id="3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1">
        <w:r>
          <w:rPr>
            <w:rStyle w:val="Hyperlink"/>
          </w:rPr>
          <w:t xml:space="preserve">https://doi.org/10.15560/13.5.581</w:t>
        </w:r>
      </w:hyperlink>
    </w:p>
    <w:bookmarkEnd w:id="32"/>
    <w:bookmarkStart w:id="3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33">
        <w:r>
          <w:rPr>
            <w:rStyle w:val="Hyperlink"/>
          </w:rPr>
          <w:t xml:space="preserve">https://doi.org/10.1007/s13530-020-00042-w</w:t>
        </w:r>
      </w:hyperlink>
    </w:p>
    <w:bookmarkEnd w:id="34"/>
    <w:bookmarkStart w:id="3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35"/>
    <w:bookmarkStart w:id="36" w:name="ref-köppen1928a"/>
    <w:p>
      <w:pPr>
        <w:pStyle w:val="Bibliografia"/>
      </w:pPr>
      <w:r>
        <w:t xml:space="preserve">Köppen, W., &amp; Geiger, R. (1928).</w:t>
      </w:r>
      <w:r>
        <w:t xml:space="preserve"> </w:t>
      </w:r>
      <w:r>
        <w:rPr>
          <w:i/>
          <w:iCs/>
        </w:rPr>
        <w:t xml:space="preserve">Klimate der erde</w:t>
      </w:r>
      <w:r>
        <w:t xml:space="preserve">.</w:t>
      </w:r>
    </w:p>
    <w:bookmarkEnd w:id="36"/>
    <w:bookmarkStart w:id="38"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37">
        <w:r>
          <w:rPr>
            <w:rStyle w:val="Hyperlink"/>
          </w:rPr>
          <w:t xml:space="preserve">https://doi.org/10.1023/A:1026560922731</w:t>
        </w:r>
      </w:hyperlink>
    </w:p>
    <w:bookmarkEnd w:id="38"/>
    <w:bookmarkStart w:id="39"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39"/>
    <w:bookmarkStart w:id="41"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0">
        <w:r>
          <w:rPr>
            <w:rStyle w:val="Hyperlink"/>
          </w:rPr>
          <w:t xml:space="preserve">https://doi.org/10.1002/jez.2320</w:t>
        </w:r>
      </w:hyperlink>
    </w:p>
    <w:bookmarkEnd w:id="41"/>
    <w:bookmarkStart w:id="43"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42">
        <w:r>
          <w:rPr>
            <w:rStyle w:val="Hyperlink"/>
          </w:rPr>
          <w:t xml:space="preserve">https://doi.org/10.1007/978-1-4613-0501-9_5</w:t>
        </w:r>
      </w:hyperlink>
    </w:p>
    <w:bookmarkEnd w:id="43"/>
    <w:bookmarkStart w:id="4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44"/>
    <w:bookmarkStart w:id="46"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45">
        <w:r>
          <w:rPr>
            <w:rStyle w:val="Hyperlink"/>
          </w:rPr>
          <w:t xml:space="preserve">https://doi.org/10.1590/S1519-69842010000200004</w:t>
        </w:r>
      </w:hyperlink>
    </w:p>
    <w:bookmarkEnd w:id="46"/>
    <w:bookmarkStart w:id="47"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7"/>
    <w:bookmarkStart w:id="49"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48">
        <w:r>
          <w:rPr>
            <w:rStyle w:val="Hyperlink"/>
          </w:rPr>
          <w:t xml:space="preserve">https://encurtador.com.br/kLle</w:t>
        </w:r>
      </w:hyperlink>
    </w:p>
    <w:bookmarkEnd w:id="49"/>
    <w:bookmarkStart w:id="50"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0"/>
    <w:bookmarkStart w:id="51"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51"/>
    <w:bookmarkStart w:id="5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2">
        <w:r>
          <w:rPr>
            <w:rStyle w:val="Hyperlink"/>
          </w:rPr>
          <w:t xml:space="preserve">https://doi.org/10.1007/s10750-006-0252-7</w:t>
        </w:r>
      </w:hyperlink>
    </w:p>
    <w:bookmarkEnd w:id="53"/>
    <w:bookmarkStart w:id="5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4">
        <w:r>
          <w:rPr>
            <w:rStyle w:val="Hyperlink"/>
          </w:rPr>
          <w:t xml:space="preserve">https://doi.org/10.1038/35002501</w:t>
        </w:r>
      </w:hyperlink>
    </w:p>
    <w:bookmarkEnd w:id="55"/>
    <w:bookmarkStart w:id="56"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6"/>
    <w:bookmarkStart w:id="58"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57">
        <w:r>
          <w:rPr>
            <w:rStyle w:val="Hyperlink"/>
          </w:rPr>
          <w:t xml:space="preserve">https://doi.org/10.1590/S1413-70542006000500027</w:t>
        </w:r>
      </w:hyperlink>
    </w:p>
    <w:bookmarkEnd w:id="58"/>
    <w:bookmarkStart w:id="59"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59"/>
    <w:bookmarkStart w:id="61"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0">
        <w:r>
          <w:rPr>
            <w:rStyle w:val="Hyperlink"/>
          </w:rPr>
          <w:t xml:space="preserve">https://www.R-project.org/</w:t>
        </w:r>
      </w:hyperlink>
    </w:p>
    <w:bookmarkEnd w:id="61"/>
    <w:bookmarkStart w:id="62" w:name="ref-rstudioteam"/>
    <w:p>
      <w:pPr>
        <w:pStyle w:val="Bibliografia"/>
      </w:pPr>
      <w:r>
        <w:t xml:space="preserve">RStudio Team. (n.d.).</w:t>
      </w:r>
      <w:r>
        <w:t xml:space="preserve"> </w:t>
      </w:r>
      <w:r>
        <w:rPr>
          <w:i/>
          <w:iCs/>
        </w:rPr>
        <w:t xml:space="preserve">RStudio: Integrated development environment for r</w:t>
      </w:r>
      <w:r>
        <w:t xml:space="preserve">.</w:t>
      </w:r>
    </w:p>
    <w:bookmarkEnd w:id="62"/>
    <w:bookmarkStart w:id="63"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3"/>
    <w:bookmarkStart w:id="65"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64">
        <w:r>
          <w:rPr>
            <w:rStyle w:val="Hyperlink"/>
          </w:rPr>
          <w:t xml:space="preserve">https://doi.org/10.1016/j.cbpc.2017.08.008</w:t>
        </w:r>
      </w:hyperlink>
    </w:p>
    <w:bookmarkEnd w:id="65"/>
    <w:bookmarkStart w:id="67"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6">
        <w:r>
          <w:rPr>
            <w:rStyle w:val="Hyperlink"/>
          </w:rPr>
          <w:t xml:space="preserve">https://doi.org/10.5016/DT000610176</w:t>
        </w:r>
      </w:hyperlink>
    </w:p>
    <w:bookmarkEnd w:id="67"/>
    <w:bookmarkStart w:id="69"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68">
        <w:r>
          <w:rPr>
            <w:rStyle w:val="Hyperlink"/>
          </w:rPr>
          <w:t xml:space="preserve">https://doi.org/10.1016/S0027-5107(97)00265-0</w:t>
        </w:r>
      </w:hyperlink>
    </w:p>
    <w:bookmarkEnd w:id="69"/>
    <w:bookmarkStart w:id="71"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0">
        <w:r>
          <w:rPr>
            <w:rStyle w:val="Hyperlink"/>
          </w:rPr>
          <w:t xml:space="preserve">https://doi.org/10.1016/j.mrfmmm.2004.06.006</w:t>
        </w:r>
      </w:hyperlink>
    </w:p>
    <w:bookmarkEnd w:id="71"/>
    <w:bookmarkStart w:id="72"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2"/>
    <w:bookmarkStart w:id="73"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73"/>
    <w:bookmarkStart w:id="74"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4"/>
    <w:bookmarkEnd w:id="75"/>
    <w:bookmarkEnd w:id="76"/>
    <w:bookmarkStart w:id="122" w:name="figures-and-tables"/>
    <w:p>
      <w:pPr>
        <w:pStyle w:val="Ttulo1"/>
      </w:pPr>
      <w:r>
        <w:t xml:space="preserve">Figures and Tables</w:t>
      </w:r>
    </w:p>
    <w:bookmarkStart w:id="119"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0" w:name="fig-mapa"/>
          <w:p>
            <w:pPr>
              <w:pStyle w:val="Compact"/>
              <w:jc w:val="center"/>
            </w:pPr>
            <w:r>
              <w:drawing>
                <wp:inline>
                  <wp:extent cx="5600700" cy="3960010"/>
                  <wp:effectExtent b="0" l="0" r="0" t="0"/>
                  <wp:docPr descr="" title="" id="78" name="Picture"/>
                  <a:graphic>
                    <a:graphicData uri="http://schemas.openxmlformats.org/drawingml/2006/picture">
                      <pic:pic>
                        <pic:nvPicPr>
                          <pic:cNvPr descr="imagens/Mapa%20Atualizado.png" id="79" name="Picture"/>
                          <pic:cNvPicPr>
                            <a:picLocks noChangeArrowheads="1" noChangeAspect="1"/>
                          </pic:cNvPicPr>
                        </pic:nvPicPr>
                        <pic:blipFill>
                          <a:blip r:embed="rId7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refsites"/>
          <w:p>
            <w:pPr>
              <w:pStyle w:val="Compact"/>
              <w:jc w:val="center"/>
            </w:pPr>
            <w:r>
              <w:drawing>
                <wp:inline>
                  <wp:extent cx="5600700" cy="4657626"/>
                  <wp:effectExtent b="0" l="0" r="0" t="0"/>
                  <wp:docPr descr="" title="" id="82" name="Picture"/>
                  <a:graphic>
                    <a:graphicData uri="http://schemas.openxmlformats.org/drawingml/2006/picture">
                      <pic:pic>
                        <pic:nvPicPr>
                          <pic:cNvPr descr="imagens/refsites.png" id="83" name="Picture"/>
                          <pic:cNvPicPr>
                            <a:picLocks noChangeArrowheads="1" noChangeAspect="1"/>
                          </pic:cNvPicPr>
                        </pic:nvPicPr>
                        <pic:blipFill>
                          <a:blip r:embed="rId8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hab_PCA_fviz"/>
          <w:p>
            <w:pPr>
              <w:pStyle w:val="Compact"/>
              <w:jc w:val="center"/>
            </w:pPr>
            <w:r>
              <w:drawing>
                <wp:inline>
                  <wp:extent cx="5600700" cy="4582390"/>
                  <wp:effectExtent b="0" l="0" r="0" t="0"/>
                  <wp:docPr descr="" title="" id="86" name="Picture"/>
                  <a:graphic>
                    <a:graphicData uri="http://schemas.openxmlformats.org/drawingml/2006/picture">
                      <pic:pic>
                        <pic:nvPicPr>
                          <pic:cNvPr descr="fig-hab_PCA_fviz.png" id="87" name="Picture"/>
                          <pic:cNvPicPr>
                            <a:picLocks noChangeArrowheads="1" noChangeAspect="1"/>
                          </pic:cNvPicPr>
                        </pic:nvPicPr>
                        <pic:blipFill>
                          <a:blip r:embed="rId8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88"/>
        </w:tc>
      </w:tr>
    </w:tbl>
    <w:p>
      <w:pPr>
        <w:pStyle w:val="CaptionedFigure"/>
      </w:pPr>
      <w:r>
        <w:drawing>
          <wp:inline>
            <wp:extent cx="5600700" cy="4582390"/>
            <wp:effectExtent b="0" l="0" r="0" t="0"/>
            <wp:docPr descr="Principal Component Analysis of the environmental variables using the fviz function" title="" id="89" name="Picture"/>
            <a:graphic>
              <a:graphicData uri="http://schemas.openxmlformats.org/drawingml/2006/picture">
                <pic:pic>
                  <pic:nvPicPr>
                    <pic:cNvPr descr="fig-hab_PCA_fviz.png" id="90" name="Picture"/>
                    <pic:cNvPicPr>
                      <a:picLocks noChangeArrowheads="1" noChangeAspect="1"/>
                    </pic:cNvPicPr>
                  </pic:nvPicPr>
                  <pic:blipFill>
                    <a:blip r:embed="rId85"/>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94" w:name="fig-boxtpinandout"/>
          <w:p>
            <w:pPr>
              <w:pStyle w:val="Compact"/>
              <w:jc w:val="center"/>
            </w:pPr>
            <w:r>
              <w:drawing>
                <wp:inline>
                  <wp:extent cx="5600700" cy="3843033"/>
                  <wp:effectExtent b="0" l="0" r="0" t="0"/>
                  <wp:docPr descr="" title="" id="92" name="Picture"/>
                  <a:graphic>
                    <a:graphicData uri="http://schemas.openxmlformats.org/drawingml/2006/picture">
                      <pic:pic>
                        <pic:nvPicPr>
                          <pic:cNvPr descr="imagens/Figura%203.png" id="93" name="Picture"/>
                          <pic:cNvPicPr>
                            <a:picLocks noChangeArrowheads="1" noChangeAspect="1"/>
                          </pic:cNvPicPr>
                        </pic:nvPicPr>
                        <pic:blipFill>
                          <a:blip r:embed="rId9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boxtpsites"/>
          <w:p>
            <w:pPr>
              <w:pStyle w:val="Compact"/>
              <w:jc w:val="center"/>
            </w:pPr>
            <w:r>
              <w:drawing>
                <wp:inline>
                  <wp:extent cx="5600700" cy="3843033"/>
                  <wp:effectExtent b="0" l="0" r="0" t="0"/>
                  <wp:docPr descr="" title="" id="96" name="Picture"/>
                  <a:graphic>
                    <a:graphicData uri="http://schemas.openxmlformats.org/drawingml/2006/picture">
                      <pic:pic>
                        <pic:nvPicPr>
                          <pic:cNvPr descr="imagens/Figura%204.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mcsites"/>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5.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mmc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6.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fluorescence"/>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7.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boxmxr"/>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8.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bar"/>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e%209.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8"/>
        </w:tc>
      </w:tr>
    </w:tbl>
    <w:bookmarkEnd w:id="119"/>
    <w:bookmarkStart w:id="121"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0"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0"/>
        </w:tc>
      </w:tr>
    </w:tbl>
    <w:bookmarkEnd w:id="121"/>
    <w:bookmarkEnd w:id="122"/>
    <w:bookmarkStart w:id="123" w:name="apendices"/>
    <w:p>
      <w:pPr>
        <w:pStyle w:val="Ttulo1"/>
      </w:pPr>
      <w:r>
        <w:t xml:space="preserve">Apendices</w:t>
      </w:r>
    </w:p>
    <w:bookmarkEnd w:id="123"/>
    <w:bookmarkStart w:id="12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RStudio\RESOUR~1\app\bin\quarto\share\formats\docx\warning.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2026-05-27T19:11:37Z</dcterms:created>
  <dcterms:modified xsi:type="dcterms:W3CDTF">2026-05-27T19:11:37Z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2026-05-27</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