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94.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86.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2026-03-24</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collection was conducted between October and November 2023 across six previously established sites (three inside the Reserva Biológica Guaribas and three in the surrounding area) using a hand net in a sweeping motion in shallow waters. Effort of capture was standardized across all sampling occasions and sites. To ensure specimen survival for the ecophysiological analyses, the fish caught were not chemically fixed; instead, they were immediately transferred to plastic bags containing local water and pumped air. Sorting, taxonomic identification, and subsequent experimental procedures were carried out at the Animal Ecophysiology Laboratory (LEFA) of Universidade Estadual da Paraíba (UEPB - campus V, João Pessoa, Brazil). To analyze osmoregulatory function, blood samples were taken from 78 individuals (38 from inside the reserve and 40 from the outside). For that, these fish were anesthetized with eugenol, and a blood aliquot was obtained by puncturing the heart using a pipette with a heparinized tip. The samples were kept on ice, and plasma was subsequently separated from cells by centrifugation. Due to the low plasma volume obtained from these small fish, the chlorine ions assay could not be performed. From those same specimens, gill and muscle were extracted in order to calculate the moisture content of tissues. Plasma and tissue samples were stored in a freezer at -20°C until the analyses were carried out. The remaining 111 individuals (54 from the reserve’s interior and 57 from the exterior) were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margins depth and water temperature. Among the habitat structure variations, overhanging vegetation and roots, were also important to describe stream sites. Larger reservoirs were mostly associated with a muddy substrate whereas river sites included a more diverse array of substrates, the most important being sand and gravel. Other variables such as slope (morphology), submerged vegetation and leaf litter (habitat structure) and water velocity (water quality) were important in explaining specific sites at given sampling occasions.</w:t>
      </w:r>
    </w:p>
    <w:p>
      <w:pPr>
        <w:pStyle w:val="Corpodetexto"/>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"C:/Users/Mirelly/Downloads/mxr23_Q"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5" w:name="references"/>
    <w:p>
      <w:pPr>
        <w:pStyle w:val="Ttulo1"/>
      </w:pPr>
      <w:r>
        <w:t xml:space="preserve">References</w:t>
      </w:r>
    </w:p>
    <w:bookmarkStart w:id="84"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6" w:name="ref-brasil2000f"/>
    <w:p>
      <w:pPr>
        <w:pStyle w:val="Bibliografia"/>
      </w:pPr>
      <w:r>
        <w:t xml:space="preserve">Brasil. (2000).</w:t>
      </w:r>
      <w:r>
        <w:t xml:space="preserve"> </w:t>
      </w:r>
      <w:r>
        <w:rPr>
          <w:i/>
          <w:iCs/>
        </w:rPr>
        <w:t xml:space="preserve">Lei nº 9.985, de 18 de julho de 2000</w:t>
      </w:r>
      <w:r>
        <w:t xml:space="preserve">.</w:t>
      </w:r>
    </w:p>
    <w:bookmarkEnd w:id="36"/>
    <w:bookmarkStart w:id="38"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7">
        <w:r>
          <w:rPr>
            <w:rStyle w:val="Hyperlink"/>
          </w:rPr>
          <w:t xml:space="preserve">https://credit.niso.org/</w:t>
        </w:r>
      </w:hyperlink>
    </w:p>
    <w:bookmarkEnd w:id="38"/>
    <w:bookmarkStart w:id="40"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9">
        <w:r>
          <w:rPr>
            <w:rStyle w:val="Hyperlink"/>
          </w:rPr>
          <w:t xml:space="preserve">https://doi.org/10.1016/j.ecoenv.2018.09.111</w:t>
        </w:r>
      </w:hyperlink>
    </w:p>
    <w:bookmarkEnd w:id="40"/>
    <w:bookmarkStart w:id="41"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1"/>
    <w:bookmarkStart w:id="43"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4">
        <w:r>
          <w:rPr>
            <w:rStyle w:val="Hyperlink"/>
          </w:rPr>
          <w:t xml:space="preserve">https://doi.org/10.1007/s13530-020-00042-w</w:t>
        </w:r>
      </w:hyperlink>
    </w:p>
    <w:bookmarkEnd w:id="45"/>
    <w:bookmarkStart w:id="46"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6"/>
    <w:bookmarkStart w:id="47" w:name="ref-köppen1928a"/>
    <w:p>
      <w:pPr>
        <w:pStyle w:val="Bibliografia"/>
      </w:pPr>
      <w:r>
        <w:t xml:space="preserve">Köppen, W., &amp; Geiger, R. (1928).</w:t>
      </w:r>
      <w:r>
        <w:t xml:space="preserve"> </w:t>
      </w:r>
      <w:r>
        <w:rPr>
          <w:i/>
          <w:iCs/>
        </w:rPr>
        <w:t xml:space="preserve">Klimate der erde</w:t>
      </w:r>
      <w:r>
        <w:t xml:space="preserve">.</w:t>
      </w:r>
    </w:p>
    <w:bookmarkEnd w:id="47"/>
    <w:bookmarkStart w:id="49"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8">
        <w:r>
          <w:rPr>
            <w:rStyle w:val="Hyperlink"/>
          </w:rPr>
          <w:t xml:space="preserve">https://doi.org/10.1023/A:1026560922731</w:t>
        </w:r>
      </w:hyperlink>
    </w:p>
    <w:bookmarkEnd w:id="49"/>
    <w:bookmarkStart w:id="50"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6"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7">
        <w:r>
          <w:rPr>
            <w:rStyle w:val="Hyperlink"/>
          </w:rPr>
          <w:t xml:space="preserve">https://encurtador.com.br/kLle</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0"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60"/>
    <w:bookmarkStart w:id="62"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1">
        <w:r>
          <w:rPr>
            <w:rStyle w:val="Hyperlink"/>
          </w:rPr>
          <w:t xml:space="preserve">https://doi.org/10.1007/s10750-006-0252-7</w:t>
        </w:r>
      </w:hyperlink>
    </w:p>
    <w:bookmarkEnd w:id="62"/>
    <w:bookmarkStart w:id="64"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3">
        <w:r>
          <w:rPr>
            <w:rStyle w:val="Hyperlink"/>
          </w:rPr>
          <w:t xml:space="preserve">https://doi.org/10.1038/35002501</w:t>
        </w:r>
      </w:hyperlink>
    </w:p>
    <w:bookmarkEnd w:id="64"/>
    <w:bookmarkStart w:id="65"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5"/>
    <w:bookmarkStart w:id="67"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6">
        <w:r>
          <w:rPr>
            <w:rStyle w:val="Hyperlink"/>
          </w:rPr>
          <w:t xml:space="preserve">https://doi.org/10.1590/S1413-70542006000500027</w:t>
        </w:r>
      </w:hyperlink>
    </w:p>
    <w:bookmarkEnd w:id="67"/>
    <w:bookmarkStart w:id="68"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8"/>
    <w:bookmarkStart w:id="70"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9">
        <w:r>
          <w:rPr>
            <w:rStyle w:val="Hyperlink"/>
          </w:rPr>
          <w:t xml:space="preserve">https://www.R-project.org/</w:t>
        </w:r>
      </w:hyperlink>
    </w:p>
    <w:bookmarkEnd w:id="70"/>
    <w:bookmarkStart w:id="71" w:name="ref-rstudioteam"/>
    <w:p>
      <w:pPr>
        <w:pStyle w:val="Bibliografia"/>
      </w:pPr>
      <w:r>
        <w:t xml:space="preserve">RStudio Team. (n.d.).</w:t>
      </w:r>
      <w:r>
        <w:t xml:space="preserve"> </w:t>
      </w:r>
      <w:r>
        <w:rPr>
          <w:i/>
          <w:iCs/>
        </w:rPr>
        <w:t xml:space="preserve">RStudio: Integrated Development Environment for R</w:t>
      </w:r>
      <w:r>
        <w:t xml:space="preserve">.</w:t>
      </w:r>
    </w:p>
    <w:bookmarkEnd w:id="71"/>
    <w:bookmarkStart w:id="72"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2"/>
    <w:bookmarkStart w:id="74"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3">
        <w:r>
          <w:rPr>
            <w:rStyle w:val="Hyperlink"/>
          </w:rPr>
          <w:t xml:space="preserve">https://doi.org/10.1016/j.cbpc.2017.08.008</w:t>
        </w:r>
      </w:hyperlink>
    </w:p>
    <w:bookmarkEnd w:id="74"/>
    <w:bookmarkStart w:id="7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5">
        <w:r>
          <w:rPr>
            <w:rStyle w:val="Hyperlink"/>
          </w:rPr>
          <w:t xml:space="preserve">https://doi.org/10.5016/DT000610176</w:t>
        </w:r>
      </w:hyperlink>
    </w:p>
    <w:bookmarkEnd w:id="76"/>
    <w:bookmarkStart w:id="7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7">
        <w:r>
          <w:rPr>
            <w:rStyle w:val="Hyperlink"/>
          </w:rPr>
          <w:t xml:space="preserve">https://doi.org/10.1016/S0027-5107(97)00265-0</w:t>
        </w:r>
      </w:hyperlink>
    </w:p>
    <w:bookmarkEnd w:id="78"/>
    <w:bookmarkStart w:id="80"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9">
        <w:r>
          <w:rPr>
            <w:rStyle w:val="Hyperlink"/>
          </w:rPr>
          <w:t xml:space="preserve">https://doi.org/10.1016/j.mrfmmm.2004.06.006</w:t>
        </w:r>
      </w:hyperlink>
    </w:p>
    <w:bookmarkEnd w:id="80"/>
    <w:bookmarkStart w:id="81"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1"/>
    <w:bookmarkStart w:id="82"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2"/>
    <w:bookmarkStart w:id="83"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3"/>
    <w:bookmarkEnd w:id="84"/>
    <w:bookmarkEnd w:id="85"/>
    <w:bookmarkStart w:id="130" w:name="figures-and-tables"/>
    <w:p>
      <w:pPr>
        <w:pStyle w:val="Ttulo1"/>
      </w:pPr>
      <w:r>
        <w:t xml:space="preserve">Figures and Tables</w:t>
      </w:r>
    </w:p>
    <w:bookmarkStart w:id="128"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9" w:name="fig-mapa"/>
          <w:p>
            <w:pPr>
              <w:pStyle w:val="Compact"/>
              <w:jc w:val="center"/>
            </w:pPr>
            <w:r>
              <w:drawing>
                <wp:inline>
                  <wp:extent cx="5600700" cy="3959578"/>
                  <wp:effectExtent b="0" l="0" r="0" t="0"/>
                  <wp:docPr descr="" title="" id="87" name="Picture"/>
                  <a:graphic>
                    <a:graphicData uri="http://schemas.openxmlformats.org/drawingml/2006/picture">
                      <pic:pic>
                        <pic:nvPicPr>
                          <pic:cNvPr descr="imagens/mapa.png" id="88" name="Picture"/>
                          <pic:cNvPicPr>
                            <a:picLocks noChangeArrowheads="1" noChangeAspect="1"/>
                          </pic:cNvPicPr>
                        </pic:nvPicPr>
                        <pic:blipFill>
                          <a:blip r:embed="rId86"/>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refsites"/>
          <w:p>
            <w:pPr>
              <w:pStyle w:val="Compact"/>
              <w:jc w:val="center"/>
            </w:pPr>
            <w:r>
              <w:drawing>
                <wp:inline>
                  <wp:extent cx="5600700" cy="4657626"/>
                  <wp:effectExtent b="0" l="0" r="0" t="0"/>
                  <wp:docPr descr="" title="" id="91" name="Picture"/>
                  <a:graphic>
                    <a:graphicData uri="http://schemas.openxmlformats.org/drawingml/2006/picture">
                      <pic:pic>
                        <pic:nvPicPr>
                          <pic:cNvPr descr="imagens/refsites.png" id="92" name="Picture"/>
                          <pic:cNvPicPr>
                            <a:picLocks noChangeArrowheads="1" noChangeAspect="1"/>
                          </pic:cNvPicPr>
                        </pic:nvPicPr>
                        <pic:blipFill>
                          <a:blip r:embed="rId90"/>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hab_PCA_fviz"/>
          <w:p>
            <w:pPr>
              <w:pStyle w:val="Compact"/>
              <w:jc w:val="center"/>
            </w:pPr>
            <w:r>
              <w:drawing>
                <wp:inline>
                  <wp:extent cx="5600700" cy="4582390"/>
                  <wp:effectExtent b="0" l="0" r="0" t="0"/>
                  <wp:docPr descr="" title="" id="95" name="Picture"/>
                  <a:graphic>
                    <a:graphicData uri="http://schemas.openxmlformats.org/drawingml/2006/picture">
                      <pic:pic>
                        <pic:nvPicPr>
                          <pic:cNvPr descr="fig-hab_PCA_fviz.png" id="96" name="Picture"/>
                          <pic:cNvPicPr>
                            <a:picLocks noChangeArrowheads="1" noChangeAspect="1"/>
                          </pic:cNvPicPr>
                        </pic:nvPicPr>
                        <pic:blipFill>
                          <a:blip r:embed="rId94"/>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 using the fviz function.</w:t>
            </w:r>
          </w:p>
          <w:bookmarkEnd w:id="97"/>
        </w:tc>
      </w:tr>
    </w:tbl>
    <w:p>
      <w:pPr>
        <w:pStyle w:val="CaptionedFigure"/>
      </w:pPr>
      <w:r>
        <w:drawing>
          <wp:inline>
            <wp:extent cx="5600700" cy="4582390"/>
            <wp:effectExtent b="0" l="0" r="0" t="0"/>
            <wp:docPr descr="Principal Component Analysis of the environmental variables using the fviz function" title="" id="98" name="Picture"/>
            <a:graphic>
              <a:graphicData uri="http://schemas.openxmlformats.org/drawingml/2006/picture">
                <pic:pic>
                  <pic:nvPicPr>
                    <pic:cNvPr descr="fig-hab_PCA_fviz.png" id="99" name="Picture"/>
                    <pic:cNvPicPr>
                      <a:picLocks noChangeArrowheads="1" noChangeAspect="1"/>
                    </pic:cNvPicPr>
                  </pic:nvPicPr>
                  <pic:blipFill>
                    <a:blip r:embed="rId94"/>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3" w:name="fig-boxtpinandout"/>
          <w:p>
            <w:pPr>
              <w:pStyle w:val="Compact"/>
              <w:jc w:val="center"/>
            </w:pPr>
            <w:r>
              <w:drawing>
                <wp:inline>
                  <wp:extent cx="5600700" cy="3843033"/>
                  <wp:effectExtent b="0" l="0" r="0" t="0"/>
                  <wp:docPr descr="" title="" id="101" name="Picture"/>
                  <a:graphic>
                    <a:graphicData uri="http://schemas.openxmlformats.org/drawingml/2006/picture">
                      <pic:pic>
                        <pic:nvPicPr>
                          <pic:cNvPr descr="imagens/Figura%203.png" id="102" name="Picture"/>
                          <pic:cNvPicPr>
                            <a:picLocks noChangeArrowheads="1" noChangeAspect="1"/>
                          </pic:cNvPicPr>
                        </pic:nvPicPr>
                        <pic:blipFill>
                          <a:blip r:embed="rId10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Total protein (mg) variance of data inside and outside ReBio Guaribas.</w:t>
            </w:r>
          </w:p>
          <w:bookmarkEnd w:id="10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fig-boxtpsites"/>
          <w:p>
            <w:pPr>
              <w:pStyle w:val="Compact"/>
              <w:jc w:val="center"/>
            </w:pPr>
            <w:r>
              <w:drawing>
                <wp:inline>
                  <wp:extent cx="5600700" cy="3843033"/>
                  <wp:effectExtent b="0" l="0" r="0" t="0"/>
                  <wp:docPr descr="" title="" id="105" name="Picture"/>
                  <a:graphic>
                    <a:graphicData uri="http://schemas.openxmlformats.org/drawingml/2006/picture">
                      <pic:pic>
                        <pic:nvPicPr>
                          <pic:cNvPr descr="imagens/Figura%204.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fig-mcsites"/>
          <w:p>
            <w:pPr>
              <w:pStyle w:val="Compact"/>
              <w:jc w:val="center"/>
            </w:pPr>
            <w:r>
              <w:drawing>
                <wp:inline>
                  <wp:extent cx="5600700" cy="3843033"/>
                  <wp:effectExtent b="0" l="0" r="0" t="0"/>
                  <wp:docPr descr="" title="" id="109" name="Picture"/>
                  <a:graphic>
                    <a:graphicData uri="http://schemas.openxmlformats.org/drawingml/2006/picture">
                      <pic:pic>
                        <pic:nvPicPr>
                          <pic:cNvPr descr="imagens/Figura%205.png" id="110" name="Picture"/>
                          <pic:cNvPicPr>
                            <a:picLocks noChangeArrowheads="1" noChangeAspect="1"/>
                          </pic:cNvPicPr>
                        </pic:nvPicPr>
                        <pic:blipFill>
                          <a:blip r:embed="rId10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Moisture content (%) of tissues from sampling sites inside and outside the ReBio Guaribas, with the respective p-value between each locality.</w:t>
            </w:r>
          </w:p>
          <w:bookmarkEnd w:id="11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boxmmcsites"/>
          <w:p>
            <w:pPr>
              <w:pStyle w:val="Compact"/>
              <w:jc w:val="center"/>
            </w:pPr>
            <w:r>
              <w:drawing>
                <wp:inline>
                  <wp:extent cx="5600700" cy="3843033"/>
                  <wp:effectExtent b="0" l="0" r="0" t="0"/>
                  <wp:docPr descr="" title="" id="113" name="Picture"/>
                  <a:graphic>
                    <a:graphicData uri="http://schemas.openxmlformats.org/drawingml/2006/picture">
                      <pic:pic>
                        <pic:nvPicPr>
                          <pic:cNvPr descr="imagens/Figura%206.png" id="114" name="Picture"/>
                          <pic:cNvPicPr>
                            <a:picLocks noChangeArrowheads="1" noChangeAspect="1"/>
                          </pic:cNvPicPr>
                        </pic:nvPicPr>
                        <pic:blipFill>
                          <a:blip r:embed="rId11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fluorescence"/>
          <w:p>
            <w:pPr>
              <w:pStyle w:val="Compact"/>
              <w:jc w:val="center"/>
            </w:pPr>
            <w:r>
              <w:drawing>
                <wp:inline>
                  <wp:extent cx="5600700" cy="3843033"/>
                  <wp:effectExtent b="0" l="0" r="0" t="0"/>
                  <wp:docPr descr="" title="" id="117" name="Picture"/>
                  <a:graphic>
                    <a:graphicData uri="http://schemas.openxmlformats.org/drawingml/2006/picture">
                      <pic:pic>
                        <pic:nvPicPr>
                          <pic:cNvPr descr="imagens/Figura%207.png" id="118" name="Picture"/>
                          <pic:cNvPicPr>
                            <a:picLocks noChangeArrowheads="1" noChangeAspect="1"/>
                          </pic:cNvPicPr>
                        </pic:nvPicPr>
                        <pic:blipFill>
                          <a:blip r:embed="rId11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fluorescence data from sampling sites inside and outside the ReBio Guaribas, expressed by relative fluorescence units/milligrammes of tissue (gill).</w:t>
            </w:r>
          </w:p>
          <w:bookmarkEnd w:id="11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boxmxr"/>
          <w:p>
            <w:pPr>
              <w:pStyle w:val="Compact"/>
              <w:jc w:val="center"/>
            </w:pPr>
            <w:r>
              <w:drawing>
                <wp:inline>
                  <wp:extent cx="5600700" cy="3843033"/>
                  <wp:effectExtent b="0" l="0" r="0" t="0"/>
                  <wp:docPr descr="" title="" id="121" name="Picture"/>
                  <a:graphic>
                    <a:graphicData uri="http://schemas.openxmlformats.org/drawingml/2006/picture">
                      <pic:pic>
                        <pic:nvPicPr>
                          <pic:cNvPr descr="imagens/Figura%208.png" id="122" name="Picture"/>
                          <pic:cNvPicPr>
                            <a:picLocks noChangeArrowheads="1" noChangeAspect="1"/>
                          </pic:cNvPicPr>
                        </pic:nvPicPr>
                        <pic:blipFill>
                          <a:blip r:embed="rId12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ar"/>
          <w:p>
            <w:pPr>
              <w:pStyle w:val="Compact"/>
              <w:jc w:val="center"/>
            </w:pPr>
            <w:r>
              <w:drawing>
                <wp:inline>
                  <wp:extent cx="5600700" cy="3843033"/>
                  <wp:effectExtent b="0" l="0" r="0" t="0"/>
                  <wp:docPr descr="" title="" id="125" name="Picture"/>
                  <a:graphic>
                    <a:graphicData uri="http://schemas.openxmlformats.org/drawingml/2006/picture">
                      <pic:pic>
                        <pic:nvPicPr>
                          <pic:cNvPr descr="imagens/Figure%209.png" id="126" name="Picture"/>
                          <pic:cNvPicPr>
                            <a:picLocks noChangeArrowheads="1" noChangeAspect="1"/>
                          </pic:cNvPicPr>
                        </pic:nvPicPr>
                        <pic:blipFill>
                          <a:blip r:embed="rId12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7"/>
        </w:tc>
      </w:tr>
    </w:tbl>
    <w:bookmarkEnd w:id="128"/>
    <w:bookmarkStart w:id="129" w:name="tables"/>
    <w:p>
      <w:pPr>
        <w:pStyle w:val="Ttulo2"/>
      </w:pPr>
      <w:r>
        <w:t xml:space="preserve">Tables</w:t>
      </w:r>
    </w:p>
    <w:bookmarkEnd w:id="129"/>
    <w:bookmarkEnd w:id="130"/>
    <w:bookmarkStart w:id="131" w:name="apendices"/>
    <w:p>
      <w:pPr>
        <w:pStyle w:val="Ttulo1"/>
      </w:pPr>
      <w:r>
        <w:t xml:space="preserve">Apendices</w:t>
      </w:r>
    </w:p>
    <w:bookmarkEnd w:id="131"/>
    <w:bookmarkStart w:id="135" w:name="non-used-figures-and-tables"/>
    <w:p>
      <w:pPr>
        <w:pStyle w:val="Ttulo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PROGRA~1\RStudio\RESOUR~1\app\bin\quarto\share\formats\docx\warning.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135"/>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1"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3"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75"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1"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3"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75"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2026-03-24T16:32:14Z</dcterms:created>
  <dcterms:modified xsi:type="dcterms:W3CDTF">2026-03-24T16:32:14Z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2026-03-24</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