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6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Subtitle 1</w:t>
      </w:r>
      <w:r>
        <w:t xml:space="preserve"> </w:t>
      </w:r>
      <w:r>
        <w:t xml:space="preserve">Subtitle 2</w:t>
      </w:r>
    </w:p>
    <w:p>
      <w:pPr>
        <w:pStyle w:val="Author"/>
      </w:pPr>
      <w:r>
        <w:t xml:space="preserve">Adamastor Coutinho Pinto</w:t>
      </w:r>
    </w:p>
    <w:p>
      <w:pPr>
        <w:pStyle w:val="Author"/>
      </w:pPr>
      <w:r>
        <w:t xml:space="preserve">Alice da Silva Barros</w:t>
      </w:r>
    </w:p>
    <w:p>
      <w:pPr>
        <w:pStyle w:val="Author"/>
      </w:pPr>
      <w:r>
        <w:t xml:space="preserve">Mayara Mirelly da Silva Monteiro</w:t>
      </w:r>
    </w:p>
    <w:p>
      <w:pPr>
        <w:pStyle w:val="Author"/>
      </w:pPr>
      <w:r>
        <w:t xml:space="preserve">Ellen Gomes da Silva</w:t>
      </w:r>
    </w:p>
    <w:p>
      <w:pPr>
        <w:pStyle w:val="Author"/>
      </w:pPr>
      <w:r>
        <w:t xml:space="preserve">Enelise Marcelle Amado</w:t>
      </w:r>
    </w:p>
    <w:p>
      <w:pPr>
        <w:pStyle w:val="Author"/>
      </w:pPr>
      <w:r>
        <w:t xml:space="preserve">Elvio Sergio Figueredo Medeiros</w:t>
      </w:r>
    </w:p>
    <w:p>
      <w:pPr>
        <w:pStyle w:val="Data"/>
      </w:pPr>
      <w:r>
        <w:t xml:space="preserve">2026-03-10</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 (</w:t>
      </w:r>
      <w:r>
        <w:t xml:space="preserve">(Udvardy, 1975)</w:t>
      </w:r>
      <w:r>
        <w:t xml:space="preserve">) 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loca0l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(Fig. 1).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w:t>
      </w:r>
      <w:r>
        <w:t xml:space="preserve">; Ministério do Meio Ambiente, 2025).</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 R Core Team, 2017; R Studio Team, 2022).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6" w:name="material-and-methods"/>
    <w:p>
      <w:pPr>
        <w:pStyle w:val="Ttulo1"/>
      </w:pPr>
      <w:r>
        <w:t xml:space="preserve">2. Material and Methods</w:t>
      </w:r>
    </w:p>
    <w:bookmarkStart w:id="21" w:name="collection-and-animal-maintenance"/>
    <w:p>
      <w:pPr>
        <w:pStyle w:val="Ttulo2"/>
      </w:pPr>
      <w:r>
        <w:t xml:space="preserve">2.1 Collection and animal maintenance</w:t>
      </w:r>
    </w:p>
    <w:p>
      <w:pPr>
        <w:pStyle w:val="FirstParagraph"/>
      </w:pPr>
      <w:r>
        <w:t xml:space="preserve">The sampling sites (Fig. 2) were cataloged and numbered by the co-author of this paper (Prof. Dr. Elvio Sérgio Figueredo Medeiros) in previous works, using three data points inside the Reserva Biológica Guaribas (n=92 fish collected) and three in the surrounding area (n=97), numbered, in order, P5 (n=29), P6 (n=31) and P7 (n=32), and P8 (n=28), P9 (n=35) and P10 (n=34), between October and November 2023.</w:t>
      </w:r>
    </w:p>
    <w:p>
      <w:pPr>
        <w:pStyle w:val="Corpodetexto"/>
      </w:pPr>
      <w:r>
        <w:t xml:space="preserve">In order to uniform the data, only fish from Hemigrammus Gill 1858 (Fricke et al., 2026) genera were analyzed, being found in every sampling site and in abundance, captured in the shallow waters of streams using a hand net in sweeping motion. To facilitate handling, the specimens were transported in plastic bags with air and local water to the Animal Ecophysiology Laboratory (LEFA) from UEPB - campus V (João Pessoa, Brazil). To analyze the osmoregulatory function of the fish, blood samples were collected from some specimens (38 fish from inside the reserve and 40 from outside, a total of 78). For that, those specimens were anesthetized with eugenol, and a blood aliquot was obtained by puncturing the heart using a pipette with a heparinized tip. The samples were kept on ice, and plasma was subsequently separated from cells by centrifugation. Due to low volume of obtained plasma, because of the small size of fish, the chlorine ions assay could not be performed. From those same specimens, gill and muscle were collected in order to calculate the moisture content of tissues. Plasma and tissues samples were stored in a freezer at -20°C until the analyses were performed. The other part of collected specimens (54 fish from inside the reserve and 57 from outside, a total of 111) was used in the multixenobiotic resistance (MXR) phenotype assay.</w:t>
      </w:r>
    </w:p>
    <w:p>
      <w:pPr>
        <w:pStyle w:val="Corpodetexto"/>
      </w:pPr>
      <w:r>
        <w:t xml:space="preserve">Abiotic data, such as water temperature, dissolved oxygen, pH and multiple nutrients were simultaneously collected with the fish, allowing additional statistical analysis that may point out possible correlations between physiological biotic data and these environment components (analysis performed in the integrated programming environment R and R Studio - R Core Team, 2017; R Studio Team, 2022).</w:t>
      </w:r>
    </w:p>
    <w:bookmarkEnd w:id="21"/>
    <w:bookmarkStart w:id="22" w:name="plasmatic-protein-dosage"/>
    <w:p>
      <w:pPr>
        <w:pStyle w:val="Ttulo2"/>
      </w:pPr>
      <w:r>
        <w:t xml:space="preserve">2.2 Plasmatic protein dosage</w:t>
      </w:r>
    </w:p>
    <w:p>
      <w:pPr>
        <w:pStyle w:val="FirstParagraph"/>
      </w:pP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 (R Studio Team, 2022). Next, an analysis of variance (ANOVA) was performed to determine where there were differences between each sampling site.</w:t>
      </w:r>
    </w:p>
    <w:bookmarkEnd w:id="22"/>
    <w:bookmarkStart w:id="23" w:name="moisture-content"/>
    <w:p>
      <w:pPr>
        <w:pStyle w:val="Ttulo2"/>
      </w:pPr>
      <w:r>
        <w:t xml:space="preserve">2.3 Moisture content</w:t>
      </w:r>
    </w:p>
    <w:p>
      <w:pPr>
        <w:pStyle w:val="FirstParagraph"/>
      </w:pP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bookmarkEnd w:id="23"/>
    <w:bookmarkStart w:id="25" w:name="mxr-phenotype-activity"/>
    <w:p>
      <w:pPr>
        <w:pStyle w:val="Ttulo2"/>
      </w:pPr>
      <w:r>
        <w:t xml:space="preserve">2.4 MXR phenotype activity</w:t>
      </w:r>
    </w:p>
    <w:p>
      <w:pPr>
        <w:pStyle w:val="FirstParagraph"/>
      </w:pP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 (R Studio Team, 2022) to determine if there were differences between the averages inside and outside the Conservative Unity, followed by an ANOVA to visualize the differences between each sampling site.</w:t>
      </w:r>
    </w:p>
    <w:p>
      <w:pPr>
        <w:pStyle w:val="Corpodetexto"/>
      </w:pPr>
      <w:r>
        <w:t xml:space="preserve">Here you can add your statistical analyses and follow the text with the RStudio code. Following the model in</w:t>
      </w:r>
      <w:r>
        <w:t xml:space="preserve"> </w:t>
      </w:r>
      <w:hyperlink r:id="rId24">
        <w:r>
          <w:rPr>
            <w:rStyle w:val="Hyperlink"/>
          </w:rPr>
          <w:t xml:space="preserve">https://elviomedeiros.github.io/Bentos2006_Q/</w:t>
        </w:r>
      </w:hyperlink>
      <w:r>
        <w:t xml:space="preserve">.</w:t>
      </w:r>
    </w:p>
    <w:bookmarkEnd w:id="25"/>
    <w:bookmarkEnd w:id="26"/>
    <w:bookmarkStart w:id="31" w:name="results"/>
    <w:p>
      <w:pPr>
        <w:pStyle w:val="Ttulo1"/>
      </w:pPr>
      <w:r>
        <w:t xml:space="preserve">3. Results</w:t>
      </w:r>
    </w:p>
    <w:bookmarkStart w:id="27" w:name="plasmatic-protein-dosage-1"/>
    <w:p>
      <w:pPr>
        <w:pStyle w:val="Ttulo2"/>
      </w:pPr>
      <w:r>
        <w:t xml:space="preserve">3.1 Plasmatic protein dosage</w:t>
      </w:r>
    </w:p>
    <w:p>
      <w:pPr>
        <w:pStyle w:val="FirstParagraph"/>
      </w:pPr>
      <w:r>
        <w:t xml:space="preserve">The average plasmatic protein concentration, parameter that ispositively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(Fig. 3).</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"C:/Users/ellen/Downloads/Manuscritos/mxr23_Q"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(Fig. 4).</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 Sabae and Mohamed (2015) 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bookmarkEnd w:id="27"/>
    <w:bookmarkStart w:id="28" w:name="moisture-content-1"/>
    <w:p>
      <w:pPr>
        <w:pStyle w:val="Ttulo2"/>
      </w:pPr>
      <w:r>
        <w:t xml:space="preserve">3.2 Moisture content</w:t>
      </w:r>
    </w:p>
    <w:p>
      <w:pPr>
        <w:pStyle w:val="FirstParagraph"/>
      </w:pP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 Haredi (2020). However, through T test (gills, which data had normal variation) and Kruskal-Wallis test (muscle, with non-normal variation data), it was detected statistical difference for both tissues between fish from the sampling sites inside and outside the Guaribas (Fig. 5).</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(Fig. 6).</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bookmarkEnd w:id="28"/>
    <w:bookmarkStart w:id="29" w:name="mxr-phenotype-activity-1"/>
    <w:p>
      <w:pPr>
        <w:pStyle w:val="Ttulo2"/>
      </w:pPr>
      <w:r>
        <w:t xml:space="preserve">3.3 MXR phenotype activity</w:t>
      </w:r>
    </w:p>
    <w:p>
      <w:pPr>
        <w:pStyle w:val="FirstParagraph"/>
      </w:pP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 Kurelec et al. (2000).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 (Smital, 2004) Despite the unexpected result, the variance difference between data from the MXR phenotype activity inside and outside the ReBio Guaribas (confirmed by the Kruskal-Wallis test and illustrated in Fig. 7)</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(Fig. 8).</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bookmarkEnd w:id="29"/>
    <w:bookmarkStart w:id="30" w:name="abiotic-data"/>
    <w:p>
      <w:pPr>
        <w:pStyle w:val="Ttulo2"/>
      </w:pPr>
      <w:r>
        <w:t xml:space="preserve">3.4 Abiotic data</w:t>
      </w:r>
    </w:p>
    <w:p>
      <w:pPr>
        <w:pStyle w:val="FirstParagraph"/>
      </w:pPr>
      <w:r>
        <w:t xml:space="preserve">The abiotic data from every sampling site water was measured and reunited in Tab. 1. The abnormal proportion of ammonia indicates the presence of effluents in the water outside the Reserva Biológica Guaribas, and, as discussed by Piedras et al. (2006),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30"/>
    <w:bookmarkEnd w:id="31"/>
    <w:bookmarkStart w:id="32"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 9, highlighting the total protein as one that proved itself as an excellent biomarker to detect pollutants in the aquatic environment.</w:t>
      </w:r>
    </w:p>
    <w:p>
      <w:pPr>
        <w:pStyle w:val="Corpodetexto"/>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 Kurelec et al. (2000),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 Masullo et al. (2020) paper and presenting quantifiable data that can complement studies with analysis of historical and geographical data, such as the one from Assis et al. (2021).</w:t>
      </w:r>
    </w:p>
    <w:bookmarkEnd w:id="32"/>
    <w:bookmarkStart w:id="33" w:name="conclusions"/>
    <w:p>
      <w:pPr>
        <w:pStyle w:val="Ttulo1"/>
      </w:pPr>
      <w:r>
        <w:t xml:space="preserve">Conclusions</w:t>
      </w:r>
    </w:p>
    <w:bookmarkEnd w:id="33"/>
    <w:bookmarkStart w:id="34" w:name="acknowledgements"/>
    <w:p>
      <w:pPr>
        <w:pStyle w:val="Ttulo1"/>
      </w:pPr>
      <w:r>
        <w:t xml:space="preserve">Acknowledgements</w:t>
      </w:r>
    </w:p>
    <w:bookmarkEnd w:id="34"/>
    <w:bookmarkStart w:id="35"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Author1: Conceptualization, Data curation, Formal analysis, Investigation, Software, Visualization, Writing – review &amp; editing, Writing – original draft. Author2: Data curation, Formal analysis, Software, Writing – review &amp; editing. Author3: Data curation, Formal analysis, Software, Writing – review &amp; editing. Author4:Data curation, Formal analysis, Software, Writing – review &amp; editing. Author5: Conceptualization, Data curation, Methodology, Project administration, Resources, Supervision, Validation, Writing – review &amp; editing. Author6: Conceptualization, Data curation, Formal analysis, Funding acquisition, Methodology, Project administration, Resources, Software, Supervision, Validation, Writing – review &amp; editing.</w:t>
      </w:r>
    </w:p>
    <w:bookmarkEnd w:id="35"/>
    <w:bookmarkStart w:id="36"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(CEUA-048/2023 and SISBIO-89415-2).</w:t>
      </w:r>
    </w:p>
    <w:bookmarkEnd w:id="36"/>
    <w:bookmarkStart w:id="61" w:name="references"/>
    <w:p>
      <w:pPr>
        <w:pStyle w:val="Ttulo1"/>
      </w:pPr>
      <w:r>
        <w:t xml:space="preserve">References</w:t>
      </w:r>
    </w:p>
    <w:bookmarkStart w:id="60" w:name="refs"/>
    <w:bookmarkStart w:id="38"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7">
        <w:r>
          <w:rPr>
            <w:rStyle w:val="Hyperlink"/>
          </w:rPr>
          <w:t xml:space="preserve">https://doi.org/10.1002/wer.1221</w:t>
        </w:r>
      </w:hyperlink>
    </w:p>
    <w:bookmarkEnd w:id="38"/>
    <w:bookmarkStart w:id="39"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9"/>
    <w:bookmarkStart w:id="41"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40">
        <w:r>
          <w:rPr>
            <w:rStyle w:val="Hyperlink"/>
          </w:rPr>
          <w:t xml:space="preserve">https://doi.org/10.1007/s10669-011-9380-3</w:t>
        </w:r>
      </w:hyperlink>
    </w:p>
    <w:bookmarkEnd w:id="41"/>
    <w:bookmarkStart w:id="42"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2"/>
    <w:bookmarkStart w:id="44"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43">
        <w:r>
          <w:rPr>
            <w:rStyle w:val="Hyperlink"/>
          </w:rPr>
          <w:t xml:space="preserve">https://credit.niso.org/</w:t>
        </w:r>
      </w:hyperlink>
    </w:p>
    <w:bookmarkEnd w:id="44"/>
    <w:bookmarkStart w:id="46"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5">
        <w:r>
          <w:rPr>
            <w:rStyle w:val="Hyperlink"/>
          </w:rPr>
          <w:t xml:space="preserve">https://doi.org/10.1016/j.ecoenv.2018.09.111</w:t>
        </w:r>
      </w:hyperlink>
    </w:p>
    <w:bookmarkEnd w:id="46"/>
    <w:bookmarkStart w:id="47"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7"/>
    <w:bookmarkStart w:id="49"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8">
        <w:r>
          <w:rPr>
            <w:rStyle w:val="Hyperlink"/>
          </w:rPr>
          <w:t xml:space="preserve">https://doi.org/10.15560/13.5.581</w:t>
        </w:r>
      </w:hyperlink>
    </w:p>
    <w:bookmarkEnd w:id="49"/>
    <w:bookmarkStart w:id="50"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50"/>
    <w:bookmarkStart w:id="51"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51"/>
    <w:bookmarkStart w:id="53"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52">
        <w:r>
          <w:rPr>
            <w:rStyle w:val="Hyperlink"/>
          </w:rPr>
          <w:t xml:space="preserve">https://doi.org/10.1038/35002501</w:t>
        </w:r>
      </w:hyperlink>
    </w:p>
    <w:bookmarkEnd w:id="53"/>
    <w:bookmarkStart w:id="54"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54"/>
    <w:bookmarkStart w:id="56"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55">
        <w:r>
          <w:rPr>
            <w:rStyle w:val="Hyperlink"/>
          </w:rPr>
          <w:t xml:space="preserve">https://doi.org/10.5016/DT000610176</w:t>
        </w:r>
      </w:hyperlink>
    </w:p>
    <w:bookmarkEnd w:id="56"/>
    <w:bookmarkStart w:id="58"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57">
        <w:r>
          <w:rPr>
            <w:rStyle w:val="Hyperlink"/>
          </w:rPr>
          <w:t xml:space="preserve">https://doi.org/10.1016/S0027-5107(97)00265-0</w:t>
        </w:r>
      </w:hyperlink>
    </w:p>
    <w:bookmarkEnd w:id="58"/>
    <w:bookmarkStart w:id="59"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59"/>
    <w:bookmarkEnd w:id="60"/>
    <w:bookmarkEnd w:id="61"/>
    <w:bookmarkStart w:id="68" w:name="figures-and-tables"/>
    <w:p>
      <w:pPr>
        <w:pStyle w:val="Ttulo1"/>
      </w:pPr>
      <w:r>
        <w:t xml:space="preserve">Figures and Tables</w:t>
      </w:r>
    </w:p>
    <w:bookmarkStart w:id="66"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65" w:name="fig-pesquisa"/>
          <w:p>
            <w:pPr>
              <w:pStyle w:val="Compact"/>
              <w:jc w:val="center"/>
            </w:pPr>
            <w:r>
              <w:drawing>
                <wp:inline>
                  <wp:extent cx="4107179" cy="3886200"/>
                  <wp:effectExtent b="0" l="0" r="0" t="0"/>
                  <wp:docPr descr="" title="" id="63" name="Picture"/>
                  <a:graphic>
                    <a:graphicData uri="http://schemas.openxmlformats.org/drawingml/2006/picture">
                      <pic:pic>
                        <pic:nvPicPr>
                          <pic:cNvPr descr="imagens/pesquisa_cientifica.jpg" id="64" name="Picture"/>
                          <pic:cNvPicPr>
                            <a:picLocks noChangeArrowheads="1" noChangeAspect="1"/>
                          </pic:cNvPicPr>
                        </pic:nvPicPr>
                        <pic:blipFill>
                          <a:blip r:embed="rId62"/>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Etapas do desenvolvimento da pesquisa científica.</w:t>
            </w:r>
          </w:p>
          <w:bookmarkEnd w:id="65"/>
        </w:tc>
      </w:tr>
    </w:tbl>
    <w:bookmarkEnd w:id="66"/>
    <w:bookmarkStart w:id="67" w:name="tables"/>
    <w:p>
      <w:pPr>
        <w:pStyle w:val="Ttulo2"/>
      </w:pPr>
      <w:r>
        <w:t xml:space="preserve">Tables</w:t>
      </w:r>
    </w:p>
    <w:bookmarkEnd w:id="67"/>
    <w:bookmarkEnd w:id="68"/>
    <w:bookmarkStart w:id="69" w:name="apendices"/>
    <w:p>
      <w:pPr>
        <w:pStyle w:val="Ttulo1"/>
      </w:pPr>
      <w:r>
        <w:t xml:space="preserve">Apendices</w:t>
      </w:r>
    </w:p>
    <w:bookmarkEnd w:id="69"/>
    <w:bookmarkStart w:id="73"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PROGRA~1\RStudio\RESOUR~1\app\bin\quarto\share\formats\docx\warning.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73"/>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62" Target="media/rId62.jpg" /><Relationship Type="http://schemas.openxmlformats.org/officeDocument/2006/relationships/hyperlink" Id="rId43" Target="https://credit.niso.org/" TargetMode="External" /><Relationship Type="http://schemas.openxmlformats.org/officeDocument/2006/relationships/hyperlink" Id="rId37" Target="https://doi.org/10.1002/wer.1221" TargetMode="External" /><Relationship Type="http://schemas.openxmlformats.org/officeDocument/2006/relationships/hyperlink" Id="rId40" Target="https://doi.org/10.1007/s10669-011-9380-3" TargetMode="External" /><Relationship Type="http://schemas.openxmlformats.org/officeDocument/2006/relationships/hyperlink" Id="rId57" Target="https://doi.org/10.1016/S0027-5107(97)00265-0" TargetMode="External" /><Relationship Type="http://schemas.openxmlformats.org/officeDocument/2006/relationships/hyperlink" Id="rId45" Target="https://doi.org/10.1016/j.ecoenv.2018.09.111" TargetMode="External" /><Relationship Type="http://schemas.openxmlformats.org/officeDocument/2006/relationships/hyperlink" Id="rId52" Target="https://doi.org/10.1038/35002501" TargetMode="External" /><Relationship Type="http://schemas.openxmlformats.org/officeDocument/2006/relationships/hyperlink" Id="rId48" Target="https://doi.org/10.15560/13.5.581" TargetMode="External" /><Relationship Type="http://schemas.openxmlformats.org/officeDocument/2006/relationships/hyperlink" Id="rId55" Target="https://doi.org/10.5016/DT000610176" TargetMode="External" /><Relationship Type="http://schemas.openxmlformats.org/officeDocument/2006/relationships/hyperlink" Id="rId24" Target="https://elviomedeiros.github.io/Bentos2006_Q/" TargetMode="External" /></Relationships>
</file>

<file path=word/_rels/footnotes.xml.rels><?xml version="1.0" encoding="UTF-8"?><Relationships xmlns="http://schemas.openxmlformats.org/package/2006/relationships"><Relationship Type="http://schemas.openxmlformats.org/officeDocument/2006/relationships/hyperlink" Id="rId43" Target="https://credit.niso.org/" TargetMode="External" /><Relationship Type="http://schemas.openxmlformats.org/officeDocument/2006/relationships/hyperlink" Id="rId37" Target="https://doi.org/10.1002/wer.1221" TargetMode="External" /><Relationship Type="http://schemas.openxmlformats.org/officeDocument/2006/relationships/hyperlink" Id="rId40" Target="https://doi.org/10.1007/s10669-011-9380-3" TargetMode="External" /><Relationship Type="http://schemas.openxmlformats.org/officeDocument/2006/relationships/hyperlink" Id="rId57" Target="https://doi.org/10.1016/S0027-5107(97)00265-0" TargetMode="External" /><Relationship Type="http://schemas.openxmlformats.org/officeDocument/2006/relationships/hyperlink" Id="rId45" Target="https://doi.org/10.1016/j.ecoenv.2018.09.111" TargetMode="External" /><Relationship Type="http://schemas.openxmlformats.org/officeDocument/2006/relationships/hyperlink" Id="rId52" Target="https://doi.org/10.1038/35002501" TargetMode="External" /><Relationship Type="http://schemas.openxmlformats.org/officeDocument/2006/relationships/hyperlink" Id="rId48" Target="https://doi.org/10.15560/13.5.581" TargetMode="External" /><Relationship Type="http://schemas.openxmlformats.org/officeDocument/2006/relationships/hyperlink" Id="rId55" Target="https://doi.org/10.5016/DT000610176" TargetMode="External" /><Relationship Type="http://schemas.openxmlformats.org/officeDocument/2006/relationships/hyperlink" Id="rId24" Target="https://elviomedeiros.github.io/Bentos2006_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Alice da Silva Barros; Mayara Mirelly da Silva Monteiro; Ellen Gomes da Silva; Enelise Marcelle Amado; Elvio Sergio Figueredo Medeiros</dc:creator>
  <dc:language>en-US</dc:language>
  <cp:keywords>Ecological Health, Physiological Stress</cp:keywords>
  <dcterms:created xsi:type="dcterms:W3CDTF">2026-03-10T23:18:23Z</dcterms:created>
  <dcterms:modified xsi:type="dcterms:W3CDTF">2026-03-10T23:18:23Z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2026-03-10</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Subtitle 1 Subtitle 2</vt:lpwstr>
  </property>
  <property fmtid="{D5CDD505-2E9C-101B-9397-08002B2CF9AE}" pid="20" name="toc-title">
    <vt:lpwstr>Table of contents</vt:lpwstr>
  </property>
</Properties>
</file>