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99.png" ContentType="image/png"/>
  <Override PartName="/word/media/rId103.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2.png" ContentType="image/png"/>
  <Override PartName="/word/media/rId88.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2026-05-28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r>
        <w:rPr>
          <w:b/>
          <w:bCs/>
        </w:rPr>
        <w:t xml:space="preserve">?@fig-mapa</w:t>
      </w:r>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r>
        <w:rPr>
          <w:b/>
          <w:bCs/>
        </w:rPr>
        <w:t xml:space="preserve">?@fig-mapa</w:t>
      </w:r>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1</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(ref_fig).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2</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r>
        <w:rPr>
          <w:b/>
          <w:bCs/>
        </w:rPr>
        <w:t xml:space="preserve">?@fig-boxtpinandout</w:t>
      </w:r>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8</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7" w:name="references"/>
    <w:p>
      <w:pPr>
        <w:pStyle w:val="Ttulo1"/>
      </w:pPr>
      <w:r>
        <w:t xml:space="preserve">References</w:t>
      </w:r>
    </w:p>
    <w:bookmarkStart w:id="86"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57">
        <w:r>
          <w:rPr>
            <w:rStyle w:val="Hyperlink"/>
          </w:rPr>
          <w:t xml:space="preserve">https://doi.org/10.1590/S1519-69842010000200004</w:t>
        </w:r>
      </w:hyperlink>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2"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2"/>
    <w:bookmarkStart w:id="6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3">
        <w:r>
          <w:rPr>
            <w:rStyle w:val="Hyperlink"/>
          </w:rPr>
          <w:t xml:space="preserve">https://doi.org/10.1007/s10750-006-0252-7</w:t>
        </w:r>
      </w:hyperlink>
    </w:p>
    <w:bookmarkEnd w:id="64"/>
    <w:bookmarkStart w:id="6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5">
        <w:r>
          <w:rPr>
            <w:rStyle w:val="Hyperlink"/>
          </w:rPr>
          <w:t xml:space="preserve">https://doi.org/10.1038/35002501</w:t>
        </w:r>
      </w:hyperlink>
    </w:p>
    <w:bookmarkEnd w:id="66"/>
    <w:bookmarkStart w:id="67"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7"/>
    <w:bookmarkStart w:id="69"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8">
        <w:r>
          <w:rPr>
            <w:rStyle w:val="Hyperlink"/>
          </w:rPr>
          <w:t xml:space="preserve">https://doi.org/10.1590/S1413-70542006000500027</w:t>
        </w:r>
      </w:hyperlink>
    </w:p>
    <w:bookmarkEnd w:id="69"/>
    <w:bookmarkStart w:id="70"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0"/>
    <w:bookmarkStart w:id="72"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71">
        <w:r>
          <w:rPr>
            <w:rStyle w:val="Hyperlink"/>
          </w:rPr>
          <w:t xml:space="preserve">https://www.R-project.org/</w:t>
        </w:r>
      </w:hyperlink>
    </w:p>
    <w:bookmarkEnd w:id="72"/>
    <w:bookmarkStart w:id="73" w:name="ref-rstudioteam"/>
    <w:p>
      <w:pPr>
        <w:pStyle w:val="Bibliografia"/>
      </w:pPr>
      <w:r>
        <w:t xml:space="preserve">RStudio Team. (n.d.).</w:t>
      </w:r>
      <w:r>
        <w:t xml:space="preserve"> </w:t>
      </w:r>
      <w:r>
        <w:rPr>
          <w:i/>
          <w:iCs/>
        </w:rPr>
        <w:t xml:space="preserve">RStudio: Integrated Development Environment for R</w:t>
      </w:r>
      <w:r>
        <w:t xml:space="preserve">.</w:t>
      </w:r>
    </w:p>
    <w:bookmarkEnd w:id="73"/>
    <w:bookmarkStart w:id="7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4"/>
    <w:bookmarkStart w:id="76"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5">
        <w:r>
          <w:rPr>
            <w:rStyle w:val="Hyperlink"/>
          </w:rPr>
          <w:t xml:space="preserve">https://doi.org/10.1016/j.cbpc.2017.08.008</w:t>
        </w:r>
      </w:hyperlink>
    </w:p>
    <w:bookmarkEnd w:id="76"/>
    <w:bookmarkStart w:id="78"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7">
        <w:r>
          <w:rPr>
            <w:rStyle w:val="Hyperlink"/>
          </w:rPr>
          <w:t xml:space="preserve">https://doi.org/10.5016/DT000610176</w:t>
        </w:r>
      </w:hyperlink>
    </w:p>
    <w:bookmarkEnd w:id="78"/>
    <w:bookmarkStart w:id="8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9">
        <w:r>
          <w:rPr>
            <w:rStyle w:val="Hyperlink"/>
          </w:rPr>
          <w:t xml:space="preserve">https://doi.org/10.1016/S0027-5107(97)00265-0</w:t>
        </w:r>
      </w:hyperlink>
    </w:p>
    <w:bookmarkEnd w:id="80"/>
    <w:bookmarkStart w:id="8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81">
        <w:r>
          <w:rPr>
            <w:rStyle w:val="Hyperlink"/>
          </w:rPr>
          <w:t xml:space="preserve">https://doi.org/10.1016/j.mrfmmm.2004.06.006</w:t>
        </w:r>
      </w:hyperlink>
    </w:p>
    <w:bookmarkEnd w:id="82"/>
    <w:bookmarkStart w:id="8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3"/>
    <w:bookmarkStart w:id="8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Start w:id="85"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5"/>
    <w:bookmarkEnd w:id="86"/>
    <w:bookmarkEnd w:id="87"/>
    <w:bookmarkStart w:id="139" w:name="figures-and-tables"/>
    <w:p>
      <w:pPr>
        <w:pStyle w:val="Ttulo1"/>
      </w:pPr>
      <w:r>
        <w:t xml:space="preserve">Figures and Tables</w:t>
      </w:r>
    </w:p>
    <w:bookmarkStart w:id="136" w:name="figures"/>
    <w:p>
      <w:pPr>
        <w:pStyle w:val="Ttulo2"/>
      </w:pPr>
      <w:r>
        <w:t xml:space="preserve">Figures</w:t>
      </w:r>
    </w:p>
    <w:p>
      <w:pPr>
        <w:pStyle w:val="FirstParagraph"/>
      </w:pPr>
      <w:r>
        <w:t xml:space="preserve">&lt;&lt;&lt;&lt;&lt;&lt;&lt; HEAD</w:t>
      </w:r>
      <w:r>
        <w:t xml:space="preserve"> </w:t>
      </w:r>
      <w:bookmarkStart w:id="91" w:name="fig-mapa"/>
      <w:r>
        <w:drawing>
          <wp:inline>
            <wp:extent cx="5600700" cy="3960010"/>
            <wp:effectExtent b="0" l="0" r="0" t="0"/>
            <wp:docPr descr="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title="" id="89" name="Picture"/>
            <a:graphic>
              <a:graphicData uri="http://schemas.openxmlformats.org/drawingml/2006/picture">
                <pic:pic>
                  <pic:nvPicPr>
                    <pic:cNvPr descr="imagens/Mapa%20Atualizado.png" id="90" name="Picture"/>
                    <pic:cNvPicPr>
                      <a:picLocks noChangeArrowheads="1" noChangeAspect="1"/>
                    </pic:cNvPicPr>
                  </pic:nvPicPr>
                  <pic:blipFill>
                    <a:blip r:embed="rId88"/>
                    <a:stretch>
                      <a:fillRect/>
                    </a:stretch>
                  </pic:blipFill>
                  <pic:spPr bwMode="auto">
                    <a:xfrm>
                      <a:off x="0" y="0"/>
                      <a:ext cx="5600700" cy="3960010"/>
                    </a:xfrm>
                    <a:prstGeom prst="rect">
                      <a:avLst/>
                    </a:prstGeom>
                    <a:noFill/>
                    <a:ln w="9525">
                      <a:noFill/>
                      <a:headEnd/>
                      <a:tailEnd/>
                    </a:ln>
                  </pic:spPr>
                </pic:pic>
              </a:graphicData>
            </a:graphic>
          </wp:inline>
        </w:drawing>
      </w:r>
      <w:bookmarkEnd w:id="91"/>
      <w:r>
        <w:t xml:space="preserve"> </w:t>
      </w:r>
      <w:r>
        <w:t xml:space="preserve">=======</w:t>
      </w:r>
      <w:r>
        <w:t xml:space="preserve"> </w:t>
      </w:r>
      <w:bookmarkStart w:id="94" w:name="fig-mapa"/>
      <w:r>
        <w:drawing>
          <wp:inline>
            <wp:extent cx="5600700" cy="3960010"/>
            <wp:effectExtent b="0" l="0" r="0" t="0"/>
            <wp:docPr descr="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title="" id="92" name="Picture"/>
            <a:graphic>
              <a:graphicData uri="http://schemas.openxmlformats.org/drawingml/2006/picture">
                <pic:pic>
                  <pic:nvPicPr>
                    <pic:cNvPr descr="imagens/Mapa%20Atualizado.png" id="93" name="Picture"/>
                    <pic:cNvPicPr>
                      <a:picLocks noChangeArrowheads="1" noChangeAspect="1"/>
                    </pic:cNvPicPr>
                  </pic:nvPicPr>
                  <pic:blipFill>
                    <a:blip r:embed="rId88"/>
                    <a:stretch>
                      <a:fillRect/>
                    </a:stretch>
                  </pic:blipFill>
                  <pic:spPr bwMode="auto">
                    <a:xfrm>
                      <a:off x="0" y="0"/>
                      <a:ext cx="5600700" cy="3960010"/>
                    </a:xfrm>
                    <a:prstGeom prst="rect">
                      <a:avLst/>
                    </a:prstGeom>
                    <a:noFill/>
                    <a:ln w="9525">
                      <a:noFill/>
                      <a:headEnd/>
                      <a:tailEnd/>
                    </a:ln>
                  </pic:spPr>
                </pic:pic>
              </a:graphicData>
            </a:graphic>
          </wp:inline>
        </w:drawing>
      </w:r>
      <w:bookmarkEnd w:id="94"/>
      <w:r>
        <w:t xml:space="preserve"> </w:t>
      </w:r>
      <w:r>
        <w:t xml:space="preserve">&gt;&gt;&gt;&gt;&gt;&gt;&gt; 608e2c302deb8d3162a7c2ac1d7fd7251253ce4d</w:t>
      </w:r>
    </w:p>
    <w:tbl>
      <w:tblPr>
        <w:tblStyle w:val="Table"/>
        <w:tblW w:type="pct" w:w="5000"/>
        <w:tblLayout w:type="fixed"/>
        <w:tblLook w:firstRow="0" w:lastRow="0" w:firstColumn="0" w:lastColumn="0" w:noHBand="0" w:noVBand="0" w:val="0000"/>
      </w:tblPr>
      <w:tblGrid>
        <w:gridCol w:w="7920"/>
      </w:tblGrid>
      <w:tr>
        <w:tc>
          <w:tcPr/>
          <w:bookmarkStart w:id="98" w:name="fig-refsites"/>
          <w:p>
            <w:pPr>
              <w:pStyle w:val="Compact"/>
              <w:jc w:val="center"/>
            </w:pPr>
            <w:r>
              <w:drawing>
                <wp:inline>
                  <wp:extent cx="5600700" cy="4657626"/>
                  <wp:effectExtent b="0" l="0" r="0" t="0"/>
                  <wp:docPr descr="" title="" id="96" name="Picture"/>
                  <a:graphic>
                    <a:graphicData uri="http://schemas.openxmlformats.org/drawingml/2006/picture">
                      <pic:pic>
                        <pic:nvPicPr>
                          <pic:cNvPr descr="imagens/refsites.png" id="97" name="Picture"/>
                          <pic:cNvPicPr>
                            <a:picLocks noChangeArrowheads="1" noChangeAspect="1"/>
                          </pic:cNvPicPr>
                        </pic:nvPicPr>
                        <pic:blipFill>
                          <a:blip r:embed="rId95"/>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hab_PCA_fviz"/>
          <w:p>
            <w:pPr>
              <w:pStyle w:val="Compact"/>
              <w:jc w:val="center"/>
            </w:pPr>
            <w:r>
              <w:drawing>
                <wp:inline>
                  <wp:extent cx="5600700" cy="4582390"/>
                  <wp:effectExtent b="0" l="0" r="0" t="0"/>
                  <wp:docPr descr="" title="" id="100" name="Picture"/>
                  <a:graphic>
                    <a:graphicData uri="http://schemas.openxmlformats.org/drawingml/2006/picture">
                      <pic:pic>
                        <pic:nvPicPr>
                          <pic:cNvPr descr="fig-hab_PCA_fviz.png" id="101" name="Picture"/>
                          <pic:cNvPicPr>
                            <a:picLocks noChangeArrowheads="1" noChangeAspect="1"/>
                          </pic:cNvPicPr>
                        </pic:nvPicPr>
                        <pic:blipFill>
                          <a:blip r:embed="rId99"/>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Principal Component Analysis of the environmental variables using the fviz function.</w:t>
            </w:r>
          </w:p>
          <w:bookmarkEnd w:id="102"/>
        </w:tc>
      </w:tr>
    </w:tbl>
    <w:p>
      <w:pPr>
        <w:pStyle w:val="Corpodetexto"/>
      </w:pPr>
      <w:r>
        <w:t xml:space="preserve">&lt;&lt;&lt;&lt;&lt;&lt;&lt; HEAD</w:t>
      </w:r>
      <w:r>
        <w:t xml:space="preserve"> </w:t>
      </w:r>
      <w:bookmarkStart w:id="106" w:name="fig-boxtpinandout"/>
      <w:r>
        <w:drawing>
          <wp:inline>
            <wp:extent cx="5600700" cy="3843033"/>
            <wp:effectExtent b="0" l="0" r="0" t="0"/>
            <wp:docPr descr="Total protein (mg) variance of data inside and outside ReBio Guaribas." title="" id="104" name="Picture"/>
            <a:graphic>
              <a:graphicData uri="http://schemas.openxmlformats.org/drawingml/2006/picture">
                <pic:pic>
                  <pic:nvPicPr>
                    <pic:cNvPr descr="imagens/Figura%203.png" id="105"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bookmarkEnd w:id="106"/>
      <w:r>
        <w:t xml:space="preserve"> </w:t>
      </w:r>
      <w:r>
        <w:t xml:space="preserve">=======</w:t>
      </w:r>
      <w:r>
        <w:t xml:space="preserve"> </w:t>
      </w:r>
      <w:r>
        <w:drawing>
          <wp:inline>
            <wp:extent cx="5600700" cy="4582390"/>
            <wp:effectExtent b="0" l="0" r="0" t="0"/>
            <wp:docPr descr="Principal Component Analysis of the environmental variables using the fviz function" title="" id="107" name="Picture"/>
            <a:graphic>
              <a:graphicData uri="http://schemas.openxmlformats.org/drawingml/2006/picture">
                <pic:pic>
                  <pic:nvPicPr>
                    <pic:cNvPr descr="fig-hab_PCA_fviz.png" id="108" name="Picture"/>
                    <pic:cNvPicPr>
                      <a:picLocks noChangeArrowheads="1" noChangeAspect="1"/>
                    </pic:cNvPicPr>
                  </pic:nvPicPr>
                  <pic:blipFill>
                    <a:blip r:embed="rId99"/>
                    <a:stretch>
                      <a:fillRect/>
                    </a:stretch>
                  </pic:blipFill>
                  <pic:spPr bwMode="auto">
                    <a:xfrm>
                      <a:off x="0" y="0"/>
                      <a:ext cx="5600700" cy="4582390"/>
                    </a:xfrm>
                    <a:prstGeom prst="rect">
                      <a:avLst/>
                    </a:prstGeom>
                    <a:noFill/>
                    <a:ln w="9525">
                      <a:noFill/>
                      <a:headEnd/>
                      <a:tailEnd/>
                    </a:ln>
                  </pic:spPr>
                </pic:pic>
              </a:graphicData>
            </a:graphic>
          </wp:inline>
        </w:drawing>
      </w:r>
    </w:p>
    <w:p>
      <w:pPr>
        <w:pStyle w:val="Corpodetexto"/>
      </w:pPr>
      <w:bookmarkStart w:id="111" w:name="fig-boxtpinandout"/>
      <w:r>
        <w:drawing>
          <wp:inline>
            <wp:extent cx="5600700" cy="3843033"/>
            <wp:effectExtent b="0" l="0" r="0" t="0"/>
            <wp:docPr descr="Total protein (mg) variance of data inside and outside REBIO Guaribas." title="" id="109" name="Picture"/>
            <a:graphic>
              <a:graphicData uri="http://schemas.openxmlformats.org/drawingml/2006/picture">
                <pic:pic>
                  <pic:nvPicPr>
                    <pic:cNvPr descr="imagens/Figura%203.png" id="110" name="Picture"/>
                    <pic:cNvPicPr>
                      <a:picLocks noChangeArrowheads="1" noChangeAspect="1"/>
                    </pic:cNvPicPr>
                  </pic:nvPicPr>
                  <pic:blipFill>
                    <a:blip r:embed="rId103"/>
                    <a:stretch>
                      <a:fillRect/>
                    </a:stretch>
                  </pic:blipFill>
                  <pic:spPr bwMode="auto">
                    <a:xfrm>
                      <a:off x="0" y="0"/>
                      <a:ext cx="5600700" cy="3843033"/>
                    </a:xfrm>
                    <a:prstGeom prst="rect">
                      <a:avLst/>
                    </a:prstGeom>
                    <a:noFill/>
                    <a:ln w="9525">
                      <a:noFill/>
                      <a:headEnd/>
                      <a:tailEnd/>
                    </a:ln>
                  </pic:spPr>
                </pic:pic>
              </a:graphicData>
            </a:graphic>
          </wp:inline>
        </w:drawing>
      </w:r>
      <w:bookmarkEnd w:id="111"/>
      <w:r>
        <w:t xml:space="preserve"> </w:t>
      </w:r>
      <w:r>
        <w:t xml:space="preserve">&gt;&gt;&gt;&gt;&gt;&gt;&gt; 608e2c302deb8d3162a7c2ac1d7fd7251253ce4d</w:t>
      </w:r>
    </w:p>
    <w:tbl>
      <w:tblPr>
        <w:tblStyle w:val="Table"/>
        <w:tblW w:type="pct" w:w="5000"/>
        <w:tblLayout w:type="fixed"/>
        <w:tblLook w:firstRow="0" w:lastRow="0" w:firstColumn="0" w:lastColumn="0" w:noHBand="0" w:noVBand="0" w:val="0000"/>
      </w:tblPr>
      <w:tblGrid>
        <w:gridCol w:w="7920"/>
      </w:tblGrid>
      <w:tr>
        <w:tc>
          <w:tcPr/>
          <w:bookmarkStart w:id="115" w:name="fig-boxtp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4.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Boxplot with total protein data of collected fish from the sampling sites inside (green) and outside REBIO Guaribas (red), including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mcsites"/>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5.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Moisture content (%) of tissues from sampling sites inside and outside the REBIO Guaribas, with the respective p-value between each locality.</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mcsites"/>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6.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Boxplot with gill and muscle moisture content data of fish collected from sites inside (green) and outside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fluorescence"/>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a%207.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Average fluorescence data from sampling sites inside and outside the REBIO Guaribas, expressed by relative fluorescence units/milligrammes of tissue (gill).</w:t>
            </w:r>
          </w:p>
          <w:bookmarkEnd w:id="12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boxmxr"/>
          <w:p>
            <w:pPr>
              <w:pStyle w:val="Compact"/>
              <w:jc w:val="center"/>
            </w:pPr>
            <w:r>
              <w:drawing>
                <wp:inline>
                  <wp:extent cx="5600700" cy="3843033"/>
                  <wp:effectExtent b="0" l="0" r="0" t="0"/>
                  <wp:docPr descr="" title="" id="129" name="Picture"/>
                  <a:graphic>
                    <a:graphicData uri="http://schemas.openxmlformats.org/drawingml/2006/picture">
                      <pic:pic>
                        <pic:nvPicPr>
                          <pic:cNvPr descr="imagens/Figura%208.png" id="130" name="Picture"/>
                          <pic:cNvPicPr>
                            <a:picLocks noChangeArrowheads="1" noChangeAspect="1"/>
                          </pic:cNvPicPr>
                        </pic:nvPicPr>
                        <pic:blipFill>
                          <a:blip r:embed="rId12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Boxplot with the MXR phenotype activity data of fish collected from sites inside (green) and outside the REBIO Guaribas (red), with its respective grouping by similarity above each box.</w:t>
            </w:r>
          </w:p>
          <w:bookmarkEnd w:id="13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ar"/>
          <w:p>
            <w:pPr>
              <w:pStyle w:val="Compact"/>
              <w:jc w:val="center"/>
            </w:pPr>
            <w:r>
              <w:drawing>
                <wp:inline>
                  <wp:extent cx="5600700" cy="3843033"/>
                  <wp:effectExtent b="0" l="0" r="0" t="0"/>
                  <wp:docPr descr="" title="" id="133" name="Picture"/>
                  <a:graphic>
                    <a:graphicData uri="http://schemas.openxmlformats.org/drawingml/2006/picture">
                      <pic:pic>
                        <pic:nvPicPr>
                          <pic:cNvPr descr="imagens/Figure%209.png" id="134" name="Picture"/>
                          <pic:cNvPicPr>
                            <a:picLocks noChangeArrowheads="1" noChangeAspect="1"/>
                          </pic:cNvPicPr>
                        </pic:nvPicPr>
                        <pic:blipFill>
                          <a:blip r:embed="rId13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35"/>
        </w:tc>
      </w:tr>
    </w:tbl>
    <w:bookmarkEnd w:id="136"/>
    <w:bookmarkStart w:id="138"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7" w:name="tbl-abund"/>
          <w:p>
            <w:pPr>
              <w:jc w:val="center"/>
            </w:pPr>
            <w:pPr>
              <w:jc w:val="star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37"/>
        </w:tc>
      </w:tr>
    </w:tbl>
    <w:bookmarkEnd w:id="138"/>
    <w:bookmarkEnd w:id="139"/>
    <w:bookmarkStart w:id="140" w:name="apendices"/>
    <w:p>
      <w:pPr>
        <w:pStyle w:val="Ttulo1"/>
      </w:pPr>
      <w:r>
        <w:t xml:space="preserve">Apendices</w:t>
      </w:r>
    </w:p>
    <w:bookmarkEnd w:id="140"/>
    <w:bookmarkStart w:id="144"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C:\PROGRA~1\RStudio\RESOUR~1\app\bin\quarto\share\formats\docx\warning.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44"/>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1" Target="media/rId141.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88" Target="media/rId88.png" /><Relationship Type="http://schemas.openxmlformats.org/officeDocument/2006/relationships/image" Id="rId95" Target="media/rId95.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2026-05-28T14:35:30Z</dcterms:created>
  <dcterms:modified xsi:type="dcterms:W3CDTF">2026-05-28T14:35:30Z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