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2026-03-10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w:t>
      </w:r>
      <w:r>
        <w:t xml:space="preserve">(Udvardy, 1975)</w:t>
      </w:r>
      <w:r>
        <w:t xml:space="preserve">) 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w:t>
      </w:r>
      <w:r>
        <w:t xml:space="preserve">; Ministério do Meio Ambiente, 2025).</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6"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(Fig. 2)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Corpodetexto"/>
      </w:pPr>
      <w:r>
        <w:t xml:space="preserve">In order to uniform the data, only fish from Hemigrammus Gill 1858 (Fricke et al., 2026) 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Corpodetexto"/>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 R Core Team, 2017; R Studio Team, 2022).</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 (R Studio Team, 2022).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5"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 (R Studio Team, 2022) to determine if there were differences between the averages inside and outside the Conservative Unity, followed by an ANOVA to visualize the differences between each sampling site.</w:t>
      </w:r>
    </w:p>
    <w:p>
      <w:pPr>
        <w:pStyle w:val="Corpodetexto"/>
      </w:pPr>
      <w:r>
        <w:t xml:space="preserve">Here you can add your statistical analyses and follow the text with the RStudio code. Following the model in</w:t>
      </w:r>
      <w:r>
        <w:t xml:space="preserve"> </w:t>
      </w:r>
      <w:hyperlink r:id="rId24">
        <w:r>
          <w:rPr>
            <w:rStyle w:val="Hyperlink"/>
          </w:rPr>
          <w:t xml:space="preserve">https://elviomedeiros.github.io/Bentos2006_Q/</w:t>
        </w:r>
      </w:hyperlink>
      <w:r>
        <w:t xml:space="preserve">.</w:t>
      </w:r>
    </w:p>
    <w:bookmarkEnd w:id="25"/>
    <w:bookmarkEnd w:id="26"/>
    <w:bookmarkStart w:id="31" w:name="results"/>
    <w:p>
      <w:pPr>
        <w:pStyle w:val="Ttulo1"/>
      </w:pPr>
      <w:r>
        <w:t xml:space="preserve">3. Results</w:t>
      </w:r>
    </w:p>
    <w:bookmarkStart w:id="27" w:name="plasmatic-protein-dosage-1"/>
    <w:p>
      <w:pPr>
        <w:pStyle w:val="Ttulo2"/>
      </w:pPr>
      <w:r>
        <w:t xml:space="preserve">3.1 Plasmatic protein dosage</w:t>
      </w:r>
    </w:p>
    <w:p>
      <w:pPr>
        <w:pStyle w:val="FirstParagraph"/>
      </w:pPr>
      <w:r>
        <w:t xml:space="preserve">The average plasmatic protein concentration, parameter that ispositively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(Fig. 3).</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(Fig. 4).</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 Sabae and Mohamed (2015) 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7"/>
    <w:bookmarkStart w:id="28"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 Haredi (2020). However, through T test (gills, which data had normal variation) and Kruskal-Wallis test (muscle, with non-normal variation data), it was detected statistical difference for both tissues between fish from the sampling sites inside and outside the Guaribas (Fig. 5).</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(Fig. 6).</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8"/>
    <w:bookmarkStart w:id="29"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 Kurelec et al. (2000).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 (Smital, 2004) Despite the unexpected result, the variance difference between data from the MXR phenotype activity inside and outside the ReBio Guaribas (confirmed by the Kruskal-Wallis test and illustrated in Fig. 7)</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(Fig. 8).</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9"/>
    <w:bookmarkStart w:id="30"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 Piedras et al. (2006),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30"/>
    <w:bookmarkEnd w:id="31"/>
    <w:bookmarkStart w:id="32"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 9, highlighting the total protein as one that proved itself as an excellent biomarker to detect pollutants in the aquatic environment.</w:t>
      </w:r>
    </w:p>
    <w:p>
      <w:pPr>
        <w:pStyle w:val="Corpodetexto"/>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 Kurelec et al. (2000),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 Masullo et al. (2020) paper and presenting quantifiable data that can complement studies with analysis of historical and geographical data, such as the one from Assis et al. (2021).</w:t>
      </w:r>
    </w:p>
    <w:bookmarkEnd w:id="32"/>
    <w:bookmarkStart w:id="33" w:name="conclusions"/>
    <w:p>
      <w:pPr>
        <w:pStyle w:val="Ttulo1"/>
      </w:pPr>
      <w:r>
        <w:t xml:space="preserve">Conclusions</w:t>
      </w:r>
    </w:p>
    <w:bookmarkEnd w:id="33"/>
    <w:bookmarkStart w:id="34" w:name="acknowledgements"/>
    <w:p>
      <w:pPr>
        <w:pStyle w:val="Ttulo1"/>
      </w:pPr>
      <w:r>
        <w:t xml:space="preserve">Acknowledgements</w:t>
      </w:r>
    </w:p>
    <w:bookmarkEnd w:id="34"/>
    <w:bookmarkStart w:id="35"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5"/>
    <w:bookmarkStart w:id="36"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6"/>
    <w:bookmarkStart w:id="61" w:name="references"/>
    <w:p>
      <w:pPr>
        <w:pStyle w:val="Ttulo1"/>
      </w:pPr>
      <w:r>
        <w:t xml:space="preserve">References</w:t>
      </w:r>
    </w:p>
    <w:bookmarkStart w:id="60" w:name="refs"/>
    <w:bookmarkStart w:id="38"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7">
        <w:r>
          <w:rPr>
            <w:rStyle w:val="Hyperlink"/>
          </w:rPr>
          <w:t xml:space="preserve">https://doi.org/10.1002/wer.1221</w:t>
        </w:r>
      </w:hyperlink>
    </w:p>
    <w:bookmarkEnd w:id="38"/>
    <w:bookmarkStart w:id="39"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9"/>
    <w:bookmarkStart w:id="41"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0">
        <w:r>
          <w:rPr>
            <w:rStyle w:val="Hyperlink"/>
          </w:rPr>
          <w:t xml:space="preserve">https://doi.org/10.1007/s10669-011-9380-3</w:t>
        </w:r>
      </w:hyperlink>
    </w:p>
    <w:bookmarkEnd w:id="41"/>
    <w:bookmarkStart w:id="42"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3">
        <w:r>
          <w:rPr>
            <w:rStyle w:val="Hyperlink"/>
          </w:rPr>
          <w:t xml:space="preserve">https://credit.niso.org/</w:t>
        </w:r>
      </w:hyperlink>
    </w:p>
    <w:bookmarkEnd w:id="44"/>
    <w:bookmarkStart w:id="46"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5">
        <w:r>
          <w:rPr>
            <w:rStyle w:val="Hyperlink"/>
          </w:rPr>
          <w:t xml:space="preserve">https://doi.org/10.1016/j.ecoenv.2018.09.111</w:t>
        </w:r>
      </w:hyperlink>
    </w:p>
    <w:bookmarkEnd w:id="46"/>
    <w:bookmarkStart w:id="47"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7"/>
    <w:bookmarkStart w:id="49"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8">
        <w:r>
          <w:rPr>
            <w:rStyle w:val="Hyperlink"/>
          </w:rPr>
          <w:t xml:space="preserve">https://doi.org/10.15560/13.5.581</w:t>
        </w:r>
      </w:hyperlink>
    </w:p>
    <w:bookmarkEnd w:id="49"/>
    <w:bookmarkStart w:id="50"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0"/>
    <w:bookmarkStart w:id="5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1"/>
    <w:bookmarkStart w:id="53"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52">
        <w:r>
          <w:rPr>
            <w:rStyle w:val="Hyperlink"/>
          </w:rPr>
          <w:t xml:space="preserve">https://doi.org/10.1038/35002501</w:t>
        </w:r>
      </w:hyperlink>
    </w:p>
    <w:bookmarkEnd w:id="53"/>
    <w:bookmarkStart w:id="54"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54"/>
    <w:bookmarkStart w:id="56"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55">
        <w:r>
          <w:rPr>
            <w:rStyle w:val="Hyperlink"/>
          </w:rPr>
          <w:t xml:space="preserve">https://doi.org/10.5016/DT000610176</w:t>
        </w:r>
      </w:hyperlink>
    </w:p>
    <w:bookmarkEnd w:id="56"/>
    <w:bookmarkStart w:id="58"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57">
        <w:r>
          <w:rPr>
            <w:rStyle w:val="Hyperlink"/>
          </w:rPr>
          <w:t xml:space="preserve">https://doi.org/10.1016/S0027-5107(97)00265-0</w:t>
        </w:r>
      </w:hyperlink>
    </w:p>
    <w:bookmarkEnd w:id="58"/>
    <w:bookmarkStart w:id="59"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59"/>
    <w:bookmarkEnd w:id="60"/>
    <w:bookmarkEnd w:id="61"/>
    <w:bookmarkStart w:id="68" w:name="figures-and-tables"/>
    <w:p>
      <w:pPr>
        <w:pStyle w:val="Ttulo1"/>
      </w:pPr>
      <w:r>
        <w:t xml:space="preserve">Figures and Tables</w:t>
      </w:r>
    </w:p>
    <w:bookmarkStart w:id="66"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65" w:name="fig-pesquisa"/>
          <w:p>
            <w:pPr>
              <w:pStyle w:val="Compact"/>
              <w:jc w:val="center"/>
            </w:pPr>
            <w:r>
              <w:drawing>
                <wp:inline>
                  <wp:extent cx="4107179" cy="3886200"/>
                  <wp:effectExtent b="0" l="0" r="0" t="0"/>
                  <wp:docPr descr="" title="" id="63" name="Picture"/>
                  <a:graphic>
                    <a:graphicData uri="http://schemas.openxmlformats.org/drawingml/2006/picture">
                      <pic:pic>
                        <pic:nvPicPr>
                          <pic:cNvPr descr="imagens/pesquisa_cientifica.jpg" id="64" name="Picture"/>
                          <pic:cNvPicPr>
                            <a:picLocks noChangeArrowheads="1" noChangeAspect="1"/>
                          </pic:cNvPicPr>
                        </pic:nvPicPr>
                        <pic:blipFill>
                          <a:blip r:embed="rId62"/>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65"/>
        </w:tc>
      </w:tr>
    </w:tbl>
    <w:bookmarkEnd w:id="66"/>
    <w:bookmarkStart w:id="67" w:name="tables"/>
    <w:p>
      <w:pPr>
        <w:pStyle w:val="Ttulo2"/>
      </w:pPr>
      <w:r>
        <w:t xml:space="preserve">Tables</w:t>
      </w:r>
    </w:p>
    <w:bookmarkEnd w:id="67"/>
    <w:bookmarkEnd w:id="68"/>
    <w:bookmarkStart w:id="69" w:name="apendices"/>
    <w:p>
      <w:pPr>
        <w:pStyle w:val="Ttulo1"/>
      </w:pPr>
      <w:r>
        <w:t xml:space="preserve">Apendices</w:t>
      </w:r>
    </w:p>
    <w:bookmarkEnd w:id="69"/>
    <w:bookmarkStart w:id="73"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PROGRA~1\RStudio\RESOUR~1\app\bin\quarto\share\formats\docx\warning.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73"/>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62" Target="media/rId62.jpg" /><Relationship Type="http://schemas.openxmlformats.org/officeDocument/2006/relationships/hyperlink" Id="rId43" Target="https://credit.niso.org/" TargetMode="External" /><Relationship Type="http://schemas.openxmlformats.org/officeDocument/2006/relationships/hyperlink" Id="rId37" Target="https://doi.org/10.1002/wer.1221" TargetMode="External" /><Relationship Type="http://schemas.openxmlformats.org/officeDocument/2006/relationships/hyperlink" Id="rId40" Target="https://doi.org/10.1007/s10669-011-9380-3" TargetMode="External" /><Relationship Type="http://schemas.openxmlformats.org/officeDocument/2006/relationships/hyperlink" Id="rId57" Target="https://doi.org/10.1016/S0027-5107(97)00265-0" TargetMode="External" /><Relationship Type="http://schemas.openxmlformats.org/officeDocument/2006/relationships/hyperlink" Id="rId45" Target="https://doi.org/10.1016/j.ecoenv.2018.09.111" TargetMode="External" /><Relationship Type="http://schemas.openxmlformats.org/officeDocument/2006/relationships/hyperlink" Id="rId52" Target="https://doi.org/10.1038/35002501" TargetMode="External" /><Relationship Type="http://schemas.openxmlformats.org/officeDocument/2006/relationships/hyperlink" Id="rId48" Target="https://doi.org/10.15560/13.5.581" TargetMode="External" /><Relationship Type="http://schemas.openxmlformats.org/officeDocument/2006/relationships/hyperlink" Id="rId55" Target="https://doi.org/10.5016/DT000610176" TargetMode="External" /><Relationship Type="http://schemas.openxmlformats.org/officeDocument/2006/relationships/hyperlink" Id="rId24"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43" Target="https://credit.niso.org/" TargetMode="External" /><Relationship Type="http://schemas.openxmlformats.org/officeDocument/2006/relationships/hyperlink" Id="rId37" Target="https://doi.org/10.1002/wer.1221" TargetMode="External" /><Relationship Type="http://schemas.openxmlformats.org/officeDocument/2006/relationships/hyperlink" Id="rId40" Target="https://doi.org/10.1007/s10669-011-9380-3" TargetMode="External" /><Relationship Type="http://schemas.openxmlformats.org/officeDocument/2006/relationships/hyperlink" Id="rId57" Target="https://doi.org/10.1016/S0027-5107(97)00265-0" TargetMode="External" /><Relationship Type="http://schemas.openxmlformats.org/officeDocument/2006/relationships/hyperlink" Id="rId45" Target="https://doi.org/10.1016/j.ecoenv.2018.09.111" TargetMode="External" /><Relationship Type="http://schemas.openxmlformats.org/officeDocument/2006/relationships/hyperlink" Id="rId52" Target="https://doi.org/10.1038/35002501" TargetMode="External" /><Relationship Type="http://schemas.openxmlformats.org/officeDocument/2006/relationships/hyperlink" Id="rId48" Target="https://doi.org/10.15560/13.5.581" TargetMode="External" /><Relationship Type="http://schemas.openxmlformats.org/officeDocument/2006/relationships/hyperlink" Id="rId55" Target="https://doi.org/10.5016/DT000610176" TargetMode="External" /><Relationship Type="http://schemas.openxmlformats.org/officeDocument/2006/relationships/hyperlink" Id="rId24"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2026-03-10T21:33:45Z</dcterms:created>
  <dcterms:modified xsi:type="dcterms:W3CDTF">2026-03-10T21:33:45Z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