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7.png" ContentType="image/png"/>
  <Override PartName="/word/media/rId100.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128.png" ContentType="image/png"/>
  <Override PartName="/word/media/rId88.png" ContentType="image/png"/>
  <Override PartName="/word/media/rId92.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Physiological biomarkers of stream fish from the Atlantic Forest within a Conservation Unit and its surroundings</w:t>
      </w:r>
    </w:p>
    <w:p>
      <w:pPr>
        <w:pStyle w:val="Subtitle"/>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e"/>
      </w:pPr>
      <w:r>
        <w:t xml:space="preserve">2026-05-28</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Ministério do Meio Ambiente, 2025)</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1" w:name="material-and-methods"/>
    <w:p>
      <w:pPr>
        <w:pStyle w:val="Ttulo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in northeastern Brazil, a protected area created in 1990 to preserve one of the last remnants of the Atlantic Forest</w:t>
      </w:r>
      <w:r>
        <w:t xml:space="preserve"> </w:t>
      </w:r>
      <w:r>
        <w:t xml:space="preserve">(Brasil, 2000; MMA, n.d.)</w:t>
      </w:r>
      <w:r>
        <w:t xml:space="preserve">. The reserve is located in the municipality of Mamanguape, state of Paraíba, in a heterogeneous landscape influenced by the adjacent Caatinga and Cerrado biomes. The regional climate is classified as As’</w:t>
      </w:r>
      <w:r>
        <w:t xml:space="preserve"> </w:t>
      </w:r>
      <w:r>
        <w:t xml:space="preserve">(Köppen &amp; Geiger, 1928)</w:t>
      </w:r>
      <w:r>
        <w:t xml:space="preserve">,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streams fed by rain, notably the Barro Branco stream, a tributary of the Camaratuba River, where this study was carried out. These systems are influenced by riparian vegetation; however, parts of the buffer zone exhibit different levels of anthropogenic disturbance</w:t>
      </w:r>
      <w:r>
        <w:t xml:space="preserve"> </w:t>
      </w:r>
      <w:r>
        <w:t xml:space="preserve">(Gouveia et al., 2017)</w:t>
      </w:r>
      <w:r>
        <w:t xml:space="preserve">. The surrounding landscape is predominantly agricultural, including sugarcane and coconut plantations, livestock farming, and small orchards. These land uses can act as sources of diffuse pollution, especially through pesticide runoff and domestic effluents, creating a spatial gradient of environmental disturbance</w:t>
      </w:r>
      <w:r>
        <w:t xml:space="preserve"> </w:t>
      </w:r>
      <w:r>
        <w:t xml:space="preserve">(MMA, n.d.; Soler, 2004)</w:t>
      </w:r>
      <w:r>
        <w:t xml:space="preserve">. Sampling was conducted along the Barro Branco stream, comprising six sampling sites, and at each site, three subsamples were collected between November 2023 and February 2024. The sampling sites were distributed longitudinally to capture environmental variability and gradients of human influence. Sites P1 to P3 were located within the reserve, where more preserved conditions were expected, while sites P4 to P6 were situated in the buffer zone or in adjacent areas with greater human influence (</w:t>
      </w:r>
      <w:hyperlink w:anchor="fig-mapa">
        <w:r>
          <w:rPr>
            <w:rStyle w:val="Hyperlink"/>
          </w:rPr>
          <w:t xml:space="preserve">Figure 1</w:t>
        </w:r>
      </w:hyperlink>
      <w:r>
        <w:t xml:space="preserve">). This design aimed to include different levels of habitat integrity, riparian condition, and water quality.</w:t>
      </w:r>
    </w:p>
    <w:p>
      <w:pPr>
        <w:pStyle w:val="Corpodetexto"/>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conservation unit and are well preserved, with intact riparian forest and no crop fields nearby (at least 1 km distant), free flowing water (≥ 0.25 m/s), high dissolved oxygen concentration (≥ 6 mg/L) and temperature below 28 °C. Type II sites, are those that occur within the conservation unit, but are not well preserved, failing in one or more of the water quality criteria and/or having its riparian vegetation removed or managed. Type III sites are those outside the conservation unit but meet the water quality criteria for a type I site, and type IV sites are those that fall outside the conservation unit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Corpodetexto"/>
      </w:pPr>
      <w:r>
        <w:rPr>
          <w:b/>
          <w:bCs/>
        </w:rPr>
        <w:t xml:space="preserve">Environmental data collection.</w:t>
      </w:r>
      <w:r>
        <w:t xml:space="preserve"> </w:t>
      </w:r>
      <w:r>
        <w:t xml:space="preserve">Environmental characteristics of each sampling site were measured in four sets of variables: (a) site morphology, (b) water quality, (c) sediment composition, and (d) marginal habitat structure (</w:t>
      </w:r>
      <w:r>
        <w:t xml:space="preserve">Medeiros et al. (2008)</w:t>
      </w:r>
      <w:r>
        <w:t xml:space="preserve">). Site morphology was assessed by site width (cm) and depth (cm) and catchment scale variables (such as elevation and stream length) measured using handheld GPS and satellite imagery. Water quality was measured as physical and chemical variables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adapted by</w:t>
      </w:r>
      <w:r>
        <w:t xml:space="preserve"> </w:t>
      </w:r>
      <w:r>
        <w:t xml:space="preserve">Medeiros et al. (2008)</w:t>
      </w:r>
      <w:r>
        <w:t xml:space="preserve"> </w:t>
      </w:r>
      <w:r>
        <w:t xml:space="preserve">from</w:t>
      </w:r>
      <w:r>
        <w:t xml:space="preserve"> </w:t>
      </w:r>
      <w:r>
        <w:t xml:space="preserve">Pusey et al. (2004)</w:t>
      </w:r>
      <w:r>
        <w:t xml:space="preserve">;</w:t>
      </w:r>
      <w:r>
        <w:t xml:space="preserve"> </w:t>
      </w:r>
      <w:r>
        <w:t xml:space="preserve">Mugodo et al. (2006)</w:t>
      </w:r>
      <w:r>
        <w:t xml:space="preserve">.</w:t>
      </w:r>
    </w:p>
    <w:p>
      <w:pPr>
        <w:pStyle w:val="Corpodetexto"/>
      </w:pPr>
      <w:r>
        <w:rPr>
          <w:b/>
          <w:bCs/>
        </w:rPr>
        <w:t xml:space="preserve">Fish collection and maintenance.</w:t>
      </w:r>
      <w:r>
        <w:t xml:space="preserve"> </w:t>
      </w:r>
      <w:r>
        <w:t xml:space="preserve">Fish were collected between October and November 2023 along the Barro Branco Stream at six previously established sampling points, three located inside and three outside the Guaribas Biological Reserve, following a methodology adapted from</w:t>
      </w:r>
      <w:r>
        <w:t xml:space="preserve"> </w:t>
      </w:r>
      <w:r>
        <w:t xml:space="preserve">Gouveia et al. (2017)</w:t>
      </w:r>
      <w:r>
        <w:t xml:space="preserve">. Sampling was carried out during the day using a beach seine net (4 m long, 1.5 m high, and 5 mm mesh) and a hand net (50 cm wide and 5 mm mesh) operated with sweeping movements in shallow waters, according to</w:t>
      </w:r>
      <w:r>
        <w:t xml:space="preserve"> </w:t>
      </w:r>
      <w:r>
        <w:t xml:space="preserve">Medeiros et al. (2010)</w:t>
      </w:r>
      <w:r>
        <w:t xml:space="preserve">. Sampling effort was standardized across all collection events and sampling points.</w:t>
      </w:r>
    </w:p>
    <w:p>
      <w:pPr>
        <w:pStyle w:val="Corpodetexto"/>
      </w:pPr>
      <w:r>
        <w:t xml:space="preserve">To ensure the survival of specimens for ecophysiological analyses, the captured fish were not chemically fixed. Instead, they were immediately transferred to plastic bags containing water from the collection site and atmospheric oxygen, and subsequently transported to the Laboratory of Animal Ecophysiology (LEFA) at the State University of Paraíba, Campus V, João Pessoa, Brazil. Specimen sorting, taxonomic identification, and subsequent experimental procedures were performed at the Ecology Laboratory of the same institution, using specialized taxonomic literature and identification keys. The individuals were then separated according to the experimental groups established for the study.</w:t>
      </w:r>
    </w:p>
    <w:p>
      <w:pPr>
        <w:pStyle w:val="Corpodetexto"/>
      </w:pPr>
      <w:r>
        <w:t xml:space="preserve">For analyses related to osmoregulatory function, blood samples were obtained from 78 individuals, including 38 fish collected within the reserve and 40 in external areas. The fish were anesthetized with eugenol, and blood aliquots were collected by cardiac puncture using pipettes with heparinized tips. The samples were kept on ice until laboratory processing and subsequently centrifuged for plasma separation. Due to the reduced volume of plasma obtained as a consequence of the small body size of the specimens, chloride ion analysis could not be performed. Branchial and muscle tissues from the same individuals were collected to determine tissue moisture content. Plasma and tissue samples were stored at −20 °C until laboratory analysis was performed.</w:t>
      </w:r>
    </w:p>
    <w:p>
      <w:pPr>
        <w:pStyle w:val="Corpodetexto"/>
      </w:pPr>
      <w:r>
        <w:t xml:space="preserve">The remaining 111 individuals, comprising 54 specimens from locations within the reserve and 57 from external areas, were used for evaluation of the multixenobiotic resistance (MXR) phenotype, following the methodologies described by</w:t>
      </w:r>
      <w:r>
        <w:t xml:space="preserve"> </w:t>
      </w:r>
      <w:r>
        <w:t xml:space="preserve">David et al. (2018)</w:t>
      </w:r>
      <w:r>
        <w:t xml:space="preserve">;</w:t>
      </w:r>
      <w:r>
        <w:t xml:space="preserve"> </w:t>
      </w:r>
      <w:r>
        <w:t xml:space="preserve">Macêdo et al. (2019)</w:t>
      </w:r>
      <w:r>
        <w:t xml:space="preserve">;</w:t>
      </w:r>
      <w:r>
        <w:t xml:space="preserve"> </w:t>
      </w:r>
      <w:r>
        <w:t xml:space="preserve">Santos et al. (2017)</w:t>
      </w:r>
      <w:r>
        <w:t xml:space="preserve">.</w:t>
      </w:r>
    </w:p>
    <w:p>
      <w:pPr>
        <w:pStyle w:val="Corpodetexto"/>
      </w:pPr>
      <w:r>
        <w:rPr>
          <w:b/>
          <w:bCs/>
        </w:rPr>
        <w:t xml:space="preserve">Plasmatic protein dosage.</w:t>
      </w:r>
      <w:r>
        <w:t xml:space="preserve"> </w:t>
      </w: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p>
      <w:pPr>
        <w:pStyle w:val="Corpodetexto"/>
      </w:pPr>
      <w:r>
        <w:rPr>
          <w:b/>
          <w:bCs/>
        </w:rPr>
        <w:t xml:space="preserve">Moisture content.</w:t>
      </w:r>
      <w:r>
        <w:t xml:space="preserve"> </w:t>
      </w: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p>
      <w:pPr>
        <w:pStyle w:val="Corpodetexto"/>
      </w:pPr>
      <w:r>
        <w:rPr>
          <w:b/>
          <w:bCs/>
        </w:rPr>
        <w:t xml:space="preserve">MXR phenotype activity.</w:t>
      </w:r>
      <w:r>
        <w:t xml:space="preserve"> </w:t>
      </w:r>
      <w:r>
        <w:t xml:space="preserve">The multixenobiotic resistance (MXR) gene activity was analysed through the rhodamine B accumulation assay adapted from</w:t>
      </w:r>
      <w:r>
        <w:t xml:space="preserve"> </w:t>
      </w:r>
      <w:r>
        <w:t xml:space="preserve">Smital &amp; Kurelec (1998)</w:t>
      </w:r>
      <w:r>
        <w:t xml:space="preserve"> </w:t>
      </w:r>
      <w:r>
        <w:t xml:space="preserve">(</w:t>
      </w:r>
      <w:hyperlink w:anchor="fig-MXR_experimental_design">
        <w:r>
          <w:rPr>
            <w:rStyle w:val="Hyperlink"/>
          </w:rPr>
          <w:t xml:space="preserve">Figure 3</w:t>
        </w:r>
      </w:hyperlink>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p>
      <w:pPr>
        <w:pStyle w:val="Corpodetexto"/>
      </w:pPr>
      <w:r>
        <w:rPr>
          <w:b/>
          <w:bCs/>
        </w:rPr>
        <w:t xml:space="preserve">Statistical analysis.</w:t>
      </w:r>
      <w:r>
        <w:t xml:space="preserve"> </w:t>
      </w:r>
      <w:r>
        <w:t xml:space="preserve">Environmental variables were checked for multivariate collinearity and square root transformed before analyses (</w:t>
      </w:r>
      <w:r>
        <w:t xml:space="preserve">Sokal &amp; Rohlf (1995)</w:t>
      </w:r>
      <w:r>
        <w:t xml:space="preserve">).</w:t>
      </w:r>
    </w:p>
    <w:p>
      <w:pPr>
        <w:pStyle w:val="Corpodetexto"/>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bookmarkEnd w:id="21"/>
    <w:bookmarkStart w:id="22" w:name="results"/>
    <w:p>
      <w:pPr>
        <w:pStyle w:val="Ttulo1"/>
      </w:pPr>
      <w:r>
        <w:t xml:space="preserve">3. Results</w:t>
      </w:r>
    </w:p>
    <w:p>
      <w:pPr>
        <w:pStyle w:val="FirstParagraph"/>
      </w:pPr>
      <w:r>
        <w:rPr>
          <w:b/>
          <w:bCs/>
        </w:rPr>
        <w:t xml:space="preserve">Environmental variables.</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w:t>
      </w:r>
    </w:p>
    <w:p>
      <w:pPr>
        <w:pStyle w:val="Corpodetexto"/>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4</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SourceCode"/>
      </w:pPr>
      <w:r>
        <w:rPr>
          <w:rStyle w:val="DocumentationTok"/>
        </w:rPr>
        <w:t xml:space="preserve">### limpar antes de começar</w:t>
      </w:r>
      <w:r>
        <w:br/>
      </w:r>
      <w:r>
        <w:rPr>
          <w:rStyle w:val="FunctionTok"/>
        </w:rPr>
        <w:t xml:space="preserve">dev.off</w:t>
      </w:r>
      <w:r>
        <w:rPr>
          <w:rStyle w:val="NormalTok"/>
        </w:rPr>
        <w:t xml:space="preserve">() </w:t>
      </w:r>
      <w:r>
        <w:rPr>
          <w:rStyle w:val="CommentTok"/>
        </w:rPr>
        <w:t xml:space="preserve">#apaga os graficos, se houver algum</w:t>
      </w:r>
      <w:r>
        <w:br/>
      </w:r>
      <w:r>
        <w:rPr>
          <w:rStyle w:val="FunctionTok"/>
        </w:rPr>
        <w:t xml:space="preserve">rm</w:t>
      </w:r>
      <w:r>
        <w:rPr>
          <w:rStyle w:val="NormalTok"/>
        </w:rPr>
        <w:t xml:space="preserve">(</w:t>
      </w:r>
      <w:r>
        <w:rPr>
          <w:rStyle w:val="AttributeTok"/>
        </w:rPr>
        <w:t xml:space="preserve">list=</w:t>
      </w:r>
      <w:r>
        <w:rPr>
          <w:rStyle w:val="FunctionTok"/>
        </w:rPr>
        <w:t xml:space="preserve">ls</w:t>
      </w:r>
      <w:r>
        <w:rPr>
          <w:rStyle w:val="NormalTok"/>
        </w:rPr>
        <w:t xml:space="preserve">(</w:t>
      </w:r>
      <w:r>
        <w:rPr>
          <w:rStyle w:val="AttributeTok"/>
        </w:rPr>
        <w:t xml:space="preserve">all=</w:t>
      </w:r>
      <w:r>
        <w:rPr>
          <w:rStyle w:val="ConstantTok"/>
        </w:rPr>
        <w:t xml:space="preserve">TRUE</w:t>
      </w:r>
      <w:r>
        <w:rPr>
          <w:rStyle w:val="NormalTok"/>
        </w:rPr>
        <w:t xml:space="preserve">)) </w:t>
      </w:r>
      <w:r>
        <w:rPr>
          <w:rStyle w:val="CommentTok"/>
        </w:rPr>
        <w:t xml:space="preserve">#limpa a memória</w:t>
      </w:r>
      <w:r>
        <w:br/>
      </w:r>
      <w:r>
        <w:rPr>
          <w:rStyle w:val="FunctionTok"/>
        </w:rPr>
        <w:t xml:space="preserve">cat</w:t>
      </w:r>
      <w:r>
        <w:rPr>
          <w:rStyle w:val="NormalTok"/>
        </w:rPr>
        <w:t xml:space="preserve">(</w:t>
      </w:r>
      <w:r>
        <w:rPr>
          <w:rStyle w:val="StringTok"/>
        </w:rPr>
        <w:t xml:space="preserve">"</w:t>
      </w:r>
      <w:r>
        <w:rPr>
          <w:rStyle w:val="SpecialCharTok"/>
        </w:rPr>
        <w:t xml:space="preserve">\014</w:t>
      </w:r>
      <w:r>
        <w:rPr>
          <w:rStyle w:val="StringTok"/>
        </w:rPr>
        <w:t xml:space="preserve">"</w:t>
      </w:r>
      <w:r>
        <w:rPr>
          <w:rStyle w:val="NormalTok"/>
        </w:rPr>
        <w:t xml:space="preserve">) </w:t>
      </w:r>
      <w:r>
        <w:rPr>
          <w:rStyle w:val="CommentTok"/>
        </w:rPr>
        <w:t xml:space="preserve">#limpa o console</w:t>
      </w:r>
      <w:r>
        <w:br/>
      </w:r>
      <w:r>
        <w:br/>
      </w:r>
      <w:r>
        <w:rPr>
          <w:rStyle w:val="DocumentationTok"/>
        </w:rPr>
        <w:t xml:space="preserve">### verificar e definir diretório de trabalho</w:t>
      </w:r>
      <w:r>
        <w:br/>
      </w:r>
      <w:r>
        <w:rPr>
          <w:rStyle w:val="FunctionTok"/>
        </w:rPr>
        <w:t xml:space="preserve">getwd</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br/>
      </w:r>
      <w:r>
        <w:rPr>
          <w:rStyle w:val="DocumentationTok"/>
        </w:rPr>
        <w:t xml:space="preserve">### carregar pacote e importar a matriz</w:t>
      </w:r>
      <w:r>
        <w:br/>
      </w:r>
      <w:r>
        <w:rPr>
          <w:rStyle w:val="FunctionTok"/>
        </w:rPr>
        <w:t xml:space="preserve">library</w:t>
      </w:r>
      <w:r>
        <w:rPr>
          <w:rStyle w:val="NormalTok"/>
        </w:rPr>
        <w:t xml:space="preserve">(openxlsx)</w:t>
      </w:r>
      <w:r>
        <w:br/>
      </w:r>
      <w:r>
        <w:rPr>
          <w:rStyle w:val="NormalTok"/>
        </w:rPr>
        <w:t xml:space="preserve">habitat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"ambiente"</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br/>
      </w:r>
      <w:r>
        <w:rPr>
          <w:rStyle w:val="DocumentationTok"/>
        </w:rPr>
        <w:t xml:space="preserve">### substituir as na por 0</w:t>
      </w:r>
      <w:r>
        <w:br/>
      </w:r>
      <w:r>
        <w:rPr>
          <w:rStyle w:val="NormalTok"/>
        </w:rPr>
        <w:t xml:space="preserve">habitat[</w:t>
      </w:r>
      <w:r>
        <w:rPr>
          <w:rStyle w:val="FunctionTok"/>
        </w:rPr>
        <w:t xml:space="preserve">is.na</w:t>
      </w:r>
      <w:r>
        <w:rPr>
          <w:rStyle w:val="NormalTok"/>
        </w:rPr>
        <w:t xml:space="preserve">(habitat)] </w:t>
      </w:r>
      <w:r>
        <w:rPr>
          <w:rStyle w:val="OtherTok"/>
        </w:rPr>
        <w:t xml:space="preserve">&lt;-</w:t>
      </w:r>
      <w:r>
        <w:rPr>
          <w:rStyle w:val="NormalTok"/>
        </w:rPr>
        <w:t xml:space="preserve"> </w:t>
      </w:r>
      <w:r>
        <w:rPr>
          <w:rStyle w:val="DecValTok"/>
        </w:rPr>
        <w:t xml:space="preserve">0</w:t>
      </w:r>
      <w:r>
        <w:br/>
      </w:r>
      <w:r>
        <w:rPr>
          <w:rStyle w:val="NormalTok"/>
        </w:rPr>
        <w:t xml:space="preserve">habitat</w:t>
      </w:r>
      <w:r>
        <w:br/>
      </w:r>
      <w:r>
        <w:br/>
      </w:r>
      <w:r>
        <w:rPr>
          <w:rStyle w:val="DocumentationTok"/>
        </w:rPr>
        <w:t xml:space="preserve">### remove as colunas zeradas</w:t>
      </w:r>
      <w:r>
        <w:br/>
      </w:r>
      <w:r>
        <w:rPr>
          <w:rStyle w:val="NormalTok"/>
        </w:rPr>
        <w:t xml:space="preserve">sum </w:t>
      </w:r>
      <w:r>
        <w:rPr>
          <w:rStyle w:val="OtherTok"/>
        </w:rPr>
        <w:t xml:space="preserve">&lt;-</w:t>
      </w:r>
      <w:r>
        <w:rPr>
          <w:rStyle w:val="NormalTok"/>
        </w:rPr>
        <w:t xml:space="preserve"> </w:t>
      </w:r>
      <w:r>
        <w:rPr>
          <w:rStyle w:val="FunctionTok"/>
        </w:rPr>
        <w:t xml:space="preserve">colSums</w:t>
      </w:r>
      <w:r>
        <w:rPr>
          <w:rStyle w:val="NormalTok"/>
        </w:rPr>
        <w:t xml:space="preserve">(habitat)</w:t>
      </w:r>
      <w:r>
        <w:br/>
      </w:r>
      <w:r>
        <w:rPr>
          <w:rStyle w:val="NormalTok"/>
        </w:rPr>
        <w:t xml:space="preserve">sum</w:t>
      </w:r>
      <w:r>
        <w:br/>
      </w:r>
      <w:r>
        <w:rPr>
          <w:rStyle w:val="NormalTok"/>
        </w:rPr>
        <w:t xml:space="preserve">zero_sum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 </w:t>
      </w:r>
      <w:r>
        <w:rPr>
          <w:rStyle w:val="CommentTok"/>
        </w:rPr>
        <w:t xml:space="preserve">#nomes das colunas zeradas</w:t>
      </w:r>
      <w:r>
        <w:br/>
      </w:r>
      <w:r>
        <w:rPr>
          <w:rStyle w:val="NormalTok"/>
        </w:rPr>
        <w:t xml:space="preserve">m_part_cols </w:t>
      </w:r>
      <w:r>
        <w:rPr>
          <w:rStyle w:val="OtherTok"/>
        </w:rPr>
        <w:t xml:space="preserve">&lt;-</w:t>
      </w:r>
      <w:r>
        <w:rPr>
          <w:rStyle w:val="NormalTok"/>
        </w:rPr>
        <w:t xml:space="preserve"> habitat[(</w:t>
      </w:r>
      <w:r>
        <w:rPr>
          <w:rStyle w:val="FunctionTok"/>
        </w:rPr>
        <w:t xml:space="preserve">colSums</w:t>
      </w:r>
      <w:r>
        <w:rPr>
          <w:rStyle w:val="NormalTok"/>
        </w:rPr>
        <w:t xml:space="preserve">(habitat)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#em != a exclamação inverte o sentido</w:t>
      </w:r>
      <w:r>
        <w:br/>
      </w:r>
      <w:r>
        <w:rPr>
          <w:rStyle w:val="NormalTok"/>
        </w:rPr>
        <w:t xml:space="preserve">zero_sum2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which</w:t>
      </w:r>
      <w:r>
        <w:rPr>
          <w:rStyle w:val="NormalTok"/>
        </w:rPr>
        <w:t xml:space="preserve">(</w:t>
      </w:r>
      <w:r>
        <w:rPr>
          <w:rStyle w:val="FunctionTok"/>
        </w:rPr>
        <w:t xml:space="preserve">colSums</w:t>
      </w:r>
      <w:r>
        <w:rPr>
          <w:rStyle w:val="NormalTok"/>
        </w:rPr>
        <w:t xml:space="preserve">(m_part_cols)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zero_sum2 </w:t>
      </w:r>
      <w:r>
        <w:rPr>
          <w:rStyle w:val="CommentTok"/>
        </w:rPr>
        <w:t xml:space="preserve">#nomes das colunas zeradas</w:t>
      </w:r>
      <w:r>
        <w:br/>
      </w:r>
      <w:r>
        <w:br/>
      </w:r>
      <w:r>
        <w:rPr>
          <w:rStyle w:val="DocumentationTok"/>
        </w:rPr>
        <w:t xml:space="preserve">### recalcular soma das colunas depois de tirar as que estão zeradas</w:t>
      </w:r>
      <w:r>
        <w:br/>
      </w:r>
      <w:r>
        <w:rPr>
          <w:rStyle w:val="NormalTok"/>
        </w:rPr>
        <w:t xml:space="preserve">sum</w:t>
      </w:r>
      <w:r>
        <w:rPr>
          <w:rStyle w:val="OtherTok"/>
        </w:rPr>
        <w:t xml:space="preserve">&lt;-</w:t>
      </w:r>
      <w:r>
        <w:rPr>
          <w:rStyle w:val="FunctionTok"/>
        </w:rPr>
        <w:t xml:space="preserve">colSums</w:t>
      </w:r>
      <w:r>
        <w:rPr>
          <w:rStyle w:val="NormalTok"/>
        </w:rPr>
        <w:t xml:space="preserve">(m_part_cols)</w:t>
      </w:r>
      <w:r>
        <w:br/>
      </w:r>
      <w:r>
        <w:rPr>
          <w:rStyle w:val="NormalTok"/>
        </w:rPr>
        <w:t xml:space="preserve">sum</w:t>
      </w:r>
      <w:r>
        <w:br/>
      </w:r>
      <w:r>
        <w:br/>
      </w:r>
      <w:r>
        <w:rPr>
          <w:rStyle w:val="DocumentationTok"/>
        </w:rPr>
        <w:t xml:space="preserve">### 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read.xlsx</w:t>
      </w:r>
      <w:r>
        <w:rPr>
          <w:rStyle w:val="NormalTok"/>
        </w:rPr>
        <w:t xml:space="preserve">(</w:t>
      </w:r>
      <w:r>
        <w:rPr>
          <w:rStyle w:val="StringTok"/>
        </w:rPr>
        <w:t xml:space="preserve">"D:/mxr23_Q/mxr23_Q/data/rebio23-habitat.xlsx"</w:t>
      </w:r>
      <w:r>
        <w:rPr>
          <w:rStyle w:val="NormalTok"/>
        </w:rPr>
        <w:t xml:space="preserve">,</w:t>
      </w:r>
      <w:r>
        <w:br/>
      </w:r>
      <w:r>
        <w:rPr>
          <w:rStyle w:val="NormalTok"/>
        </w:rPr>
        <w:t xml:space="preserve">                    </w:t>
      </w:r>
      <w:r>
        <w:rPr>
          <w:rStyle w:val="AttributeTok"/>
        </w:rPr>
        <w:t xml:space="preserve">rowNames =</w:t>
      </w:r>
      <w:r>
        <w:rPr>
          <w:rStyle w:val="NormalTok"/>
        </w:rPr>
        <w:t xml:space="preserve"> T,</w:t>
      </w:r>
      <w:r>
        <w:br/>
      </w:r>
      <w:r>
        <w:rPr>
          <w:rStyle w:val="NormalTok"/>
        </w:rPr>
        <w:t xml:space="preserve">                    </w:t>
      </w:r>
      <w:r>
        <w:rPr>
          <w:rStyle w:val="AttributeTok"/>
        </w:rPr>
        <w:t xml:space="preserve">colNames =</w:t>
      </w:r>
      <w:r>
        <w:rPr>
          <w:rStyle w:val="NormalTok"/>
        </w:rPr>
        <w:t xml:space="preserve"> T,</w:t>
      </w:r>
      <w:r>
        <w:br/>
      </w:r>
      <w:r>
        <w:rPr>
          <w:rStyle w:val="NormalTok"/>
        </w:rPr>
        <w:t xml:space="preserve">                    </w:t>
      </w:r>
      <w:r>
        <w:rPr>
          <w:rStyle w:val="AttributeTok"/>
        </w:rPr>
        <w:t xml:space="preserve">sheet =</w:t>
      </w:r>
      <w:r>
        <w:rPr>
          <w:rStyle w:val="NormalTok"/>
        </w:rPr>
        <w:t xml:space="preserve"> </w:t>
      </w:r>
      <w:r>
        <w:rPr>
          <w:rStyle w:val="StringTok"/>
        </w:rPr>
        <w:t xml:space="preserve">"grupos"</w:t>
      </w:r>
      <w:r>
        <w:rPr>
          <w:rStyle w:val="NormalTok"/>
        </w:rPr>
        <w:t xml:space="preserve">,</w:t>
      </w:r>
      <w:r>
        <w:br/>
      </w:r>
      <w:r>
        <w:rPr>
          <w:rStyle w:val="NormalTok"/>
        </w:rPr>
        <w:t xml:space="preserve">                    </w:t>
      </w:r>
      <w:r>
        <w:rPr>
          <w:rStyle w:val="AttributeTok"/>
        </w:rPr>
        <w:t xml:space="preserve">rows =</w:t>
      </w:r>
      <w:r>
        <w:rPr>
          <w:rStyle w:val="NormalTok"/>
        </w:rPr>
        <w:t xml:space="preserve"> </w:t>
      </w:r>
      <w:r>
        <w:rPr>
          <w:rStyle w:val="DecValTok"/>
        </w:rPr>
        <w:t xml:space="preserve">2</w:t>
      </w:r>
      <w:r>
        <w:rPr>
          <w:rStyle w:val="SpecialCharTok"/>
        </w:rPr>
        <w:t xml:space="preserve">:</w:t>
      </w:r>
      <w:r>
        <w:rPr>
          <w:rStyle w:val="DecValTok"/>
        </w:rPr>
        <w:t xml:space="preserve">20</w:t>
      </w:r>
      <w:r>
        <w:rPr>
          <w:rStyle w:val="NormalTok"/>
        </w:rPr>
        <w:t xml:space="preserve">)</w:t>
      </w:r>
      <w:r>
        <w:br/>
      </w:r>
      <w:r>
        <w:rPr>
          <w:rStyle w:val="NormalTok"/>
        </w:rPr>
        <w:t xml:space="preserve">t_grps</w:t>
      </w:r>
      <w:r>
        <w:br/>
      </w:r>
      <w:r>
        <w:br/>
      </w:r>
      <w:r>
        <w:rPr>
          <w:rStyle w:val="DocumentationTok"/>
        </w:rPr>
        <w:t xml:space="preserve">### salvar matriz de habitat filtrada</w:t>
      </w:r>
      <w:r>
        <w:br/>
      </w:r>
      <w:r>
        <w:rPr>
          <w:rStyle w:val="FunctionTok"/>
        </w:rPr>
        <w:t xml:space="preserve">write.table</w:t>
      </w:r>
      <w:r>
        <w:rPr>
          <w:rStyle w:val="NormalTok"/>
        </w:rPr>
        <w:t xml:space="preserve">(m_part_cols, </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salvar matriz de grupos</w:t>
      </w:r>
      <w:r>
        <w:br/>
      </w:r>
      <w:r>
        <w:rPr>
          <w:rStyle w:val="FunctionTok"/>
        </w:rPr>
        <w:t xml:space="preserve">write.table</w:t>
      </w:r>
      <w:r>
        <w:rPr>
          <w:rStyle w:val="NormalTok"/>
        </w:rPr>
        <w:t xml:space="preserve">(t_grps, </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 </w:t>
      </w:r>
      <w:r>
        <w:rPr>
          <w:rStyle w:val="CommentTok"/>
        </w:rPr>
        <w:t xml:space="preserve">#"\t",</w:t>
      </w:r>
      <w:r>
        <w:br/>
      </w:r>
      <w:r>
        <w:rPr>
          <w:rStyle w:val="NormalTok"/>
        </w:rPr>
        <w:t xml:space="preserve">            </w:t>
      </w:r>
      <w:r>
        <w:rPr>
          <w:rStyle w:val="AttributeTok"/>
        </w:rPr>
        <w:t xml:space="preserve">row.names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quote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br/>
      </w:r>
      <w:r>
        <w:rPr>
          <w:rStyle w:val="DocumentationTok"/>
        </w:rPr>
        <w:t xml:space="preserve">### reimportar matriz de grupos</w:t>
      </w:r>
      <w:r>
        <w:br/>
      </w:r>
      <w:r>
        <w:rPr>
          <w:rStyle w:val="NormalTok"/>
        </w:rPr>
        <w:t xml:space="preserve">t_grps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"t_grps.csv"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reimportar matriz de habitat</w:t>
      </w:r>
      <w:r>
        <w:br/>
      </w:r>
      <w:r>
        <w:rPr>
          <w:rStyle w:val="NormalTok"/>
        </w:rPr>
        <w:t xml:space="preserve">m_hab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"m_hab.csv"</w:t>
      </w:r>
      <w:r>
        <w:rPr>
          <w:rStyle w:val="NormalTok"/>
        </w:rPr>
        <w:t xml:space="preserve">,</w:t>
      </w:r>
      <w:r>
        <w:br/>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dec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row.names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ConstantTok"/>
        </w:rPr>
        <w:t xml:space="preserve">NA</w:t>
      </w:r>
      <w:r>
        <w:rPr>
          <w:rStyle w:val="NormalTok"/>
        </w:rPr>
        <w:t xml:space="preserve">)</w:t>
      </w:r>
      <w:r>
        <w:br/>
      </w:r>
      <w:r>
        <w:br/>
      </w:r>
      <w:r>
        <w:rPr>
          <w:rStyle w:val="DocumentationTok"/>
        </w:rPr>
        <w:t xml:space="preserve">### correlograma</w:t>
      </w:r>
      <w:r>
        <w:br/>
      </w:r>
      <w:r>
        <w:rPr>
          <w:rStyle w:val="FunctionTok"/>
        </w:rPr>
        <w:t xml:space="preserve">library</w:t>
      </w:r>
      <w:r>
        <w:rPr>
          <w:rStyle w:val="NormalTok"/>
        </w:rPr>
        <w:t xml:space="preserve">(psych)</w:t>
      </w:r>
      <w:r>
        <w:br/>
      </w:r>
      <w:r>
        <w:rPr>
          <w:rStyle w:val="FunctionTok"/>
        </w:rPr>
        <w:t xml:space="preserve">colnames</w:t>
      </w:r>
      <w:r>
        <w:rPr>
          <w:rStyle w:val="NormalTok"/>
        </w:rPr>
        <w:t xml:space="preserve">(m_hab)</w:t>
      </w:r>
      <w:r>
        <w:br/>
      </w:r>
      <w:r>
        <w:rPr>
          <w:rStyle w:val="CommentTok"/>
        </w:rPr>
        <w:t xml:space="preserve">#png("fig-h.hab_pairs.png")</w:t>
      </w:r>
      <w:r>
        <w:br/>
      </w:r>
      <w:r>
        <w:rPr>
          <w:rStyle w:val="FunctionTok"/>
        </w:rPr>
        <w:t xml:space="preserve">pairs.panels</w:t>
      </w:r>
      <w:r>
        <w:rPr>
          <w:rStyle w:val="NormalTok"/>
        </w:rPr>
        <w:t xml:space="preserve">(m_hab[,</w:t>
      </w:r>
      <w:r>
        <w:rPr>
          <w:rStyle w:val="DecValTok"/>
        </w:rPr>
        <w:t xml:space="preserve">15</w:t>
      </w:r>
      <w:r>
        <w:rPr>
          <w:rStyle w:val="SpecialCharTok"/>
        </w:rPr>
        <w:t xml:space="preserve">:</w:t>
      </w:r>
      <w:r>
        <w:rPr>
          <w:rStyle w:val="DecValTok"/>
        </w:rPr>
        <w:t xml:space="preserve">24</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 </w:t>
      </w:r>
      <w:r>
        <w:rPr>
          <w:rStyle w:val="CommentTok"/>
        </w:rPr>
        <w:t xml:space="preserve"># correlation method</w:t>
      </w:r>
      <w:r>
        <w:br/>
      </w:r>
      <w:r>
        <w:rPr>
          <w:rStyle w:val="NormalTok"/>
        </w:rPr>
        <w:t xml:space="preserve">             </w:t>
      </w:r>
      <w:r>
        <w:rPr>
          <w:rStyle w:val="AttributeTok"/>
        </w:rPr>
        <w:t xml:space="preserve">scale =</w:t>
      </w:r>
      <w:r>
        <w:rPr>
          <w:rStyle w:val="NormalTok"/>
        </w:rPr>
        <w:t xml:space="preserve"> </w:t>
      </w:r>
      <w:r>
        <w:rPr>
          <w:rStyle w:val="ConstantTok"/>
        </w:rPr>
        <w:t xml:space="preserve">FALSE</w:t>
      </w:r>
      <w:r>
        <w:rPr>
          <w:rStyle w:val="NormalTok"/>
        </w:rPr>
        <w:t xml:space="preserve">, </w:t>
      </w:r>
      <w:r>
        <w:rPr>
          <w:rStyle w:val="AttributeTok"/>
        </w:rPr>
        <w:t xml:space="preserve">lm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hist.col =</w:t>
      </w:r>
      <w:r>
        <w:rPr>
          <w:rStyle w:val="NormalTok"/>
        </w:rPr>
        <w:t xml:space="preserve"> </w:t>
      </w:r>
      <w:r>
        <w:rPr>
          <w:rStyle w:val="StringTok"/>
        </w:rPr>
        <w:t xml:space="preserve">"#00AFBB"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ConstantTok"/>
        </w:rPr>
        <w:t xml:space="preserve">TRUE</w:t>
      </w:r>
      <w:r>
        <w:rPr>
          <w:rStyle w:val="NormalTok"/>
        </w:rPr>
        <w:t xml:space="preserve">,  </w:t>
      </w:r>
      <w:r>
        <w:rPr>
          <w:rStyle w:val="CommentTok"/>
        </w:rPr>
        <w:t xml:space="preserve"># show density plots</w:t>
      </w:r>
      <w:r>
        <w:br/>
      </w:r>
      <w:r>
        <w:rPr>
          <w:rStyle w:val="NormalTok"/>
        </w:rPr>
        <w:t xml:space="preserve">             </w:t>
      </w:r>
      <w:r>
        <w:rPr>
          <w:rStyle w:val="AttributeTok"/>
        </w:rPr>
        <w:t xml:space="preserve">ellipses =</w:t>
      </w:r>
      <w:r>
        <w:rPr>
          <w:rStyle w:val="NormalTok"/>
        </w:rPr>
        <w:t xml:space="preserve"> </w:t>
      </w:r>
      <w:r>
        <w:rPr>
          <w:rStyle w:val="ConstantTok"/>
        </w:rPr>
        <w:t xml:space="preserve">TRUE</w:t>
      </w:r>
      <w:r>
        <w:rPr>
          <w:rStyle w:val="NormalTok"/>
        </w:rPr>
        <w:t xml:space="preserve">, </w:t>
      </w:r>
      <w:r>
        <w:rPr>
          <w:rStyle w:val="CommentTok"/>
        </w:rPr>
        <w:t xml:space="preserve"># show correlation ellipses</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calcular matriz de correlação</w:t>
      </w:r>
      <w:r>
        <w:br/>
      </w:r>
      <w:r>
        <w:rPr>
          <w:rStyle w:val="NormalTok"/>
        </w:rPr>
        <w:t xml:space="preserve">cor </w:t>
      </w:r>
      <w:r>
        <w:rPr>
          <w:rStyle w:val="OtherTok"/>
        </w:rPr>
        <w:t xml:space="preserve">&lt;-</w:t>
      </w:r>
      <w:r>
        <w:rPr>
          <w:rStyle w:val="NormalTok"/>
        </w:rPr>
        <w:t xml:space="preserve"> </w:t>
      </w:r>
      <w:r>
        <w:rPr>
          <w:rStyle w:val="FunctionTok"/>
        </w:rPr>
        <w:t xml:space="preserve">cor</w:t>
      </w:r>
      <w:r>
        <w:rPr>
          <w:rStyle w:val="NormalTok"/>
        </w:rPr>
        <w:t xml:space="preserve">(m_hab)</w:t>
      </w:r>
      <w:r>
        <w:br/>
      </w:r>
      <w:r>
        <w:rPr>
          <w:rStyle w:val="NormalTok"/>
        </w:rPr>
        <w:t xml:space="preserve">cor</w:t>
      </w:r>
      <w:r>
        <w:br/>
      </w:r>
      <w:r>
        <w:br/>
      </w:r>
      <w:r>
        <w:rPr>
          <w:rStyle w:val="DocumentationTok"/>
        </w:rPr>
        <w:t xml:space="preserve">### plotar correlograma</w:t>
      </w:r>
      <w:r>
        <w:br/>
      </w:r>
      <w:r>
        <w:rPr>
          <w:rStyle w:val="FunctionTok"/>
        </w:rPr>
        <w:t xml:space="preserve">library</w:t>
      </w:r>
      <w:r>
        <w:rPr>
          <w:rStyle w:val="NormalTok"/>
        </w:rPr>
        <w:t xml:space="preserve">(corrplot)</w:t>
      </w:r>
      <w:r>
        <w:br/>
      </w:r>
      <w:r>
        <w:rPr>
          <w:rStyle w:val="CommentTok"/>
        </w:rPr>
        <w:t xml:space="preserve">#png("fig-hab_corrplot.png")</w:t>
      </w:r>
      <w:r>
        <w:br/>
      </w:r>
      <w:r>
        <w:rPr>
          <w:rStyle w:val="FunctionTok"/>
        </w:rPr>
        <w:t xml:space="preserve">corrplot</w:t>
      </w:r>
      <w:r>
        <w:rPr>
          <w:rStyle w:val="NormalTok"/>
        </w:rPr>
        <w:t xml:space="preserve">(cor, </w:t>
      </w:r>
      <w:r>
        <w:rPr>
          <w:rStyle w:val="AttributeTok"/>
        </w:rPr>
        <w:t xml:space="preserve">method =</w:t>
      </w:r>
      <w:r>
        <w:rPr>
          <w:rStyle w:val="NormalTok"/>
        </w:rPr>
        <w:t xml:space="preserve"> </w:t>
      </w:r>
      <w:r>
        <w:rPr>
          <w:rStyle w:val="StringTok"/>
        </w:rPr>
        <w:t xml:space="preserve">"circle"</w:t>
      </w:r>
      <w:r>
        <w:rPr>
          <w:rStyle w:val="NormalTok"/>
        </w:rPr>
        <w:t xml:space="preserve">)</w:t>
      </w:r>
      <w:r>
        <w:br/>
      </w:r>
      <w:r>
        <w:rPr>
          <w:rStyle w:val="FunctionTok"/>
        </w:rPr>
        <w:t xml:space="preserve">dev.off</w:t>
      </w:r>
      <w:r>
        <w:rPr>
          <w:rStyle w:val="NormalTok"/>
        </w:rPr>
        <w:t xml:space="preserve">()</w:t>
      </w:r>
      <w:r>
        <w:br/>
      </w:r>
      <w:r>
        <w:br/>
      </w:r>
      <w:r>
        <w:rPr>
          <w:rStyle w:val="DocumentationTok"/>
        </w:rPr>
        <w:t xml:space="preserve">### deletando colineares ou irrelevantes</w:t>
      </w:r>
      <w:r>
        <w:br/>
      </w:r>
      <w:r>
        <w:rPr>
          <w:rStyle w:val="DocumentationTok"/>
        </w:rPr>
        <w:t xml:space="preserve">### salvar saída das variáveis colineares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"colineares.txt"</w:t>
      </w:r>
      <w:r>
        <w:rPr>
          <w:rStyle w:val="NormalTok"/>
        </w:rPr>
        <w:t xml:space="preserve">, </w:t>
      </w:r>
      <w:r>
        <w:rPr>
          <w:rStyle w:val="AttributeTok"/>
        </w:rPr>
        <w:t xml:space="preserve">append =</w:t>
      </w:r>
      <w:r>
        <w:rPr>
          <w:rStyle w:val="NormalTok"/>
        </w:rPr>
        <w:t xml:space="preserve"> F, </w:t>
      </w:r>
      <w:r>
        <w:rPr>
          <w:rStyle w:val="AttributeTok"/>
        </w:rPr>
        <w:t xml:space="preserve">split =</w:t>
      </w:r>
      <w:r>
        <w:rPr>
          <w:rStyle w:val="NormalTok"/>
        </w:rPr>
        <w:t xml:space="preserve"> T)</w:t>
      </w:r>
      <w:r>
        <w:br/>
      </w:r>
      <w:r>
        <w:br/>
      </w:r>
      <w:r>
        <w:rPr>
          <w:rStyle w:val="DocumentationTok"/>
        </w:rPr>
        <w:t xml:space="preserve">### definir manualmente colunas a remover</w:t>
      </w:r>
      <w:r>
        <w:br/>
      </w:r>
      <w:r>
        <w:rPr>
          <w:rStyle w:val="FunctionTok"/>
        </w:rPr>
        <w:t xml:space="preserve">colnames</w:t>
      </w:r>
      <w:r>
        <w:rPr>
          <w:rStyle w:val="NormalTok"/>
        </w:rPr>
        <w:t xml:space="preserve">(m_hab)</w:t>
      </w:r>
      <w:r>
        <w:br/>
      </w:r>
      <w:r>
        <w:rPr>
          <w:rStyle w:val="NormalTok"/>
        </w:rPr>
        <w:t xml:space="preserve">del_cols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"w.Temp_C"</w:t>
      </w:r>
      <w:r>
        <w:rPr>
          <w:rStyle w:val="NormalTok"/>
        </w:rPr>
        <w:t xml:space="preserve">,</w:t>
      </w:r>
      <w:r>
        <w:br/>
      </w:r>
      <w:r>
        <w:rPr>
          <w:rStyle w:val="NormalTok"/>
        </w:rPr>
        <w:t xml:space="preserve">  </w:t>
      </w:r>
      <w:r>
        <w:rPr>
          <w:rStyle w:val="StringTok"/>
        </w:rPr>
        <w:t xml:space="preserve">"w.Cond_uS.cm"</w:t>
      </w:r>
      <w:r>
        <w:rPr>
          <w:rStyle w:val="NormalTok"/>
        </w:rPr>
        <w:t xml:space="preserve">,</w:t>
      </w:r>
      <w:r>
        <w:br/>
      </w:r>
      <w:r>
        <w:rPr>
          <w:rStyle w:val="NormalTok"/>
        </w:rPr>
        <w:t xml:space="preserve">  </w:t>
      </w:r>
      <w:r>
        <w:rPr>
          <w:rStyle w:val="StringTok"/>
        </w:rPr>
        <w:t xml:space="preserve">"w.pH"</w:t>
      </w:r>
      <w:r>
        <w:rPr>
          <w:rStyle w:val="NormalTok"/>
        </w:rPr>
        <w:t xml:space="preserve">,</w:t>
      </w:r>
      <w:r>
        <w:br/>
      </w:r>
      <w:r>
        <w:rPr>
          <w:rStyle w:val="NormalTok"/>
        </w:rPr>
        <w:t xml:space="preserve">  </w:t>
      </w:r>
      <w:r>
        <w:rPr>
          <w:rStyle w:val="StringTok"/>
        </w:rPr>
        <w:t xml:space="preserve">"m.Slope"</w:t>
      </w:r>
      <w:r>
        <w:rPr>
          <w:rStyle w:val="NormalTok"/>
        </w:rPr>
        <w:t xml:space="preserve">,</w:t>
      </w:r>
      <w:r>
        <w:br/>
      </w:r>
      <w:r>
        <w:rPr>
          <w:rStyle w:val="NormalTok"/>
        </w:rPr>
        <w:t xml:space="preserve">  </w:t>
      </w:r>
      <w:r>
        <w:rPr>
          <w:rStyle w:val="StringTok"/>
        </w:rPr>
        <w:t xml:space="preserve">"m.Depth_max_cm"</w:t>
      </w:r>
      <w:r>
        <w:rPr>
          <w:rStyle w:val="NormalTok"/>
        </w:rPr>
        <w:t xml:space="preserve">,</w:t>
      </w:r>
      <w:r>
        <w:br/>
      </w:r>
      <w:r>
        <w:rPr>
          <w:rStyle w:val="NormalTok"/>
        </w:rPr>
        <w:t xml:space="preserve">  </w:t>
      </w:r>
      <w:r>
        <w:rPr>
          <w:rStyle w:val="StringTok"/>
        </w:rPr>
        <w:t xml:space="preserve">"m.Depth_mar_cm"</w:t>
      </w:r>
      <w:r>
        <w:rPr>
          <w:rStyle w:val="NormalTok"/>
        </w:rPr>
        <w:t xml:space="preserve">,</w:t>
      </w:r>
      <w:r>
        <w:br/>
      </w:r>
      <w:r>
        <w:rPr>
          <w:rStyle w:val="NormalTok"/>
        </w:rPr>
        <w:t xml:space="preserve">  </w:t>
      </w:r>
      <w:r>
        <w:rPr>
          <w:rStyle w:val="StringTok"/>
        </w:rPr>
        <w:t xml:space="preserve">"s.Mud"</w:t>
      </w:r>
      <w:r>
        <w:rPr>
          <w:rStyle w:val="NormalTok"/>
        </w:rPr>
        <w:t xml:space="preserve">,</w:t>
      </w:r>
      <w:r>
        <w:br/>
      </w:r>
      <w:r>
        <w:rPr>
          <w:rStyle w:val="NormalTok"/>
        </w:rPr>
        <w:t xml:space="preserve">  </w:t>
      </w:r>
      <w:r>
        <w:rPr>
          <w:rStyle w:val="StringTok"/>
        </w:rPr>
        <w:t xml:space="preserve">"h.Subm_veg"</w:t>
      </w:r>
      <w:r>
        <w:rPr>
          <w:rStyle w:val="NormalTok"/>
        </w:rPr>
        <w:t xml:space="preserve">,</w:t>
      </w:r>
      <w:r>
        <w:br/>
      </w:r>
      <w:r>
        <w:rPr>
          <w:rStyle w:val="NormalTok"/>
        </w:rPr>
        <w:t xml:space="preserve">  </w:t>
      </w:r>
      <w:r>
        <w:rPr>
          <w:rStyle w:val="StringTok"/>
        </w:rPr>
        <w:t xml:space="preserve">"h.Leaf_l"</w:t>
      </w:r>
      <w:r>
        <w:rPr>
          <w:rStyle w:val="NormalTok"/>
        </w:rPr>
        <w:t xml:space="preserve">,</w:t>
      </w:r>
      <w:r>
        <w:br/>
      </w:r>
      <w:r>
        <w:rPr>
          <w:rStyle w:val="NormalTok"/>
        </w:rPr>
        <w:t xml:space="preserve">  </w:t>
      </w:r>
      <w:r>
        <w:rPr>
          <w:rStyle w:val="StringTok"/>
        </w:rPr>
        <w:t xml:space="preserve">"h.Algae_f"</w:t>
      </w:r>
      <w:r>
        <w:rPr>
          <w:rStyle w:val="NormalTok"/>
        </w:rPr>
        <w:t xml:space="preserve">,</w:t>
      </w:r>
      <w:r>
        <w:br/>
      </w:r>
      <w:r>
        <w:rPr>
          <w:rStyle w:val="NormalTok"/>
        </w:rPr>
        <w:t xml:space="preserve">  </w:t>
      </w:r>
      <w:r>
        <w:rPr>
          <w:rStyle w:val="StringTok"/>
        </w:rPr>
        <w:t xml:space="preserve">"h.Debris_l"</w:t>
      </w:r>
      <w:r>
        <w:rPr>
          <w:rStyle w:val="NormalTok"/>
        </w:rPr>
        <w:t xml:space="preserve">,</w:t>
      </w:r>
      <w:r>
        <w:br/>
      </w:r>
      <w:r>
        <w:rPr>
          <w:rStyle w:val="NormalTok"/>
        </w:rPr>
        <w:t xml:space="preserve">  </w:t>
      </w:r>
      <w:r>
        <w:rPr>
          <w:rStyle w:val="StringTok"/>
        </w:rPr>
        <w:t xml:space="preserve">"h.Debris_s"</w:t>
      </w:r>
      <w:r>
        <w:br/>
      </w:r>
      <w:r>
        <w:rPr>
          <w:rStyle w:val="NormalTok"/>
        </w:rPr>
        <w:t xml:space="preserve">)</w:t>
      </w:r>
      <w:r>
        <w:br/>
      </w:r>
      <w:r>
        <w:br/>
      </w:r>
      <w:r>
        <w:rPr>
          <w:rStyle w:val="DocumentationTok"/>
        </w:rPr>
        <w:t xml:space="preserve">### remover variáveis colineares</w:t>
      </w:r>
      <w:r>
        <w:br/>
      </w:r>
      <w:r>
        <w:rPr>
          <w:rStyle w:val="NormalTok"/>
        </w:rPr>
        <w:t xml:space="preserve">m_hab_part </w:t>
      </w:r>
      <w:r>
        <w:rPr>
          <w:rStyle w:val="OtherTok"/>
        </w:rPr>
        <w:t xml:space="preserve">&lt;-</w:t>
      </w:r>
      <w:r>
        <w:rPr>
          <w:rStyle w:val="NormalTok"/>
        </w:rPr>
        <w:t xml:space="preserve"> m_hab[, </w:t>
      </w:r>
      <w:r>
        <w:rPr>
          <w:rStyle w:val="SpecialCharTok"/>
        </w:rPr>
        <w:t xml:space="preserve">!</w:t>
      </w:r>
      <w:r>
        <w:rPr>
          <w:rStyle w:val="NormalTok"/>
        </w:rPr>
        <w:t xml:space="preserve">(</w:t>
      </w:r>
      <w:r>
        <w:rPr>
          <w:rStyle w:val="FunctionTok"/>
        </w:rPr>
        <w:t xml:space="preserve">colnames</w:t>
      </w:r>
      <w:r>
        <w:rPr>
          <w:rStyle w:val="NormalTok"/>
        </w:rPr>
        <w:t xml:space="preserve">(m_hab) </w:t>
      </w:r>
      <w:r>
        <w:rPr>
          <w:rStyle w:val="SpecialCharTok"/>
        </w:rPr>
        <w:t xml:space="preserve">%in%</w:t>
      </w:r>
      <w:r>
        <w:rPr>
          <w:rStyle w:val="NormalTok"/>
        </w:rPr>
        <w:t xml:space="preserve"> del_cols)]</w:t>
      </w:r>
      <w:r>
        <w:br/>
      </w:r>
      <w:r>
        <w:br/>
      </w:r>
      <w:r>
        <w:rPr>
          <w:rStyle w:val="DocumentationTok"/>
        </w:rPr>
        <w:t xml:space="preserve">### códigos para somar redundantes (não foi necessário)</w:t>
      </w:r>
      <w:r>
        <w:br/>
      </w:r>
      <w:r>
        <w:rPr>
          <w:rStyle w:val="CommentTok"/>
        </w:rPr>
        <w:t xml:space="preserve">#m_hab_part$s.gravel &lt;- m_hab_part$s.smlgrav + m_hab_part$s.lrggrav + m_hab_part$s.cobbles</w:t>
      </w:r>
      <w:r>
        <w:br/>
      </w:r>
      <w:r>
        <w:rPr>
          <w:rStyle w:val="CommentTok"/>
        </w:rPr>
        <w:t xml:space="preserve">#m_hab_part &lt;- m_hab_part[, !(colnames(m_hab_part)</w:t>
      </w:r>
      <w:r>
        <w:br/>
      </w:r>
      <w:r>
        <w:rPr>
          <w:rStyle w:val="CommentTok"/>
        </w:rPr>
        <w:t xml:space="preserve">#colnames(m_hab_part)</w:t>
      </w:r>
      <w:r>
        <w:br/>
      </w:r>
      <w:r>
        <w:rPr>
          <w:rStyle w:val="CommentTok"/>
        </w:rPr>
        <w:t xml:space="preserve">#m_hab_part</w:t>
      </w:r>
      <w:r>
        <w:br/>
      </w:r>
      <w:r>
        <w:rPr>
          <w:rStyle w:val="CommentTok"/>
        </w:rPr>
        <w:t xml:space="preserve">#sink()</w:t>
      </w:r>
      <w:r>
        <w:br/>
      </w:r>
      <w:r>
        <w:br/>
      </w:r>
      <w:r>
        <w:rPr>
          <w:rStyle w:val="DocumentationTok"/>
        </w:rPr>
        <w:t xml:space="preserve">### visualizar nomes das variáveis filtradas</w:t>
      </w:r>
      <w:r>
        <w:br/>
      </w:r>
      <w:r>
        <w:rPr>
          <w:rStyle w:val="FunctionTok"/>
        </w:rPr>
        <w:t xml:space="preserve">colnames</w:t>
      </w:r>
      <w:r>
        <w:rPr>
          <w:rStyle w:val="NormalTok"/>
        </w:rPr>
        <w:t xml:space="preserve">(m_hab_part)</w:t>
      </w:r>
      <w:r>
        <w:br/>
      </w:r>
      <w:r>
        <w:br/>
      </w:r>
      <w:r>
        <w:rPr>
          <w:rStyle w:val="DocumentationTok"/>
        </w:rPr>
        <w:t xml:space="preserve">######################################################################################</w:t>
      </w:r>
      <w:r>
        <w:br/>
      </w:r>
      <w:r>
        <w:rPr>
          <w:rStyle w:val="CommentTok"/>
        </w:rPr>
        <w:t xml:space="preserve">#                                                                                    #</w:t>
      </w:r>
      <w:r>
        <w:br/>
      </w:r>
      <w:r>
        <w:rPr>
          <w:rStyle w:val="CommentTok"/>
        </w:rPr>
        <w:t xml:space="preserve">#Eu removi as variáveis de profundidade porque elas estavam muito correlacionadas    #</w:t>
      </w:r>
      <w:r>
        <w:br/>
      </w:r>
      <w:r>
        <w:rPr>
          <w:rStyle w:val="CommentTok"/>
        </w:rPr>
        <w:t xml:space="preserve">#entre si (acima de 0,9), então basicamente estavam dizendo a mesma coisa.           #</w:t>
      </w:r>
      <w:r>
        <w:br/>
      </w:r>
      <w:r>
        <w:rPr>
          <w:rStyle w:val="CommentTok"/>
        </w:rPr>
        <w:t xml:space="preserve">#Pra evitar redundância, deixei só a profundidade média.                             #</w:t>
      </w:r>
      <w:r>
        <w:br/>
      </w:r>
      <w:r>
        <w:rPr>
          <w:rStyle w:val="CommentTok"/>
        </w:rPr>
        <w:t xml:space="preserve">#                                                                                    #</w:t>
      </w:r>
      <w:r>
        <w:br/>
      </w:r>
      <w:r>
        <w:rPr>
          <w:rStyle w:val="CommentTok"/>
        </w:rPr>
        <w:t xml:space="preserve">#No caso do substrato, eu preferi manter sand em vez de mud                          #</w:t>
      </w:r>
      <w:r>
        <w:br/>
      </w:r>
      <w:r>
        <w:rPr>
          <w:rStyle w:val="CommentTok"/>
        </w:rPr>
        <w:t xml:space="preserve">#porque sand junto com turb foi o que melhor explicou a separação                    #</w:t>
      </w:r>
      <w:r>
        <w:br/>
      </w:r>
      <w:r>
        <w:rPr>
          <w:rStyle w:val="CommentTok"/>
        </w:rPr>
        <w:t xml:space="preserve">#no ponto 10 que era o mais degradado (Tipo IV).                                     #</w:t>
      </w:r>
      <w:r>
        <w:br/>
      </w:r>
      <w:r>
        <w:rPr>
          <w:rStyle w:val="CommentTok"/>
        </w:rPr>
        <w:t xml:space="preserve">#                                                                                    #</w:t>
      </w:r>
      <w:r>
        <w:br/>
      </w:r>
      <w:r>
        <w:rPr>
          <w:rStyle w:val="CommentTok"/>
        </w:rPr>
        <w:t xml:space="preserve">#Já os pontos de referência (Tipo I) tinham mais variáveis influenciando,            #</w:t>
      </w:r>
      <w:r>
        <w:br/>
      </w:r>
      <w:r>
        <w:rPr>
          <w:rStyle w:val="CommentTok"/>
        </w:rPr>
        <w:t xml:space="preserve">#não era uma coisa tão concentrada.                                                  #</w:t>
      </w:r>
      <w:r>
        <w:br/>
      </w:r>
      <w:r>
        <w:rPr>
          <w:rStyle w:val="CommentTok"/>
        </w:rPr>
        <w:t xml:space="preserve">#                                                                                    #</w:t>
      </w:r>
      <w:r>
        <w:br/>
      </w:r>
      <w:r>
        <w:rPr>
          <w:rStyle w:val="CommentTok"/>
        </w:rPr>
        <w:t xml:space="preserve">#As outras variáveis acabaram tendo vetores bem curtos na PCA,                       # </w:t>
      </w:r>
      <w:r>
        <w:br/>
      </w:r>
      <w:r>
        <w:rPr>
          <w:rStyle w:val="CommentTok"/>
        </w:rPr>
        <w:t xml:space="preserve">#ou seja, contribuíam muito pouco pra explicar os padrões.                           #</w:t>
      </w:r>
      <w:r>
        <w:br/>
      </w:r>
      <w:r>
        <w:rPr>
          <w:rStyle w:val="CommentTok"/>
        </w:rPr>
        <w:t xml:space="preserve">#A maioria tinha contribuição abaixo de 0,5, então já não fazia muito                #</w:t>
      </w:r>
      <w:r>
        <w:br/>
      </w:r>
      <w:r>
        <w:rPr>
          <w:rStyle w:val="CommentTok"/>
        </w:rPr>
        <w:t xml:space="preserve">#sentido manter. Inclusive, várias dessas já tinham sido removidas antes             #</w:t>
      </w:r>
      <w:r>
        <w:br/>
      </w:r>
      <w:r>
        <w:rPr>
          <w:rStyle w:val="CommentTok"/>
        </w:rPr>
        <w:t xml:space="preserve"># no seu script por serem pouco relevantes ou redundantes.                           #</w:t>
      </w:r>
      <w:r>
        <w:br/>
      </w:r>
      <w:r>
        <w:rPr>
          <w:rStyle w:val="CommentTok"/>
        </w:rPr>
        <w:t xml:space="preserve">#                                                                                    #</w:t>
      </w:r>
      <w:r>
        <w:br/>
      </w:r>
      <w:r>
        <w:rPr>
          <w:rStyle w:val="DocumentationTok"/>
        </w:rPr>
        <w:t xml:space="preserve">######################################################################################</w:t>
      </w:r>
      <w:r>
        <w:br/>
      </w:r>
      <w:r>
        <w:br/>
      </w:r>
      <w:r>
        <w:rPr>
          <w:rStyle w:val="DocumentationTok"/>
        </w:rPr>
        <w:t xml:space="preserve">### transformação da matriz para fazer a PCA</w:t>
      </w:r>
      <w:r>
        <w:br/>
      </w:r>
      <w:r>
        <w:rPr>
          <w:rStyle w:val="DocumentationTok"/>
        </w:rPr>
        <w:t xml:space="preserve">### aplicar transformação raiz quadrada</w:t>
      </w:r>
      <w:r>
        <w:br/>
      </w:r>
      <w:r>
        <w:rPr>
          <w:rStyle w:val="NormalTok"/>
        </w:rPr>
        <w:t xml:space="preserve">m_hab_trns </w:t>
      </w:r>
      <w:r>
        <w:rPr>
          <w:rStyle w:val="OtherTok"/>
        </w:rPr>
        <w:t xml:space="preserve">&lt;-</w:t>
      </w:r>
      <w:r>
        <w:rPr>
          <w:rStyle w:val="NormalTok"/>
        </w:rPr>
        <w:t xml:space="preserve"> </w:t>
      </w:r>
      <w:r>
        <w:rPr>
          <w:rStyle w:val="FunctionTok"/>
        </w:rPr>
        <w:t xml:space="preserve">sqrt</w:t>
      </w:r>
      <w:r>
        <w:rPr>
          <w:rStyle w:val="NormalTok"/>
        </w:rPr>
        <w:t xml:space="preserve">(m_hab_part)</w:t>
      </w:r>
      <w:r>
        <w:br/>
      </w:r>
      <w:r>
        <w:br/>
      </w:r>
      <w:r>
        <w:rPr>
          <w:rStyle w:val="DocumentationTok"/>
        </w:rPr>
        <w:t xml:space="preserve">### Fazendo a PCA</w:t>
      </w:r>
      <w:r>
        <w:br/>
      </w:r>
      <w:r>
        <w:rPr>
          <w:rStyle w:val="CommentTok"/>
        </w:rPr>
        <w:t xml:space="preserve">#install.packages("factoextra")</w:t>
      </w:r>
      <w:r>
        <w:br/>
      </w:r>
      <w:r>
        <w:rPr>
          <w:rStyle w:val="FunctionTok"/>
        </w:rPr>
        <w:t xml:space="preserve">library</w:t>
      </w:r>
      <w:r>
        <w:rPr>
          <w:rStyle w:val="NormalTok"/>
        </w:rPr>
        <w:t xml:space="preserve">(</w:t>
      </w:r>
      <w:r>
        <w:rPr>
          <w:rStyle w:val="StringTok"/>
        </w:rPr>
        <w:t xml:space="preserve">"FactoMineR"</w:t>
      </w:r>
      <w:r>
        <w:rPr>
          <w:rStyle w:val="NormalTok"/>
        </w:rPr>
        <w:t xml:space="preserve">)</w:t>
      </w:r>
      <w:r>
        <w:br/>
      </w:r>
      <w:r>
        <w:rPr>
          <w:rStyle w:val="FunctionTok"/>
        </w:rPr>
        <w:t xml:space="preserve">library</w:t>
      </w:r>
      <w:r>
        <w:rPr>
          <w:rStyle w:val="NormalTok"/>
        </w:rPr>
        <w:t xml:space="preserve">(</w:t>
      </w:r>
      <w:r>
        <w:rPr>
          <w:rStyle w:val="StringTok"/>
        </w:rPr>
        <w:t xml:space="preserve">"factoextra"</w:t>
      </w:r>
      <w:r>
        <w:rPr>
          <w:rStyle w:val="NormalTok"/>
        </w:rPr>
        <w:t xml:space="preserve">)</w:t>
      </w:r>
      <w:r>
        <w:br/>
      </w:r>
      <w:r>
        <w:br/>
      </w:r>
      <w:r>
        <w:rPr>
          <w:rStyle w:val="DocumentationTok"/>
        </w:rPr>
        <w:t xml:space="preserve">### executar PCA</w:t>
      </w:r>
      <w:r>
        <w:br/>
      </w:r>
      <w:r>
        <w:rPr>
          <w:rStyle w:val="NormalTok"/>
        </w:rPr>
        <w:t xml:space="preserve">pca </w:t>
      </w:r>
      <w:r>
        <w:rPr>
          <w:rStyle w:val="OtherTok"/>
        </w:rPr>
        <w:t xml:space="preserve">&lt;-</w:t>
      </w:r>
      <w:r>
        <w:rPr>
          <w:rStyle w:val="NormalTok"/>
        </w:rPr>
        <w:t xml:space="preserve"> </w:t>
      </w:r>
      <w:r>
        <w:rPr>
          <w:rStyle w:val="FunctionTok"/>
        </w:rPr>
        <w:t xml:space="preserve">PCA</w:t>
      </w:r>
      <w:r>
        <w:rPr>
          <w:rStyle w:val="NormalTok"/>
        </w:rPr>
        <w:t xml:space="preserve">(m_hab_trns, </w:t>
      </w:r>
      <w:r>
        <w:rPr>
          <w:rStyle w:val="AttributeTok"/>
        </w:rPr>
        <w:t xml:space="preserve">scale.unit =</w:t>
      </w:r>
      <w:r>
        <w:rPr>
          <w:rStyle w:val="NormalTok"/>
        </w:rPr>
        <w:t xml:space="preserve"> </w:t>
      </w:r>
      <w:r>
        <w:rPr>
          <w:rStyle w:val="ConstantTok"/>
        </w:rPr>
        <w:t xml:space="preserve">TRUE</w:t>
      </w:r>
      <w:r>
        <w:rPr>
          <w:rStyle w:val="NormalTok"/>
        </w:rPr>
        <w:t xml:space="preserve">, </w:t>
      </w:r>
      <w:r>
        <w:rPr>
          <w:rStyle w:val="AttributeTok"/>
        </w:rPr>
        <w:t xml:space="preserve">ncp =</w:t>
      </w:r>
      <w:r>
        <w:rPr>
          <w:rStyle w:val="NormalTok"/>
        </w:rPr>
        <w:t xml:space="preserve"> </w:t>
      </w:r>
      <w:r>
        <w:rPr>
          <w:rStyle w:val="DecValTok"/>
        </w:rPr>
        <w:t xml:space="preserve">5</w:t>
      </w:r>
      <w:r>
        <w:rPr>
          <w:rStyle w:val="NormalTok"/>
        </w:rPr>
        <w:t xml:space="preserve">, </w:t>
      </w:r>
      <w:r>
        <w:rPr>
          <w:rStyle w:val="AttributeTok"/>
        </w:rPr>
        <w:t xml:space="preserve">graph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(pca)</w:t>
      </w:r>
      <w:r>
        <w:br/>
      </w:r>
      <w:r>
        <w:br/>
      </w:r>
      <w:r>
        <w:rPr>
          <w:rStyle w:val="DocumentationTok"/>
        </w:rPr>
        <w:t xml:space="preserve">### extrair autovalores</w:t>
      </w:r>
      <w:r>
        <w:br/>
      </w:r>
      <w:r>
        <w:rPr>
          <w:rStyle w:val="NormalTok"/>
        </w:rPr>
        <w:t xml:space="preserve">eig.val </w:t>
      </w:r>
      <w:r>
        <w:rPr>
          <w:rStyle w:val="OtherTok"/>
        </w:rPr>
        <w:t xml:space="preserve">&lt;-</w:t>
      </w:r>
      <w:r>
        <w:rPr>
          <w:rStyle w:val="NormalTok"/>
        </w:rPr>
        <w:t xml:space="preserve"> </w:t>
      </w:r>
      <w:r>
        <w:rPr>
          <w:rStyle w:val="FunctionTok"/>
        </w:rPr>
        <w:t xml:space="preserve">get_eigenvalue</w:t>
      </w:r>
      <w:r>
        <w:rPr>
          <w:rStyle w:val="NormalTok"/>
        </w:rPr>
        <w:t xml:space="preserve">(pca)</w:t>
      </w:r>
      <w:r>
        <w:br/>
      </w:r>
      <w:r>
        <w:rPr>
          <w:rStyle w:val="NormalTok"/>
        </w:rPr>
        <w:t xml:space="preserve">eig.val</w:t>
      </w:r>
      <w:r>
        <w:br/>
      </w:r>
      <w:r>
        <w:br/>
      </w:r>
      <w:r>
        <w:rPr>
          <w:rStyle w:val="DocumentationTok"/>
        </w:rPr>
        <w:t xml:space="preserve">### salvar correlação das variáveis com os eixos</w:t>
      </w:r>
      <w:r>
        <w:br/>
      </w:r>
      <w:r>
        <w:rPr>
          <w:rStyle w:val="FunctionTok"/>
        </w:rPr>
        <w:t xml:space="preserve">sink</w:t>
      </w:r>
      <w:r>
        <w:rPr>
          <w:rStyle w:val="NormalTok"/>
        </w:rPr>
        <w:t xml:space="preserve">(</w:t>
      </w:r>
      <w:r>
        <w:rPr>
          <w:rStyle w:val="AttributeTok"/>
        </w:rPr>
        <w:t xml:space="preserve">file =</w:t>
      </w:r>
      <w:r>
        <w:rPr>
          <w:rStyle w:val="NormalTok"/>
        </w:rPr>
        <w:t xml:space="preserve"> </w:t>
      </w:r>
      <w:r>
        <w:rPr>
          <w:rStyle w:val="StringTok"/>
        </w:rPr>
        <w:t xml:space="preserve">"pca_cor_matrix.txt"</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pca</w:t>
      </w:r>
      <w:r>
        <w:rPr>
          <w:rStyle w:val="SpecialCharTok"/>
        </w:rPr>
        <w:t xml:space="preserve">$</w:t>
      </w:r>
      <w:r>
        <w:rPr>
          <w:rStyle w:val="NormalTok"/>
        </w:rPr>
        <w:t xml:space="preserve">var</w:t>
      </w:r>
      <w:r>
        <w:rPr>
          <w:rStyle w:val="SpecialCharTok"/>
        </w:rPr>
        <w:t xml:space="preserve">$</w:t>
      </w:r>
      <w:r>
        <w:rPr>
          <w:rStyle w:val="NormalTok"/>
        </w:rPr>
        <w:t xml:space="preserve">cor</w:t>
      </w:r>
      <w:r>
        <w:br/>
      </w:r>
      <w:r>
        <w:rPr>
          <w:rStyle w:val="FunctionTok"/>
        </w:rPr>
        <w:t xml:space="preserve">sink</w:t>
      </w:r>
      <w:r>
        <w:rPr>
          <w:rStyle w:val="NormalTok"/>
        </w:rPr>
        <w:t xml:space="preserve">()</w:t>
      </w:r>
      <w:r>
        <w:br/>
      </w:r>
      <w:r>
        <w:br/>
      </w:r>
      <w:r>
        <w:rPr>
          <w:rStyle w:val="DocumentationTok"/>
        </w:rPr>
        <w:t xml:space="preserve">### gráfico de variância explicada</w:t>
      </w:r>
      <w:r>
        <w:br/>
      </w:r>
      <w:r>
        <w:rPr>
          <w:rStyle w:val="FunctionTok"/>
        </w:rPr>
        <w:t xml:space="preserve">fviz_eig</w:t>
      </w:r>
      <w:r>
        <w:rPr>
          <w:rStyle w:val="NormalTok"/>
        </w:rPr>
        <w:t xml:space="preserve">(pca, </w:t>
      </w:r>
      <w:r>
        <w:rPr>
          <w:rStyle w:val="AttributeTok"/>
        </w:rPr>
        <w:t xml:space="preserve">addlabels =</w:t>
      </w:r>
      <w:r>
        <w:rPr>
          <w:rStyle w:val="NormalTok"/>
        </w:rPr>
        <w:t xml:space="preserve"> </w:t>
      </w:r>
      <w:r>
        <w:rPr>
          <w:rStyle w:val="ConstantTok"/>
        </w:rPr>
        <w:t xml:space="preserve">TRUE</w:t>
      </w:r>
      <w:r>
        <w:rPr>
          <w:rStyle w:val="NormalTok"/>
        </w:rPr>
        <w:t xml:space="preserve">)</w:t>
      </w:r>
      <w:r>
        <w:br/>
      </w:r>
      <w:r>
        <w:br/>
      </w:r>
      <w:r>
        <w:rPr>
          <w:rStyle w:val="DocumentationTok"/>
        </w:rPr>
        <w:t xml:space="preserve">### extrair variáveis da PCA</w:t>
      </w:r>
      <w:r>
        <w:br/>
      </w:r>
      <w:r>
        <w:rPr>
          <w:rStyle w:val="NormalTok"/>
        </w:rPr>
        <w:t xml:space="preserve">var </w:t>
      </w:r>
      <w:r>
        <w:rPr>
          <w:rStyle w:val="OtherTok"/>
        </w:rPr>
        <w:t xml:space="preserve">&lt;-</w:t>
      </w:r>
      <w:r>
        <w:rPr>
          <w:rStyle w:val="NormalTok"/>
        </w:rPr>
        <w:t xml:space="preserve"> </w:t>
      </w:r>
      <w:r>
        <w:rPr>
          <w:rStyle w:val="FunctionTok"/>
        </w:rPr>
        <w:t xml:space="preserve">get_pca_var</w:t>
      </w:r>
      <w:r>
        <w:rPr>
          <w:rStyle w:val="NormalTok"/>
        </w:rPr>
        <w:t xml:space="preserve">(pca)</w:t>
      </w:r>
      <w:r>
        <w:br/>
      </w:r>
      <w:r>
        <w:rPr>
          <w:rStyle w:val="NormalTok"/>
        </w:rPr>
        <w:t xml:space="preserve">var</w:t>
      </w:r>
      <w:r>
        <w:br/>
      </w:r>
      <w:r>
        <w:br/>
      </w:r>
      <w:r>
        <w:rPr>
          <w:rStyle w:val="DocumentationTok"/>
        </w:rPr>
        <w:t xml:space="preserve">### plot das variáveis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"black"</w:t>
      </w:r>
      <w:r>
        <w:rPr>
          <w:rStyle w:val="NormalTok"/>
        </w:rPr>
        <w:t xml:space="preserve">)</w:t>
      </w:r>
      <w:r>
        <w:br/>
      </w:r>
      <w:r>
        <w:br/>
      </w:r>
      <w:r>
        <w:rPr>
          <w:rStyle w:val="DocumentationTok"/>
        </w:rPr>
        <w:t xml:space="preserve">### visualizar cos2</w:t>
      </w:r>
      <w:r>
        <w:br/>
      </w:r>
      <w:r>
        <w:rPr>
          <w:rStyle w:val="FunctionTok"/>
        </w:rPr>
        <w:t xml:space="preserve">library</w:t>
      </w:r>
      <w:r>
        <w:rPr>
          <w:rStyle w:val="NormalTok"/>
        </w:rPr>
        <w:t xml:space="preserve">(</w:t>
      </w:r>
      <w:r>
        <w:rPr>
          <w:rStyle w:val="StringTok"/>
        </w:rPr>
        <w:t xml:space="preserve">"corrplot"</w:t>
      </w:r>
      <w:r>
        <w:rPr>
          <w:rStyle w:val="NormalTok"/>
        </w:rPr>
        <w:t xml:space="preserve">)</w:t>
      </w:r>
      <w:r>
        <w:br/>
      </w:r>
      <w:r>
        <w:rPr>
          <w:rStyle w:val="FunctionTok"/>
        </w:rPr>
        <w:t xml:space="preserve">corrplot</w:t>
      </w:r>
      <w:r>
        <w:rPr>
          <w:rStyle w:val="NormalTok"/>
        </w:rPr>
        <w:t xml:space="preserve">(var</w:t>
      </w:r>
      <w:r>
        <w:rPr>
          <w:rStyle w:val="SpecialCharTok"/>
        </w:rPr>
        <w:t xml:space="preserve">$</w:t>
      </w:r>
      <w:r>
        <w:rPr>
          <w:rStyle w:val="NormalTok"/>
        </w:rPr>
        <w:t xml:space="preserve">cos2,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gráfico cos2</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DocumentationTok"/>
        </w:rPr>
        <w:t xml:space="preserve">### plot com cores por cos2</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rPr>
          <w:rStyle w:val="DocumentationTok"/>
        </w:rPr>
        <w:t xml:space="preserve">### transparência por cos2</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"cos2"</w:t>
      </w:r>
      <w:r>
        <w:rPr>
          <w:rStyle w:val="NormalTok"/>
        </w:rPr>
        <w:t xml:space="preserve">)</w:t>
      </w:r>
      <w:r>
        <w:br/>
      </w:r>
      <w:r>
        <w:rPr>
          <w:rStyle w:val="DocumentationTok"/>
        </w:rPr>
        <w:t xml:space="preserve">### contribuição das variáveis</w:t>
      </w:r>
      <w:r>
        <w:br/>
      </w:r>
      <w:r>
        <w:rPr>
          <w:rStyle w:val="FunctionTok"/>
        </w:rPr>
        <w:t xml:space="preserve">corrplot</w:t>
      </w:r>
      <w:r>
        <w:rPr>
          <w:rStyle w:val="NormalTok"/>
        </w:rPr>
        <w:t xml:space="preserve">(var</w:t>
      </w:r>
      <w:r>
        <w:rPr>
          <w:rStyle w:val="SpecialCharTok"/>
        </w:rPr>
        <w:t xml:space="preserve">$</w:t>
      </w:r>
      <w:r>
        <w:rPr>
          <w:rStyle w:val="NormalTok"/>
        </w:rPr>
        <w:t xml:space="preserve">contrib, </w:t>
      </w:r>
      <w:r>
        <w:rPr>
          <w:rStyle w:val="AttributeTok"/>
        </w:rPr>
        <w:t xml:space="preserve">is.corr=</w:t>
      </w:r>
      <w:r>
        <w:rPr>
          <w:rStyle w:val="ConstantTok"/>
        </w:rPr>
        <w:t xml:space="preserve">FALSE</w:t>
      </w:r>
      <w:r>
        <w:rPr>
          <w:rStyle w:val="NormalTok"/>
        </w:rPr>
        <w:t xml:space="preserve">)</w:t>
      </w:r>
      <w:r>
        <w:br/>
      </w:r>
      <w:r>
        <w:br/>
      </w:r>
      <w:r>
        <w:rPr>
          <w:rStyle w:val="DocumentationTok"/>
        </w:rPr>
        <w:t xml:space="preserve">### variáveis mais importantes</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"var"</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AttributeTok"/>
        </w:rPr>
        <w:t xml:space="preserve">top =</w:t>
      </w:r>
      <w:r>
        <w:rPr>
          <w:rStyle w:val="NormalTok"/>
        </w:rPr>
        <w:t xml:space="preserve"> </w:t>
      </w:r>
      <w:r>
        <w:rPr>
          <w:rStyle w:val="DecValTok"/>
        </w:rPr>
        <w:t xml:space="preserve">10</w:t>
      </w:r>
      <w:r>
        <w:rPr>
          <w:rStyle w:val="NormalTok"/>
        </w:rPr>
        <w:t xml:space="preserve">)</w:t>
      </w:r>
      <w:r>
        <w:br/>
      </w:r>
      <w:r>
        <w:rPr>
          <w:rStyle w:val="DocumentationTok"/>
        </w:rPr>
        <w:t xml:space="preserve">### plot por contribuição</w:t>
      </w:r>
      <w:r>
        <w:br/>
      </w:r>
      <w:r>
        <w:rPr>
          <w:rStyle w:val="FunctionTok"/>
        </w:rPr>
        <w:t xml:space="preserve">fviz_pca_var</w:t>
      </w:r>
      <w:r>
        <w:rPr>
          <w:rStyle w:val="NormalTok"/>
        </w:rPr>
        <w:t xml:space="preserve">(pca, </w:t>
      </w:r>
      <w:r>
        <w:rPr>
          <w:rStyle w:val="AttributeTok"/>
        </w:rPr>
        <w:t xml:space="preserve">col.var =</w:t>
      </w:r>
      <w:r>
        <w:rPr>
          <w:rStyle w:val="NormalTok"/>
        </w:rPr>
        <w:t xml:space="preserve"> </w:t>
      </w:r>
      <w:r>
        <w:rPr>
          <w:rStyle w:val="StringTok"/>
        </w:rPr>
        <w:t xml:space="preserve">"contrib"</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w:t>
      </w:r>
      <w:r>
        <w:br/>
      </w:r>
      <w:r>
        <w:rPr>
          <w:rStyle w:val="DocumentationTok"/>
        </w:rPr>
        <w:t xml:space="preserve">### transparência por contribuição</w:t>
      </w:r>
      <w:r>
        <w:br/>
      </w:r>
      <w:r>
        <w:rPr>
          <w:rStyle w:val="FunctionTok"/>
        </w:rPr>
        <w:t xml:space="preserve">fviz_pca_var</w:t>
      </w:r>
      <w:r>
        <w:rPr>
          <w:rStyle w:val="NormalTok"/>
        </w:rPr>
        <w:t xml:space="preserve">(pca, </w:t>
      </w:r>
      <w:r>
        <w:rPr>
          <w:rStyle w:val="AttributeTok"/>
        </w:rPr>
        <w:t xml:space="preserve">alpha.var =</w:t>
      </w:r>
      <w:r>
        <w:rPr>
          <w:rStyle w:val="NormalTok"/>
        </w:rPr>
        <w:t xml:space="preserve"> </w:t>
      </w:r>
      <w:r>
        <w:rPr>
          <w:rStyle w:val="StringTok"/>
        </w:rPr>
        <w:t xml:space="preserve">"contrib"</w:t>
      </w:r>
      <w:r>
        <w:rPr>
          <w:rStyle w:val="NormalTok"/>
        </w:rPr>
        <w:t xml:space="preserve">)</w:t>
      </w:r>
      <w:r>
        <w:br/>
      </w:r>
      <w:r>
        <w:br/>
      </w:r>
      <w:r>
        <w:rPr>
          <w:rStyle w:val="DocumentationTok"/>
        </w:rPr>
        <w:t xml:space="preserve">### clusterização das variáveis</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res.km </w:t>
      </w:r>
      <w:r>
        <w:rPr>
          <w:rStyle w:val="OtherTok"/>
        </w:rPr>
        <w:t xml:space="preserve">&lt;-</w:t>
      </w:r>
      <w:r>
        <w:rPr>
          <w:rStyle w:val="NormalTok"/>
        </w:rPr>
        <w:t xml:space="preserve"> </w:t>
      </w:r>
      <w:r>
        <w:rPr>
          <w:rStyle w:val="FunctionTok"/>
        </w:rPr>
        <w:t xml:space="preserve">kmeans</w:t>
      </w:r>
      <w:r>
        <w:rPr>
          <w:rStyle w:val="NormalTok"/>
        </w:rPr>
        <w:t xml:space="preserve">(var</w:t>
      </w:r>
      <w:r>
        <w:rPr>
          <w:rStyle w:val="SpecialCharTok"/>
        </w:rPr>
        <w:t xml:space="preserve">$</w:t>
      </w:r>
      <w:r>
        <w:rPr>
          <w:rStyle w:val="NormalTok"/>
        </w:rPr>
        <w:t xml:space="preserve">coord,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nstart =</w:t>
      </w:r>
      <w:r>
        <w:rPr>
          <w:rStyle w:val="NormalTok"/>
        </w:rPr>
        <w:t xml:space="preserve"> </w:t>
      </w:r>
      <w:r>
        <w:rPr>
          <w:rStyle w:val="DecValTok"/>
        </w:rPr>
        <w:t xml:space="preserve">25</w:t>
      </w:r>
      <w:r>
        <w:rPr>
          <w:rStyle w:val="NormalTok"/>
        </w:rPr>
        <w:t xml:space="preserve">)</w:t>
      </w:r>
      <w:r>
        <w:br/>
      </w:r>
      <w:r>
        <w:rPr>
          <w:rStyle w:val="NormalTok"/>
        </w:rPr>
        <w:t xml:space="preserve">grp </w:t>
      </w:r>
      <w:r>
        <w:rPr>
          <w:rStyle w:val="OtherTok"/>
        </w:rPr>
        <w:t xml:space="preserve">&lt;-</w:t>
      </w:r>
      <w:r>
        <w:rPr>
          <w:rStyle w:val="NormalTok"/>
        </w:rPr>
        <w:t xml:space="preserve"> </w:t>
      </w:r>
      <w:r>
        <w:rPr>
          <w:rStyle w:val="FunctionTok"/>
        </w:rPr>
        <w:t xml:space="preserve">as.factor</w:t>
      </w:r>
      <w:r>
        <w:rPr>
          <w:rStyle w:val="NormalTok"/>
        </w:rPr>
        <w:t xml:space="preserve">(res.km</w:t>
      </w:r>
      <w:r>
        <w:rPr>
          <w:rStyle w:val="SpecialCharTok"/>
        </w:rPr>
        <w:t xml:space="preserve">$</w:t>
      </w:r>
      <w:r>
        <w:rPr>
          <w:rStyle w:val="NormalTok"/>
        </w:rPr>
        <w:t xml:space="preserve">cluster)</w:t>
      </w:r>
      <w:r>
        <w:br/>
      </w:r>
      <w:r>
        <w:br/>
      </w:r>
      <w:r>
        <w:rPr>
          <w:rStyle w:val="DocumentationTok"/>
        </w:rPr>
        <w:t xml:space="preserve">### plot com clusters</w:t>
      </w:r>
      <w:r>
        <w:br/>
      </w:r>
      <w:r>
        <w:rPr>
          <w:rStyle w:val="FunctionTok"/>
        </w:rPr>
        <w:t xml:space="preserve">fviz_pca_var</w:t>
      </w:r>
      <w:r>
        <w:rPr>
          <w:rStyle w:val="NormalTok"/>
        </w:rPr>
        <w:t xml:space="preserve">(pca, </w:t>
      </w:r>
      <w:r>
        <w:rPr>
          <w:rStyle w:val="AttributeTok"/>
        </w:rPr>
        <w:t xml:space="preserve">col.var =</w:t>
      </w:r>
      <w:r>
        <w:rPr>
          <w:rStyle w:val="NormalTok"/>
        </w:rPr>
        <w:t xml:space="preserve"> grp,</w:t>
      </w:r>
      <w:r>
        <w:br/>
      </w:r>
      <w:r>
        <w:rPr>
          <w:rStyle w:val="NormalTok"/>
        </w:rPr>
        <w:t xml:space="preserve">             </w:t>
      </w:r>
      <w:r>
        <w:rPr>
          <w:rStyle w:val="AttributeTok"/>
        </w:rPr>
        <w:t xml:space="preserve">palette =</w:t>
      </w:r>
      <w:r>
        <w:rPr>
          <w:rStyle w:val="NormalTok"/>
        </w:rPr>
        <w:t xml:space="preserve"> </w:t>
      </w:r>
      <w:r>
        <w:rPr>
          <w:rStyle w:val="FunctionTok"/>
        </w:rPr>
        <w:t xml:space="preserve">c</w:t>
      </w:r>
      <w:r>
        <w:rPr>
          <w:rStyle w:val="NormalTok"/>
        </w:rPr>
        <w:t xml:space="preserve">(</w:t>
      </w:r>
      <w:r>
        <w:rPr>
          <w:rStyle w:val="StringTok"/>
        </w:rPr>
        <w:t xml:space="preserve">"#0073C2FF"</w:t>
      </w:r>
      <w:r>
        <w:rPr>
          <w:rStyle w:val="NormalTok"/>
        </w:rPr>
        <w:t xml:space="preserve">, </w:t>
      </w:r>
      <w:r>
        <w:rPr>
          <w:rStyle w:val="StringTok"/>
        </w:rPr>
        <w:t xml:space="preserve">"#EFC000FF"</w:t>
      </w:r>
      <w:r>
        <w:rPr>
          <w:rStyle w:val="NormalTok"/>
        </w:rPr>
        <w:t xml:space="preserve">, </w:t>
      </w:r>
      <w:r>
        <w:rPr>
          <w:rStyle w:val="StringTok"/>
        </w:rPr>
        <w:t xml:space="preserve">"#868686FF"</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"Cluster"</w:t>
      </w:r>
      <w:r>
        <w:rPr>
          <w:rStyle w:val="NormalTok"/>
        </w:rPr>
        <w:t xml:space="preserve">)</w:t>
      </w:r>
      <w:r>
        <w:br/>
      </w:r>
      <w:r>
        <w:br/>
      </w:r>
      <w:r>
        <w:rPr>
          <w:rStyle w:val="DocumentationTok"/>
        </w:rPr>
        <w:t xml:space="preserve">### extrair os habitats</w:t>
      </w:r>
      <w:r>
        <w:br/>
      </w:r>
      <w:r>
        <w:rPr>
          <w:rStyle w:val="NormalTok"/>
        </w:rPr>
        <w:t xml:space="preserve">ind </w:t>
      </w:r>
      <w:r>
        <w:rPr>
          <w:rStyle w:val="OtherTok"/>
        </w:rPr>
        <w:t xml:space="preserve">&lt;-</w:t>
      </w:r>
      <w:r>
        <w:rPr>
          <w:rStyle w:val="NormalTok"/>
        </w:rPr>
        <w:t xml:space="preserve"> </w:t>
      </w:r>
      <w:r>
        <w:rPr>
          <w:rStyle w:val="FunctionTok"/>
        </w:rPr>
        <w:t xml:space="preserve">get_pca_ind</w:t>
      </w:r>
      <w:r>
        <w:rPr>
          <w:rStyle w:val="NormalTok"/>
        </w:rPr>
        <w:t xml:space="preserve">(pca)</w:t>
      </w:r>
      <w:r>
        <w:br/>
      </w:r>
      <w:r>
        <w:rPr>
          <w:rStyle w:val="NormalTok"/>
        </w:rPr>
        <w:t xml:space="preserve">ind</w:t>
      </w:r>
      <w:r>
        <w:br/>
      </w:r>
      <w:r>
        <w:rPr>
          <w:rStyle w:val="NormalTok"/>
        </w:rPr>
        <w:t xml:space="preserve">ind</w:t>
      </w:r>
      <w:r>
        <w:rPr>
          <w:rStyle w:val="SpecialCharTok"/>
        </w:rPr>
        <w:t xml:space="preserve">$</w:t>
      </w:r>
      <w:r>
        <w:rPr>
          <w:rStyle w:val="NormalTok"/>
        </w:rPr>
        <w:t xml:space="preserve">contrib</w:t>
      </w:r>
      <w:r>
        <w:br/>
      </w:r>
      <w:r>
        <w:br/>
      </w:r>
      <w:r>
        <w:rPr>
          <w:rStyle w:val="DocumentationTok"/>
        </w:rPr>
        <w:t xml:space="preserve">### gráficos com os habitats</w:t>
      </w:r>
      <w:r>
        <w:br/>
      </w:r>
      <w:r>
        <w:rPr>
          <w:rStyle w:val="FunctionTok"/>
        </w:rPr>
        <w:t xml:space="preserve">fviz_pca_ind</w:t>
      </w:r>
      <w:r>
        <w:rPr>
          <w:rStyle w:val="NormalTok"/>
        </w:rPr>
        <w:t xml:space="preserve">(pca)</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pointshape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"#E7B800"</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fviz_pca_ind</w:t>
      </w:r>
      <w:r>
        <w:rPr>
          <w:rStyle w:val="NormalTok"/>
        </w:rPr>
        <w:t xml:space="preserve">(pca, </w:t>
      </w:r>
      <w:r>
        <w:rPr>
          <w:rStyle w:val="AttributeTok"/>
        </w:rPr>
        <w:t xml:space="preserve">col.ind =</w:t>
      </w:r>
      <w:r>
        <w:rPr>
          <w:rStyle w:val="NormalTok"/>
        </w:rPr>
        <w:t xml:space="preserve"> </w:t>
      </w:r>
      <w:r>
        <w:rPr>
          <w:rStyle w:val="StringTok"/>
        </w:rPr>
        <w:t xml:space="preserve">"cos2"</w:t>
      </w:r>
      <w:r>
        <w:rPr>
          <w:rStyle w:val="NormalTok"/>
        </w:rPr>
        <w:t xml:space="preserve">, </w:t>
      </w:r>
      <w:r>
        <w:rPr>
          <w:rStyle w:val="AttributeTok"/>
        </w:rPr>
        <w:t xml:space="preserve">pointsize =</w:t>
      </w:r>
      <w:r>
        <w:rPr>
          <w:rStyle w:val="NormalTok"/>
        </w:rPr>
        <w:t xml:space="preserve"> </w:t>
      </w:r>
      <w:r>
        <w:rPr>
          <w:rStyle w:val="StringTok"/>
        </w:rPr>
        <w:t xml:space="preserve">"cos2"</w:t>
      </w:r>
      <w:r>
        <w:rPr>
          <w:rStyle w:val="NormalTok"/>
        </w:rPr>
        <w:t xml:space="preserve">,</w:t>
      </w:r>
      <w:r>
        <w:br/>
      </w:r>
      <w:r>
        <w:rPr>
          <w:rStyle w:val="NormalTok"/>
        </w:rPr>
        <w:t xml:space="preserve">             </w:t>
      </w:r>
      <w:r>
        <w:rPr>
          <w:rStyle w:val="AttributeTok"/>
        </w:rPr>
        <w:t xml:space="preserve">gradient.cols =</w:t>
      </w:r>
      <w:r>
        <w:rPr>
          <w:rStyle w:val="NormalTok"/>
        </w:rPr>
        <w:t xml:space="preserve"> </w:t>
      </w:r>
      <w:r>
        <w:rPr>
          <w:rStyle w:val="FunctionTok"/>
        </w:rPr>
        <w:t xml:space="preserve">c</w:t>
      </w:r>
      <w:r>
        <w:rPr>
          <w:rStyle w:val="NormalTok"/>
        </w:rPr>
        <w:t xml:space="preserve">(</w:t>
      </w:r>
      <w:r>
        <w:rPr>
          <w:rStyle w:val="StringTok"/>
        </w:rPr>
        <w:t xml:space="preserve">"#00AFBB"</w:t>
      </w:r>
      <w:r>
        <w:rPr>
          <w:rStyle w:val="NormalTok"/>
        </w:rPr>
        <w:t xml:space="preserve">, </w:t>
      </w:r>
      <w:r>
        <w:rPr>
          <w:rStyle w:val="StringTok"/>
        </w:rPr>
        <w:t xml:space="preserve">"#E7B800"</w:t>
      </w:r>
      <w:r>
        <w:rPr>
          <w:rStyle w:val="NormalTok"/>
        </w:rPr>
        <w:t xml:space="preserve">, </w:t>
      </w:r>
      <w:r>
        <w:rPr>
          <w:rStyle w:val="StringTok"/>
        </w:rPr>
        <w:t xml:space="preserve">"#FC4E07"</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br/>
      </w:r>
      <w:r>
        <w:rPr>
          <w:rStyle w:val="NormalTok"/>
        </w:rPr>
        <w:t xml:space="preserve">)</w:t>
      </w:r>
      <w:r>
        <w:br/>
      </w:r>
      <w:r>
        <w:br/>
      </w:r>
      <w:r>
        <w:rPr>
          <w:rStyle w:val="DocumentationTok"/>
        </w:rPr>
        <w:t xml:space="preserve">### qualidade de cada habitat</w:t>
      </w:r>
      <w:r>
        <w:br/>
      </w:r>
      <w:r>
        <w:rPr>
          <w:rStyle w:val="FunctionTok"/>
        </w:rPr>
        <w:t xml:space="preserve">fviz_cos2</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w:t>
      </w:r>
      <w:r>
        <w:br/>
      </w:r>
      <w:r>
        <w:br/>
      </w:r>
      <w:r>
        <w:rPr>
          <w:rStyle w:val="DocumentationTok"/>
        </w:rPr>
        <w:t xml:space="preserve">### contribuição de cada habitat</w:t>
      </w:r>
      <w:r>
        <w:br/>
      </w:r>
      <w:r>
        <w:rPr>
          <w:rStyle w:val="FunctionTok"/>
        </w:rPr>
        <w:t xml:space="preserve">fviz_contrib</w:t>
      </w:r>
      <w:r>
        <w:rPr>
          <w:rStyle w:val="NormalTok"/>
        </w:rPr>
        <w:t xml:space="preserve">(pca, </w:t>
      </w:r>
      <w:r>
        <w:rPr>
          <w:rStyle w:val="AttributeTok"/>
        </w:rPr>
        <w:t xml:space="preserve">choice =</w:t>
      </w:r>
      <w:r>
        <w:rPr>
          <w:rStyle w:val="NormalTok"/>
        </w:rPr>
        <w:t xml:space="preserve"> </w:t>
      </w:r>
      <w:r>
        <w:rPr>
          <w:rStyle w:val="StringTok"/>
        </w:rPr>
        <w:t xml:space="preserve">"ind"</w:t>
      </w:r>
      <w:r>
        <w:rPr>
          <w:rStyle w:val="NormalTok"/>
        </w:rPr>
        <w:t xml:space="preserve">, </w:t>
      </w:r>
      <w:r>
        <w:rPr>
          <w:rStyle w:val="AttributeTok"/>
        </w:rPr>
        <w:t xml:space="preserve">axes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DocumentationTok"/>
        </w:rPr>
        <w:t xml:space="preserve">### variável de agrupamento</w:t>
      </w:r>
      <w:r>
        <w:br/>
      </w:r>
      <w:r>
        <w:rPr>
          <w:rStyle w:val="FunctionTok"/>
        </w:rPr>
        <w:t xml:space="preserve">nrow</w:t>
      </w:r>
      <w:r>
        <w:rPr>
          <w:rStyle w:val="NormalTok"/>
        </w:rPr>
        <w:t xml:space="preserve">(m_hab_part)</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my.cont.var </w:t>
      </w:r>
      <w:r>
        <w:rPr>
          <w:rStyle w:val="OtherTok"/>
        </w:rPr>
        <w:t xml:space="preserve">&lt;-</w:t>
      </w:r>
      <w:r>
        <w:rPr>
          <w:rStyle w:val="NormalTok"/>
        </w:rPr>
        <w:t xml:space="preserve"> t_grps</w:t>
      </w:r>
      <w:r>
        <w:rPr>
          <w:rStyle w:val="SpecialCharTok"/>
        </w:rPr>
        <w:t xml:space="preserve">$</w:t>
      </w:r>
      <w:r>
        <w:rPr>
          <w:rStyle w:val="NormalTok"/>
        </w:rPr>
        <w:t xml:space="preserve">Ref_site</w:t>
      </w:r>
      <w:r>
        <w:br/>
      </w:r>
      <w:r>
        <w:rPr>
          <w:rStyle w:val="NormalTok"/>
        </w:rPr>
        <w:t xml:space="preserve">my.cont.var</w:t>
      </w:r>
      <w:r>
        <w:br/>
      </w:r>
      <w:r>
        <w:br/>
      </w:r>
      <w:r>
        <w:rPr>
          <w:rStyle w:val="DocumentationTok"/>
        </w:rPr>
        <w:t xml:space="preserve">### plot por grupo</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br/>
      </w:r>
      <w:r>
        <w:rPr>
          <w:rStyle w:val="DocumentationTok"/>
        </w:rPr>
        <w:t xml:space="preserve">### plot com elipses</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(my.cont.var),</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br/>
      </w:r>
      <w:r>
        <w:rPr>
          <w:rStyle w:val="NormalTok"/>
        </w:rPr>
        <w:t xml:space="preserve">)</w:t>
      </w:r>
      <w:r>
        <w:br/>
      </w:r>
      <w:r>
        <w:br/>
      </w:r>
      <w:r>
        <w:rPr>
          <w:rStyle w:val="DocumentationTok"/>
        </w:rPr>
        <w:t xml:space="preserve">### número de grupos</w:t>
      </w:r>
      <w:r>
        <w:br/>
      </w:r>
      <w:r>
        <w:rPr>
          <w:rStyle w:val="FunctionTok"/>
        </w:rPr>
        <w:t xml:space="preserve">length</w:t>
      </w:r>
      <w:r>
        <w:rPr>
          <w:rStyle w:val="NormalTok"/>
        </w:rPr>
        <w:t xml:space="preserve">(</w:t>
      </w:r>
      <w:r>
        <w:rPr>
          <w:rStyle w:val="FunctionTok"/>
        </w:rPr>
        <w:t xml:space="preserve">unique</w:t>
      </w:r>
      <w:r>
        <w:rPr>
          <w:rStyle w:val="NormalTok"/>
        </w:rPr>
        <w:t xml:space="preserve">(my.cont.var))</w:t>
      </w:r>
      <w:r>
        <w:br/>
      </w:r>
      <w:r>
        <w:br/>
      </w:r>
      <w:r>
        <w:rPr>
          <w:rStyle w:val="DocumentationTok"/>
        </w:rPr>
        <w:t xml:space="preserve">### elipses de confiança</w:t>
      </w:r>
      <w:r>
        <w:br/>
      </w:r>
      <w:r>
        <w:rPr>
          <w:rStyle w:val="FunctionTok"/>
        </w:rPr>
        <w:t xml:space="preserve">fviz_pca_ind</w:t>
      </w:r>
      <w:r>
        <w:rPr>
          <w:rStyle w:val="NormalTok"/>
        </w:rPr>
        <w:t xml:space="preserve">(pca,</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rPr>
          <w:rStyle w:val="NormalTok"/>
        </w:rPr>
        <w:t xml:space="preserve">             </w:t>
      </w:r>
      <w:r>
        <w:rPr>
          <w:rStyle w:val="AttributeTok"/>
        </w:rPr>
        <w:t xml:space="preserve">palette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mean.point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"Groups"</w:t>
      </w:r>
      <w:r>
        <w:rPr>
          <w:rStyle w:val="NormalTok"/>
        </w:rPr>
        <w:t xml:space="preserve">)</w:t>
      </w:r>
      <w:r>
        <w:br/>
      </w:r>
      <w:r>
        <w:br/>
      </w:r>
      <w:r>
        <w:rPr>
          <w:rStyle w:val="DocumentationTok"/>
        </w:rPr>
        <w:t xml:space="preserve">### biplots</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"#2E9FDF"</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"#696969"</w:t>
      </w:r>
      <w:r>
        <w:br/>
      </w:r>
      <w:r>
        <w:rPr>
          <w:rStyle w:val="NormalTok"/>
        </w:rPr>
        <w:t xml:space="preserve">)</w:t>
      </w:r>
      <w:r>
        <w:br/>
      </w:r>
      <w:r>
        <w:br/>
      </w:r>
      <w:r>
        <w:rPr>
          <w:rStyle w:val="FunctionTok"/>
        </w:rPr>
        <w:t xml:space="preserve">fviz_pca_biplot</w:t>
      </w:r>
      <w:r>
        <w:rPr>
          <w:rStyle w:val="NormalTok"/>
        </w:rPr>
        <w:t xml:space="preserve">(pca,</w:t>
      </w:r>
      <w:r>
        <w:br/>
      </w:r>
      <w:r>
        <w:rPr>
          <w:rStyle w:val="NormalTok"/>
        </w:rPr>
        <w:t xml:space="preserve">                </w:t>
      </w:r>
      <w:r>
        <w:rPr>
          <w:rStyle w:val="AttributeTok"/>
        </w:rPr>
        <w:t xml:space="preserve">col.ind =</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AttributeTok"/>
        </w:rPr>
        <w:t xml:space="preserve">elipse.type =</w:t>
      </w:r>
      <w:r>
        <w:rPr>
          <w:rStyle w:val="NormalTok"/>
        </w:rPr>
        <w:t xml:space="preserve"> </w:t>
      </w:r>
      <w:r>
        <w:rPr>
          <w:rStyle w:val="StringTok"/>
        </w:rPr>
        <w:t xml:space="preserve">"euclid"</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"var"</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"black"</w:t>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"Species"</w:t>
      </w:r>
      <w:r>
        <w:rPr>
          <w:rStyle w:val="NormalTok"/>
        </w:rPr>
        <w:t xml:space="preserve">)</w:t>
      </w:r>
      <w:r>
        <w:br/>
      </w:r>
      <w:r>
        <w:br/>
      </w:r>
      <w:r>
        <w:rPr>
          <w:rStyle w:val="DocumentationTok"/>
        </w:rPr>
        <w:t xml:space="preserve">### GRAFICO FINAL</w:t>
      </w:r>
      <w:r>
        <w:br/>
      </w:r>
      <w:r>
        <w:rPr>
          <w:rStyle w:val="DocumentationTok"/>
        </w:rPr>
        <w:t xml:space="preserve">### biplot final</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br/>
      </w:r>
      <w:r>
        <w:rPr>
          <w:rStyle w:val="NormalTok"/>
        </w:rPr>
        <w:t xml:space="preserve">)</w:t>
      </w:r>
      <w:r>
        <w:br/>
      </w:r>
      <w:r>
        <w:br/>
      </w:r>
      <w:r>
        <w:rPr>
          <w:rStyle w:val="FunctionTok"/>
        </w:rPr>
        <w:t xml:space="preserve">library</w:t>
      </w:r>
      <w:r>
        <w:rPr>
          <w:rStyle w:val="NormalTok"/>
        </w:rPr>
        <w:t xml:space="preserve">(factoextra)</w:t>
      </w:r>
      <w:r>
        <w:br/>
      </w:r>
      <w:r>
        <w:rPr>
          <w:rStyle w:val="FunctionTok"/>
        </w:rPr>
        <w:t xml:space="preserve">library</w:t>
      </w:r>
      <w:r>
        <w:rPr>
          <w:rStyle w:val="NormalTok"/>
        </w:rPr>
        <w:t xml:space="preserve">(ggplot2)</w:t>
      </w:r>
      <w:r>
        <w:br/>
      </w:r>
      <w:r>
        <w:br/>
      </w:r>
      <w:r>
        <w:rPr>
          <w:rStyle w:val="DocumentationTok"/>
        </w:rPr>
        <w:t xml:space="preserve">### garantir variável como fator</w:t>
      </w:r>
      <w:r>
        <w:br/>
      </w:r>
      <w:r>
        <w:rPr>
          <w:rStyle w:val="NormalTok"/>
        </w:rPr>
        <w:t xml:space="preserve">t_grps</w:t>
      </w:r>
      <w:r>
        <w:rPr>
          <w:rStyle w:val="SpecialCharTok"/>
        </w:rPr>
        <w:t xml:space="preserve">$</w:t>
      </w:r>
      <w:r>
        <w:rPr>
          <w:rStyle w:val="NormalTok"/>
        </w:rPr>
        <w:t xml:space="preserve">Ref_site </w:t>
      </w:r>
      <w:r>
        <w:rPr>
          <w:rStyle w:val="OtherTok"/>
        </w:rPr>
        <w:t xml:space="preserve">&lt;-</w:t>
      </w:r>
      <w:r>
        <w:rPr>
          <w:rStyle w:val="NormalTok"/>
        </w:rPr>
        <w:t xml:space="preserve"> </w:t>
      </w:r>
      <w:r>
        <w:rPr>
          <w:rStyle w:val="FunctionTok"/>
        </w:rPr>
        <w:t xml:space="preserve">as.factor</w:t>
      </w:r>
      <w:r>
        <w:rPr>
          <w:rStyle w:val="NormalTok"/>
        </w:rPr>
        <w:t xml:space="preserve">(t_grps</w:t>
      </w:r>
      <w:r>
        <w:rPr>
          <w:rStyle w:val="SpecialCharTok"/>
        </w:rPr>
        <w:t xml:space="preserve">$</w:t>
      </w:r>
      <w:r>
        <w:rPr>
          <w:rStyle w:val="NormalTok"/>
        </w:rPr>
        <w:t xml:space="preserve">Ref_site)</w:t>
      </w:r>
      <w:r>
        <w:br/>
      </w:r>
      <w:r>
        <w:br/>
      </w:r>
      <w:r>
        <w:rPr>
          <w:rStyle w:val="DocumentationTok"/>
        </w:rPr>
        <w:t xml:space="preserve">### biplot com pontos e texto</w:t>
      </w:r>
      <w:r>
        <w:br/>
      </w:r>
      <w:r>
        <w:rPr>
          <w:rStyle w:val="FunctionTok"/>
        </w:rPr>
        <w:t xml:space="preserve">fviz_pca_biplot</w:t>
      </w:r>
      <w:r>
        <w:rPr>
          <w:rStyle w:val="NormalTok"/>
        </w:rPr>
        <w:t xml:space="preserve">(pca, </w:t>
      </w:r>
      <w:r>
        <w:rPr>
          <w:rStyle w:val="AttributeTok"/>
        </w:rPr>
        <w:t xml:space="preserve">repel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"point"</w:t>
      </w:r>
      <w:r>
        <w:rPr>
          <w:rStyle w:val="NormalTok"/>
        </w:rPr>
        <w:t xml:space="preserve">, </w:t>
      </w:r>
      <w:r>
        <w:rPr>
          <w:rStyle w:val="StringTok"/>
        </w:rPr>
        <w:t xml:space="preserve">"text"</w:t>
      </w:r>
      <w:r>
        <w:rPr>
          <w:rStyle w:val="NormalTok"/>
        </w:rPr>
        <w:t xml:space="preserve">))</w:t>
      </w:r>
      <w:r>
        <w:br/>
      </w:r>
      <w:r>
        <w:br/>
      </w:r>
      <w:r>
        <w:rPr>
          <w:rStyle w:val="DocumentationTok"/>
        </w:rPr>
        <w:t xml:space="preserve">### FILTRANDO VETORES PRINCIPAIS</w:t>
      </w:r>
      <w:r>
        <w:br/>
      </w:r>
      <w:r>
        <w:rPr>
          <w:rStyle w:val="DocumentationTok"/>
        </w:rPr>
        <w:t xml:space="preserve">### selecionar variáveis mais importantes</w:t>
      </w:r>
      <w:r>
        <w:br/>
      </w:r>
      <w:r>
        <w:rPr>
          <w:rStyle w:val="NormalTok"/>
        </w:rPr>
        <w:t xml:space="preserve">var_coord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keep_vars </w:t>
      </w:r>
      <w:r>
        <w:rPr>
          <w:rStyle w:val="OtherTok"/>
        </w:rPr>
        <w:t xml:space="preserve">&lt;-</w:t>
      </w:r>
      <w:r>
        <w:rPr>
          <w:rStyle w:val="NormalTok"/>
        </w:rPr>
        <w:t xml:space="preserve"> </w:t>
      </w:r>
      <w:r>
        <w:rPr>
          <w:rStyle w:val="FunctionTok"/>
        </w:rPr>
        <w:t xml:space="preserve">apply</w:t>
      </w:r>
      <w:r>
        <w:rPr>
          <w:rStyle w:val="NormalTok"/>
        </w:rPr>
        <w:t xml:space="preserve">(</w:t>
      </w:r>
      <w:r>
        <w:rPr>
          <w:rStyle w:val="FunctionTok"/>
        </w:rPr>
        <w:t xml:space="preserve">abs</w:t>
      </w:r>
      <w:r>
        <w:rPr>
          <w:rStyle w:val="NormalTok"/>
        </w:rPr>
        <w:t xml:space="preserve">(var_coord) </w:t>
      </w:r>
      <w:r>
        <w:rPr>
          <w:rStyle w:val="SpecialCharTok"/>
        </w:rPr>
        <w:t xml:space="preserve">&gt;</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any)</w:t>
      </w:r>
      <w:r>
        <w:br/>
      </w:r>
      <w:r>
        <w:rPr>
          <w:rStyle w:val="NormalTok"/>
        </w:rPr>
        <w:t xml:space="preserve">keep_vars</w:t>
      </w:r>
      <w:r>
        <w:br/>
      </w:r>
      <w:r>
        <w:rPr>
          <w:rStyle w:val="NormalTok"/>
        </w:rPr>
        <w:t xml:space="preserve">vars_to_keep </w:t>
      </w:r>
      <w:r>
        <w:rPr>
          <w:rStyle w:val="OtherTok"/>
        </w:rPr>
        <w:t xml:space="preserve">&lt;-</w:t>
      </w:r>
      <w:r>
        <w:rPr>
          <w:rStyle w:val="NormalTok"/>
        </w:rPr>
        <w:t xml:space="preserve"> </w:t>
      </w:r>
      <w:r>
        <w:rPr>
          <w:rStyle w:val="FunctionTok"/>
        </w:rPr>
        <w:t xml:space="preserve">rownames</w:t>
      </w:r>
      <w:r>
        <w:rPr>
          <w:rStyle w:val="NormalTok"/>
        </w:rPr>
        <w:t xml:space="preserve">(var_coord)[keep_vars]</w:t>
      </w:r>
      <w:r>
        <w:br/>
      </w:r>
      <w:r>
        <w:rPr>
          <w:rStyle w:val="NormalTok"/>
        </w:rPr>
        <w:t xml:space="preserve">vars_to_keep</w:t>
      </w:r>
      <w:r>
        <w:br/>
      </w:r>
      <w:r>
        <w:br/>
      </w:r>
      <w:r>
        <w:rPr>
          <w:rStyle w:val="DocumentationTok"/>
        </w:rPr>
        <w:t xml:space="preserve">### criar PCA filtrada</w:t>
      </w:r>
      <w:r>
        <w:br/>
      </w:r>
      <w:r>
        <w:rPr>
          <w:rStyle w:val="NormalTok"/>
        </w:rPr>
        <w:t xml:space="preserve">pca_filt </w:t>
      </w:r>
      <w:r>
        <w:rPr>
          <w:rStyle w:val="OtherTok"/>
        </w:rPr>
        <w:t xml:space="preserve">&lt;-</w:t>
      </w:r>
      <w:r>
        <w:rPr>
          <w:rStyle w:val="NormalTok"/>
        </w:rPr>
        <w:t xml:space="preserve"> pca</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coord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coord[vars_to_keep,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contrib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contrib[vars_to_keep,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pca_filt</w:t>
      </w:r>
      <w:r>
        <w:rPr>
          <w:rStyle w:val="SpecialCharTok"/>
        </w:rPr>
        <w:t xml:space="preserve">$</w:t>
      </w:r>
      <w:r>
        <w:rPr>
          <w:rStyle w:val="NormalTok"/>
        </w:rPr>
        <w:t xml:space="preserve">var</w:t>
      </w:r>
      <w:r>
        <w:rPr>
          <w:rStyle w:val="SpecialCharTok"/>
        </w:rPr>
        <w:t xml:space="preserve">$</w:t>
      </w:r>
      <w:r>
        <w:rPr>
          <w:rStyle w:val="NormalTok"/>
        </w:rPr>
        <w:t xml:space="preserve">cos2 </w:t>
      </w:r>
      <w:r>
        <w:rPr>
          <w:rStyle w:val="OtherTok"/>
        </w:rPr>
        <w:t xml:space="preserve">&lt;-</w:t>
      </w:r>
      <w:r>
        <w:rPr>
          <w:rStyle w:val="NormalTok"/>
        </w:rPr>
        <w:t xml:space="preserve"> pca</w:t>
      </w:r>
      <w:r>
        <w:rPr>
          <w:rStyle w:val="SpecialCharTok"/>
        </w:rPr>
        <w:t xml:space="preserve">$</w:t>
      </w:r>
      <w:r>
        <w:rPr>
          <w:rStyle w:val="NormalTok"/>
        </w:rPr>
        <w:t xml:space="preserve">var</w:t>
      </w:r>
      <w:r>
        <w:rPr>
          <w:rStyle w:val="SpecialCharTok"/>
        </w:rPr>
        <w:t xml:space="preserve">$</w:t>
      </w:r>
      <w:r>
        <w:rPr>
          <w:rStyle w:val="NormalTok"/>
        </w:rPr>
        <w:t xml:space="preserve">cos2[vars_to_keep, ,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DocumentationTok"/>
        </w:rPr>
        <w:t xml:space="preserve">### biplot final filtrado</w:t>
      </w:r>
      <w:r>
        <w:br/>
      </w:r>
      <w:r>
        <w:rPr>
          <w:rStyle w:val="FunctionTok"/>
        </w:rPr>
        <w:t xml:space="preserve">library</w:t>
      </w:r>
      <w:r>
        <w:rPr>
          <w:rStyle w:val="NormalTok"/>
        </w:rPr>
        <w:t xml:space="preserve">(ggrepel)</w:t>
      </w:r>
      <w:r>
        <w:br/>
      </w:r>
      <w:r>
        <w:rPr>
          <w:rStyle w:val="CommentTok"/>
        </w:rPr>
        <w:t xml:space="preserve">#png("fig-hab_PCA_fviz.png", width = 11, height = 9, units = "in", res = 400)</w:t>
      </w:r>
      <w:r>
        <w:br/>
      </w:r>
      <w:r>
        <w:rPr>
          <w:rStyle w:val="FunctionTok"/>
        </w:rPr>
        <w:t xml:space="preserve">fviz_pca_biplot</w:t>
      </w:r>
      <w:r>
        <w:rPr>
          <w:rStyle w:val="NormalTok"/>
        </w:rPr>
        <w:t xml:space="preserve">(pca_filt,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repel.var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col.var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col.ind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"text"</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shape =</w:t>
      </w:r>
      <w:r>
        <w:rPr>
          <w:rStyle w:val="NormalTok"/>
        </w:rPr>
        <w:t xml:space="preserve"> t_grps</w:t>
      </w:r>
      <w:r>
        <w:rPr>
          <w:rStyle w:val="SpecialCharTok"/>
        </w:rPr>
        <w:t xml:space="preserve">$</w:t>
      </w:r>
      <w:r>
        <w:rPr>
          <w:rStyle w:val="NormalTok"/>
        </w:rPr>
        <w:t xml:space="preserve">Ref_site),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scale_shape_manual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DecValTok"/>
        </w:rPr>
        <w:t xml:space="preserve">15</w:t>
      </w:r>
      <w:r>
        <w:rPr>
          <w:rStyle w:val="NormalTok"/>
        </w:rPr>
        <w:t xml:space="preserve">, </w:t>
      </w:r>
      <w:r>
        <w:rPr>
          <w:rStyle w:val="DecValTok"/>
        </w:rPr>
        <w:t xml:space="preserve">16</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FunctionTok"/>
        </w:rPr>
        <w:t xml:space="preserve">dev.off</w:t>
      </w:r>
      <w:r>
        <w:rPr>
          <w:rStyle w:val="NormalTok"/>
        </w:rPr>
        <w:t xml:space="preserve">()</w:t>
      </w:r>
    </w:p>
    <w:p>
      <w:pPr>
        <w:pStyle w:val="FirstParagraph"/>
      </w:pPr>
      <w:r>
        <w:rPr>
          <w:b/>
          <w:bCs/>
        </w:rPr>
        <w:t xml:space="preserve">Fish community.</w:t>
      </w:r>
      <w:r>
        <w:t xml:space="preserve"> </w:t>
      </w:r>
      <w:r>
        <w:t xml:space="preserve">A total of 422 individuals were collected. Fish were distributed among 6 species, 2 families, and a single order Characiformes. Among the families recorded, Characidae was the richest with 5 species, Astyanax bimaculatus, Astyanax fasciatus, Hemigrammus marginatus, Hemigrammus rodwayi, and Hemigrammus unilineatus, while Crenuchidae was represented by only 1 species, Characidium bimaculatum, with a single specimen collected. The most abundant species were Hemigrammus unilineatus (45.2% of the individuals colleted). Other abundant species were Hemigrammus rodwayi (23.7%) and Hemigrammus marginatus (18.2%), establishing Hemigrammus as the dominant genus in the study area. Regarding their spatial distribution, only 1 species (H. unilineatus) was present at the sites located inside the Reserva Biológica Guaribas, whereas all 6 species were recorded in the surrounding areas. Out of the total collected fish, 118 specimens were submitted to the rhodamine B accumulation assay (MXR), 78 were used for total plasmatic protein dosage and moisture content quantification, and 226 individuals died prior to the physiological procedures</w:t>
      </w:r>
      <w:r>
        <w:t xml:space="preserve"> </w:t>
      </w:r>
      <w:hyperlink w:anchor="tbl-abund">
        <w:r>
          <w:rPr>
            <w:rStyle w:val="Hyperlink"/>
          </w:rPr>
          <w:t xml:space="preserve">Table 1</w:t>
        </w:r>
      </w:hyperlink>
      <w:r>
        <w:t xml:space="preserve">.</w:t>
      </w:r>
    </w:p>
    <w:p>
      <w:pPr>
        <w:pStyle w:val="Corpodetexto"/>
      </w:pPr>
      <w:r>
        <w:rPr>
          <w:b/>
          <w:bCs/>
        </w:rPr>
        <w:t xml:space="preserve">Plasmatic protein dosage.</w:t>
      </w:r>
      <w:r>
        <w:t xml:space="preserve"> </w:t>
      </w: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5</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"D:/mxr23_Q"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6</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Corpodetexto"/>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7</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8</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Corpodetexto"/>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9</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10</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2"/>
    <w:bookmarkStart w:id="23"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11</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w:t>
      </w:r>
      <w:r>
        <w:rPr>
          <w:b/>
          <w:bCs/>
        </w:rPr>
        <w:t xml:space="preserve">masullo2020a?</w:t>
      </w:r>
      <w:r>
        <w:t xml:space="preserve">)</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Ttulo1"/>
      </w:pPr>
      <w:r>
        <w:t xml:space="preserve">Conclusions</w:t>
      </w:r>
    </w:p>
    <w:bookmarkEnd w:id="24"/>
    <w:bookmarkStart w:id="25" w:name="acknowledgements"/>
    <w:p>
      <w:pPr>
        <w:pStyle w:val="Ttulo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grated. MMSM and LRCS are grateful to Programa de Iniciação Científica (PIBIC-UEPB) and CNPq for scholarship granted.</w:t>
      </w:r>
    </w:p>
    <w:bookmarkEnd w:id="25"/>
    <w:bookmarkStart w:id="26"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Adamastor Coutinho Pinto: Conceptualization, Data curation, Formal analysis, Investigation, Software, Visualization, Writing – review &amp; editing, Writing – original draft.</w:t>
      </w:r>
    </w:p>
    <w:p>
      <w:pPr>
        <w:pStyle w:val="Corpodetexto"/>
      </w:pPr>
      <w:r>
        <w:t xml:space="preserve">Mayara Mirelly da Silva Monteiro: Data curation, Formal analysis, Software, Writing – review &amp; editing.</w:t>
      </w:r>
    </w:p>
    <w:p>
      <w:pPr>
        <w:pStyle w:val="Corpodetexto"/>
      </w:pPr>
      <w:r>
        <w:t xml:space="preserve">Alice da Silva Barros: Data curation, Formal analysis, Software, Writing – review &amp; editing.</w:t>
      </w:r>
    </w:p>
    <w:p>
      <w:pPr>
        <w:pStyle w:val="Corpodetexto"/>
      </w:pPr>
      <w:r>
        <w:t xml:space="preserve">Larissa Rafaela Caetano da Silva:Data curation, Formal analysis, Software, Writing – review &amp; editing.</w:t>
      </w:r>
    </w:p>
    <w:p>
      <w:pPr>
        <w:pStyle w:val="Corpodetexto"/>
      </w:pPr>
      <w:r>
        <w:t xml:space="preserve">Enelise Marcelle Amado: Conceptualization, Data curation, Methodology, Project administration, Resources, Supervision, Validation, Writing – review &amp; editing.</w:t>
      </w:r>
    </w:p>
    <w:p>
      <w:pPr>
        <w:pStyle w:val="Corpodetexto"/>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Ttulo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87" w:name="references"/>
    <w:p>
      <w:pPr>
        <w:pStyle w:val="Ttulo1"/>
      </w:pPr>
      <w:r>
        <w:t xml:space="preserve">References</w:t>
      </w:r>
    </w:p>
    <w:bookmarkStart w:id="86" w:name="refs"/>
    <w:bookmarkStart w:id="29"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28">
        <w:r>
          <w:rPr>
            <w:rStyle w:val="Hyperlink"/>
          </w:rPr>
          <w:t xml:space="preserve">https://doi.org/10.1002/wer.1221</w:t>
        </w:r>
      </w:hyperlink>
    </w:p>
    <w:bookmarkEnd w:id="29"/>
    <w:bookmarkStart w:id="30"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0"/>
    <w:bookmarkStart w:id="32"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1">
        <w:r>
          <w:rPr>
            <w:rStyle w:val="Hyperlink"/>
          </w:rPr>
          <w:t xml:space="preserve">https://doi.org/10.14393/SN-v34-2022-60335</w:t>
        </w:r>
      </w:hyperlink>
    </w:p>
    <w:bookmarkEnd w:id="32"/>
    <w:bookmarkStart w:id="34"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3">
        <w:r>
          <w:rPr>
            <w:rStyle w:val="Hyperlink"/>
          </w:rPr>
          <w:t xml:space="preserve">https://doi.org/10.1007/s10669-011-9380-3</w:t>
        </w:r>
      </w:hyperlink>
    </w:p>
    <w:bookmarkEnd w:id="34"/>
    <w:bookmarkStart w:id="35"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5"/>
    <w:bookmarkStart w:id="36" w:name="ref-brasil2000f"/>
    <w:p>
      <w:pPr>
        <w:pStyle w:val="Bibliografia"/>
      </w:pPr>
      <w:r>
        <w:t xml:space="preserve">Brasil. (2000).</w:t>
      </w:r>
      <w:r>
        <w:t xml:space="preserve"> </w:t>
      </w:r>
      <w:r>
        <w:rPr>
          <w:i/>
          <w:iCs/>
        </w:rPr>
        <w:t xml:space="preserve">Lei nº 9.985, de 18 de julho de 2000</w:t>
      </w:r>
      <w:r>
        <w:t xml:space="preserve">.</w:t>
      </w:r>
    </w:p>
    <w:bookmarkEnd w:id="36"/>
    <w:bookmarkStart w:id="38"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37">
        <w:r>
          <w:rPr>
            <w:rStyle w:val="Hyperlink"/>
          </w:rPr>
          <w:t xml:space="preserve">https://credit.niso.org/</w:t>
        </w:r>
      </w:hyperlink>
    </w:p>
    <w:bookmarkEnd w:id="38"/>
    <w:bookmarkStart w:id="40"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39">
        <w:r>
          <w:rPr>
            <w:rStyle w:val="Hyperlink"/>
          </w:rPr>
          <w:t xml:space="preserve">https://doi.org/10.1016/j.ecoenv.2018.09.111</w:t>
        </w:r>
      </w:hyperlink>
    </w:p>
    <w:bookmarkEnd w:id="40"/>
    <w:bookmarkStart w:id="41"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1"/>
    <w:bookmarkStart w:id="43"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2">
        <w:r>
          <w:rPr>
            <w:rStyle w:val="Hyperlink"/>
          </w:rPr>
          <w:t xml:space="preserve">https://doi.org/10.15560/13.5.581</w:t>
        </w:r>
      </w:hyperlink>
    </w:p>
    <w:bookmarkEnd w:id="43"/>
    <w:bookmarkStart w:id="45" w:name="ref-haredi2020"/>
    <w:p>
      <w:pPr>
        <w:pStyle w:val="Bibliografia"/>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44">
        <w:r>
          <w:rPr>
            <w:rStyle w:val="Hyperlink"/>
          </w:rPr>
          <w:t xml:space="preserve">https://doi.org/10.1007/s13530-020-00042-w</w:t>
        </w:r>
      </w:hyperlink>
    </w:p>
    <w:bookmarkEnd w:id="45"/>
    <w:bookmarkStart w:id="46"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46"/>
    <w:bookmarkStart w:id="47" w:name="ref-köppen1928a"/>
    <w:p>
      <w:pPr>
        <w:pStyle w:val="Bibliografia"/>
      </w:pPr>
      <w:r>
        <w:t xml:space="preserve">Köppen, W., &amp; Geiger, R. (1928).</w:t>
      </w:r>
      <w:r>
        <w:t xml:space="preserve"> </w:t>
      </w:r>
      <w:r>
        <w:rPr>
          <w:i/>
          <w:iCs/>
        </w:rPr>
        <w:t xml:space="preserve">Klimate der erde</w:t>
      </w:r>
      <w:r>
        <w:t xml:space="preserve">.</w:t>
      </w:r>
    </w:p>
    <w:bookmarkEnd w:id="47"/>
    <w:bookmarkStart w:id="49"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48">
        <w:r>
          <w:rPr>
            <w:rStyle w:val="Hyperlink"/>
          </w:rPr>
          <w:t xml:space="preserve">https://doi.org/10.1023/A:1026560922731</w:t>
        </w:r>
      </w:hyperlink>
    </w:p>
    <w:bookmarkEnd w:id="49"/>
    <w:bookmarkStart w:id="50" w:name="ref-lê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50"/>
    <w:bookmarkStart w:id="52"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51">
        <w:r>
          <w:rPr>
            <w:rStyle w:val="Hyperlink"/>
          </w:rPr>
          <w:t xml:space="preserve">https://doi.org/10.1002/jez.2320</w:t>
        </w:r>
      </w:hyperlink>
    </w:p>
    <w:bookmarkEnd w:id="52"/>
    <w:bookmarkStart w:id="54" w:name="ref-maitland1990"/>
    <w:p>
      <w:pPr>
        <w:pStyle w:val="Bibliografia"/>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53">
        <w:r>
          <w:rPr>
            <w:rStyle w:val="Hyperlink"/>
          </w:rPr>
          <w:t xml:space="preserve">https://doi.org/10.1007/978-1-4613-0501-9_5</w:t>
        </w:r>
      </w:hyperlink>
    </w:p>
    <w:bookmarkEnd w:id="54"/>
    <w:bookmarkStart w:id="55" w:name="ref-mccune2002"/>
    <w:p>
      <w:pPr>
        <w:pStyle w:val="Bibliografia"/>
      </w:pPr>
      <w:r>
        <w:t xml:space="preserve">McCune, B., &amp; Grace, J. B. (2002).</w:t>
      </w:r>
      <w:r>
        <w:t xml:space="preserve"> </w:t>
      </w:r>
      <w:r>
        <w:rPr>
          <w:i/>
          <w:iCs/>
        </w:rPr>
        <w:t xml:space="preserve">Analysis of ecological communities</w:t>
      </w:r>
      <w:r>
        <w:t xml:space="preserve">. MjM Software Design.</w:t>
      </w:r>
    </w:p>
    <w:bookmarkEnd w:id="55"/>
    <w:bookmarkStart w:id="56"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56"/>
    <w:bookmarkStart w:id="58" w:name="ref-medeiros2010"/>
    <w:p>
      <w:pPr>
        <w:pStyle w:val="Bibliografia"/>
      </w:pPr>
      <w:r>
        <w:t xml:space="preserve">Medeiros, E. S. F., Silva, M., Figueiredo, B., Ramos, T., &amp; Ramos, R. (2010). Effects of fishing technique on assessing species composition in aquatic systems in semi-arid brazil.</w:t>
      </w:r>
      <w:r>
        <w:t xml:space="preserve"> </w:t>
      </w:r>
      <w:r>
        <w:rPr>
          <w:i/>
          <w:iCs/>
        </w:rPr>
        <w:t xml:space="preserve">Brazilian Journal of Biology</w:t>
      </w:r>
      <w:r>
        <w:t xml:space="preserve">,</w:t>
      </w:r>
      <w:r>
        <w:t xml:space="preserve"> </w:t>
      </w:r>
      <w:r>
        <w:rPr>
          <w:i/>
          <w:iCs/>
        </w:rPr>
        <w:t xml:space="preserve">70</w:t>
      </w:r>
      <w:r>
        <w:t xml:space="preserve">, 255–262.</w:t>
      </w:r>
      <w:r>
        <w:t xml:space="preserve"> </w:t>
      </w:r>
      <w:hyperlink r:id="rId57">
        <w:r>
          <w:rPr>
            <w:rStyle w:val="Hyperlink"/>
          </w:rPr>
          <w:t xml:space="preserve">https://doi.org/10.1590/S1519-69842010000200004</w:t>
        </w:r>
      </w:hyperlink>
    </w:p>
    <w:bookmarkEnd w:id="58"/>
    <w:bookmarkStart w:id="60" w:name="ref-ministériodomeioambiente2025"/>
    <w:p>
      <w:pPr>
        <w:pStyle w:val="Bibliografia"/>
      </w:pPr>
      <w:r>
        <w:t xml:space="preserve">Ministério do Meio Ambiente. (2025).</w:t>
      </w:r>
      <w:r>
        <w:t xml:space="preserve"> </w:t>
      </w:r>
      <w:r>
        <w:rPr>
          <w:i/>
          <w:iCs/>
        </w:rPr>
        <w:t xml:space="preserve">Painel unidades de conservação. retrieved</w:t>
      </w:r>
      <w:r>
        <w:t xml:space="preserve">.</w:t>
      </w:r>
      <w:r>
        <w:t xml:space="preserve"> </w:t>
      </w:r>
      <w:hyperlink r:id="rId59">
        <w:r>
          <w:rPr>
            <w:rStyle w:val="Hyperlink"/>
          </w:rPr>
          <w:t xml:space="preserve">https://encurtador.com.br/kLle</w:t>
        </w:r>
      </w:hyperlink>
    </w:p>
    <w:bookmarkEnd w:id="60"/>
    <w:bookmarkStart w:id="61"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61"/>
    <w:bookmarkStart w:id="62" w:name="ref-mmai"/>
    <w:p>
      <w:pPr>
        <w:pStyle w:val="Bibliografia"/>
      </w:pPr>
      <w:r>
        <w:t xml:space="preserve">MMA, M. do meio ambiente. (n.d.).</w:t>
      </w:r>
      <w:r>
        <w:t xml:space="preserve"> </w:t>
      </w:r>
      <w:r>
        <w:rPr>
          <w:i/>
          <w:iCs/>
        </w:rPr>
        <w:t xml:space="preserve">Plano de manejo, fase 2, da reserva biológica guaribas</w:t>
      </w:r>
      <w:r>
        <w:t xml:space="preserve">.</w:t>
      </w:r>
    </w:p>
    <w:bookmarkEnd w:id="62"/>
    <w:bookmarkStart w:id="64" w:name="ref-mugodo2006"/>
    <w:p>
      <w:pPr>
        <w:pStyle w:val="Bibliografia"/>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63">
        <w:r>
          <w:rPr>
            <w:rStyle w:val="Hyperlink"/>
          </w:rPr>
          <w:t xml:space="preserve">https://doi.org/10.1007/s10750-006-0252-7</w:t>
        </w:r>
      </w:hyperlink>
    </w:p>
    <w:bookmarkEnd w:id="64"/>
    <w:bookmarkStart w:id="66"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65">
        <w:r>
          <w:rPr>
            <w:rStyle w:val="Hyperlink"/>
          </w:rPr>
          <w:t xml:space="preserve">https://doi.org/10.1038/35002501</w:t>
        </w:r>
      </w:hyperlink>
    </w:p>
    <w:bookmarkEnd w:id="66"/>
    <w:bookmarkStart w:id="67" w:name="ref-peel2007"/>
    <w:p>
      <w:pPr>
        <w:pStyle w:val="Bibliografia"/>
      </w:pPr>
      <w:r>
        <w:t xml:space="preserve">Peel, M. C., Finlayson, B. L., &amp; McMahon, T. A. (2007). Updated world map of the K¨oppen-Geiger climate classi</w:t>
      </w:r>
      <w:r>
        <w:t xml:space="preserve">fi</w:t>
      </w:r>
      <w:r>
        <w:t xml:space="preserve">cation.</w:t>
      </w:r>
      <w:r>
        <w:t xml:space="preserve"> </w:t>
      </w:r>
      <w:r>
        <w:rPr>
          <w:i/>
          <w:iCs/>
        </w:rPr>
        <w:t xml:space="preserve">Hydrol. Earth Syst. Sci.</w:t>
      </w:r>
    </w:p>
    <w:bookmarkEnd w:id="67"/>
    <w:bookmarkStart w:id="69"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68">
        <w:r>
          <w:rPr>
            <w:rStyle w:val="Hyperlink"/>
          </w:rPr>
          <w:t xml:space="preserve">https://doi.org/10.1590/S1413-70542006000500027</w:t>
        </w:r>
      </w:hyperlink>
    </w:p>
    <w:bookmarkEnd w:id="69"/>
    <w:bookmarkStart w:id="70" w:name="ref-pusey2004"/>
    <w:p>
      <w:pPr>
        <w:pStyle w:val="Bibliografia"/>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70"/>
    <w:bookmarkStart w:id="72"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71">
        <w:r>
          <w:rPr>
            <w:rStyle w:val="Hyperlink"/>
          </w:rPr>
          <w:t xml:space="preserve">https://www.R-project.org/</w:t>
        </w:r>
      </w:hyperlink>
    </w:p>
    <w:bookmarkEnd w:id="72"/>
    <w:bookmarkStart w:id="73" w:name="ref-rstudioteam"/>
    <w:p>
      <w:pPr>
        <w:pStyle w:val="Bibliografia"/>
      </w:pPr>
      <w:r>
        <w:t xml:space="preserve">RStudio Team. (n.d.).</w:t>
      </w:r>
      <w:r>
        <w:t xml:space="preserve"> </w:t>
      </w:r>
      <w:r>
        <w:rPr>
          <w:i/>
          <w:iCs/>
        </w:rPr>
        <w:t xml:space="preserve">RStudio: Integrated Development Environment for R</w:t>
      </w:r>
      <w:r>
        <w:t xml:space="preserve">.</w:t>
      </w:r>
    </w:p>
    <w:bookmarkEnd w:id="73"/>
    <w:bookmarkStart w:id="74"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74"/>
    <w:bookmarkStart w:id="76" w:name="ref-santos2017"/>
    <w:p>
      <w:pPr>
        <w:pStyle w:val="Bibliografia"/>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75">
        <w:r>
          <w:rPr>
            <w:rStyle w:val="Hyperlink"/>
          </w:rPr>
          <w:t xml:space="preserve">https://doi.org/10.1016/j.cbpc.2017.08.008</w:t>
        </w:r>
      </w:hyperlink>
    </w:p>
    <w:bookmarkEnd w:id="76"/>
    <w:bookmarkStart w:id="78"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77">
        <w:r>
          <w:rPr>
            <w:rStyle w:val="Hyperlink"/>
          </w:rPr>
          <w:t xml:space="preserve">https://doi.org/10.5016/DT000610176</w:t>
        </w:r>
      </w:hyperlink>
    </w:p>
    <w:bookmarkEnd w:id="78"/>
    <w:bookmarkStart w:id="80"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79">
        <w:r>
          <w:rPr>
            <w:rStyle w:val="Hyperlink"/>
          </w:rPr>
          <w:t xml:space="preserve">https://doi.org/10.1016/S0027-5107(97)00265-0</w:t>
        </w:r>
      </w:hyperlink>
    </w:p>
    <w:bookmarkEnd w:id="80"/>
    <w:bookmarkStart w:id="82" w:name="ref-smital2004"/>
    <w:p>
      <w:pPr>
        <w:pStyle w:val="Bibliografia"/>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81">
        <w:r>
          <w:rPr>
            <w:rStyle w:val="Hyperlink"/>
          </w:rPr>
          <w:t xml:space="preserve">https://doi.org/10.1016/j.mrfmmm.2004.06.006</w:t>
        </w:r>
      </w:hyperlink>
    </w:p>
    <w:bookmarkEnd w:id="82"/>
    <w:bookmarkStart w:id="83" w:name="ref-sokal1995"/>
    <w:p>
      <w:pPr>
        <w:pStyle w:val="Bibliografia"/>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83"/>
    <w:bookmarkStart w:id="84" w:name="ref-soler2004"/>
    <w:p>
      <w:pPr>
        <w:pStyle w:val="Bibliografia"/>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84"/>
    <w:bookmarkStart w:id="85"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85"/>
    <w:bookmarkEnd w:id="86"/>
    <w:bookmarkEnd w:id="87"/>
    <w:bookmarkStart w:id="135" w:name="figures-and-tables"/>
    <w:p>
      <w:pPr>
        <w:pStyle w:val="Ttulo1"/>
      </w:pPr>
      <w:r>
        <w:t xml:space="preserve">Figures and Tables</w:t>
      </w:r>
    </w:p>
    <w:bookmarkStart w:id="132"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91" w:name="fig-mapa"/>
          <w:p>
            <w:pPr>
              <w:pStyle w:val="Compact"/>
              <w:jc w:val="center"/>
            </w:pPr>
            <w:r>
              <w:drawing>
                <wp:inline>
                  <wp:extent cx="5600700" cy="3960010"/>
                  <wp:effectExtent b="0" l="0" r="0" t="0"/>
                  <wp:docPr descr="" title="" id="89" name="Picture"/>
                  <a:graphic>
                    <a:graphicData uri="http://schemas.openxmlformats.org/drawingml/2006/picture">
                      <pic:pic>
                        <pic:nvPicPr>
                          <pic:cNvPr descr="imagens/Mapa%20Atualizado.png" id="90" name="Picture"/>
                          <pic:cNvPicPr>
                            <a:picLocks noChangeArrowheads="1" noChangeAspect="1"/>
                          </pic:cNvPicPr>
                        </pic:nvPicPr>
                        <pic:blipFill>
                          <a:blip r:embed="rId88"/>
                          <a:stretch>
                            <a:fillRect/>
                          </a:stretch>
                        </pic:blipFill>
                        <pic:spPr bwMode="auto">
                          <a:xfrm>
                            <a:off x="0" y="0"/>
                            <a:ext cx="5600700" cy="39600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Location of sampling sites within (P5 - 06°43’06,58555’’ S, 35°10’54,70041’</w:t>
            </w:r>
            <w:r>
              <w:t xml:space="preserve">‘W -, P6 - 06°42’38,71927’</w:t>
            </w:r>
            <w:r>
              <w:t xml:space="preserve">‘S, 35°10’38,68013’</w:t>
            </w:r>
            <w:r>
              <w:t xml:space="preserve">‘W - and P7 - 06°43’06,58555’</w:t>
            </w:r>
            <w:r>
              <w:t xml:space="preserve">‘S, 35°10’54,70041’</w:t>
            </w:r>
            <w:r>
              <w:t xml:space="preserve">‘W) and surrounding ReBio Guaribas (P8 - 06°41’46,29119’</w:t>
            </w:r>
            <w:r>
              <w:t xml:space="preserve">‘S, 35°10’36,09933’</w:t>
            </w:r>
            <w:r>
              <w:t xml:space="preserve">‘W -, P9 - 06°40’56,47593’</w:t>
            </w:r>
            <w:r>
              <w:t xml:space="preserve">‘S, 35°10’27,84963’</w:t>
            </w:r>
            <w:r>
              <w:t xml:space="preserve">‘W - and P10 - 06°40’18,97010’</w:t>
            </w:r>
            <w:r>
              <w:t xml:space="preserve">‘S, 35°10’34,68148’</w:t>
            </w:r>
            <w:r>
              <w:t xml:space="preserve">’W). In total, 92 fish were collected inside the Conservation Unity and 97 outside it.</w:t>
            </w:r>
          </w:p>
          <w:bookmarkEnd w:id="91"/>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5" w:name="fig-refsites"/>
          <w:p>
            <w:pPr>
              <w:pStyle w:val="Compact"/>
              <w:jc w:val="center"/>
            </w:pPr>
            <w:r>
              <w:drawing>
                <wp:inline>
                  <wp:extent cx="5600700" cy="4657626"/>
                  <wp:effectExtent b="0" l="0" r="0" t="0"/>
                  <wp:docPr descr="" title="" id="93" name="Picture"/>
                  <a:graphic>
                    <a:graphicData uri="http://schemas.openxmlformats.org/drawingml/2006/picture">
                      <pic:pic>
                        <pic:nvPicPr>
                          <pic:cNvPr descr="imagens/refsites.png" id="94" name="Picture"/>
                          <pic:cNvPicPr>
                            <a:picLocks noChangeArrowheads="1" noChangeAspect="1"/>
                          </pic:cNvPicPr>
                        </pic:nvPicPr>
                        <pic:blipFill>
                          <a:blip r:embed="rId92"/>
                          <a:stretch>
                            <a:fillRect/>
                          </a:stretch>
                        </pic:blipFill>
                        <pic:spPr bwMode="auto">
                          <a:xfrm>
                            <a:off x="0" y="0"/>
                            <a:ext cx="5600700" cy="46576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95"/>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9" w:name="fig-MXR_experimental_design"/>
          <w:p>
            <w:pPr>
              <w:pStyle w:val="Compact"/>
              <w:jc w:val="center"/>
            </w:pPr>
            <w:r>
              <w:drawing>
                <wp:inline>
                  <wp:extent cx="5600700" cy="2800350"/>
                  <wp:effectExtent b="0" l="0" r="0" t="0"/>
                  <wp:docPr descr="" title="" id="97" name="Picture"/>
                  <a:graphic>
                    <a:graphicData uri="http://schemas.openxmlformats.org/drawingml/2006/picture">
                      <pic:pic>
                        <pic:nvPicPr>
                          <pic:cNvPr descr="images/esquema_MXR.png" id="98" name="Picture"/>
                          <pic:cNvPicPr>
                            <a:picLocks noChangeArrowheads="1" noChangeAspect="1"/>
                          </pic:cNvPicPr>
                        </pic:nvPicPr>
                        <pic:blipFill>
                          <a:blip r:embed="rId96"/>
                          <a:stretch>
                            <a:fillRect/>
                          </a:stretch>
                        </pic:blipFill>
                        <pic:spPr bwMode="auto">
                          <a:xfrm>
                            <a:off x="0" y="0"/>
                            <a:ext cx="5600700" cy="28003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Experimental design of the procedure used to evaluate rhodamine B uptake in fish. The individuals were exposed to a rhodamine B solution (2.5 µM) for 1 hour in an aquarium containing pink-colored water. Subsequently, the fish were anesthetized with eugenol for gill sampling. The collected material was placed in microtubes containing 500 µL of distilled water for later analysis.</w:t>
            </w:r>
          </w:p>
          <w:bookmarkEnd w:id="9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3" w:name="fig-hab_PCA_fviz"/>
          <w:p>
            <w:pPr>
              <w:pStyle w:val="Compact"/>
              <w:jc w:val="center"/>
            </w:pPr>
            <w:r>
              <w:drawing>
                <wp:inline>
                  <wp:extent cx="5600700" cy="4582390"/>
                  <wp:effectExtent b="0" l="0" r="0" t="0"/>
                  <wp:docPr descr="" title="" id="101" name="Picture"/>
                  <a:graphic>
                    <a:graphicData uri="http://schemas.openxmlformats.org/drawingml/2006/picture">
                      <pic:pic>
                        <pic:nvPicPr>
                          <pic:cNvPr descr="fig-hab_PCA_fviz.png" id="102" name="Picture"/>
                          <pic:cNvPicPr>
                            <a:picLocks noChangeArrowheads="1" noChangeAspect="1"/>
                          </pic:cNvPicPr>
                        </pic:nvPicPr>
                        <pic:blipFill>
                          <a:blip r:embed="rId100"/>
                          <a:stretch>
                            <a:fillRect/>
                          </a:stretch>
                        </pic:blipFill>
                        <pic:spPr bwMode="auto">
                          <a:xfrm>
                            <a:off x="0" y="0"/>
                            <a:ext cx="5600700" cy="45823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Principal Component Analysis of the environmental variables using the fviz function.</w:t>
            </w:r>
          </w:p>
          <w:bookmarkEnd w:id="10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7" w:name="fig-boxtpinandout"/>
          <w:p>
            <w:pPr>
              <w:pStyle w:val="Compact"/>
              <w:jc w:val="center"/>
            </w:pPr>
            <w:r>
              <w:drawing>
                <wp:inline>
                  <wp:extent cx="5600700" cy="3843033"/>
                  <wp:effectExtent b="0" l="0" r="0" t="0"/>
                  <wp:docPr descr="" title="" id="105" name="Picture"/>
                  <a:graphic>
                    <a:graphicData uri="http://schemas.openxmlformats.org/drawingml/2006/picture">
                      <pic:pic>
                        <pic:nvPicPr>
                          <pic:cNvPr descr="imagens/Figura%203.png" id="106" name="Picture"/>
                          <pic:cNvPicPr>
                            <a:picLocks noChangeArrowheads="1" noChangeAspect="1"/>
                          </pic:cNvPicPr>
                        </pic:nvPicPr>
                        <pic:blipFill>
                          <a:blip r:embed="rId104"/>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Total protein (mg) variance of data inside and outside ReBio Guaribas.</w:t>
            </w:r>
          </w:p>
          <w:bookmarkEnd w:id="107"/>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1" w:name="fig-boxtpsites"/>
          <w:p>
            <w:pPr>
              <w:pStyle w:val="Compact"/>
              <w:jc w:val="center"/>
            </w:pPr>
            <w:r>
              <w:drawing>
                <wp:inline>
                  <wp:extent cx="5600700" cy="3843033"/>
                  <wp:effectExtent b="0" l="0" r="0" t="0"/>
                  <wp:docPr descr="" title="" id="109" name="Picture"/>
                  <a:graphic>
                    <a:graphicData uri="http://schemas.openxmlformats.org/drawingml/2006/picture">
                      <pic:pic>
                        <pic:nvPicPr>
                          <pic:cNvPr descr="imagens/Figura%204.png" id="110" name="Picture"/>
                          <pic:cNvPicPr>
                            <a:picLocks noChangeArrowheads="1" noChangeAspect="1"/>
                          </pic:cNvPicPr>
                        </pic:nvPicPr>
                        <pic:blipFill>
                          <a:blip r:embed="rId108"/>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Boxplot with total protein data of collected fish from the sampling sites inside (green) and outside ReBio Guaribas (red), including its respective grouping by similarity above each box.</w:t>
            </w:r>
          </w:p>
          <w:bookmarkEnd w:id="111"/>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5" w:name="fig-mcsites"/>
          <w:p>
            <w:pPr>
              <w:pStyle w:val="Compact"/>
              <w:jc w:val="center"/>
            </w:pPr>
            <w:r>
              <w:drawing>
                <wp:inline>
                  <wp:extent cx="5600700" cy="3843033"/>
                  <wp:effectExtent b="0" l="0" r="0" t="0"/>
                  <wp:docPr descr="" title="" id="113" name="Picture"/>
                  <a:graphic>
                    <a:graphicData uri="http://schemas.openxmlformats.org/drawingml/2006/picture">
                      <pic:pic>
                        <pic:nvPicPr>
                          <pic:cNvPr descr="imagens/Figura%205.png" id="114" name="Picture"/>
                          <pic:cNvPicPr>
                            <a:picLocks noChangeArrowheads="1" noChangeAspect="1"/>
                          </pic:cNvPicPr>
                        </pic:nvPicPr>
                        <pic:blipFill>
                          <a:blip r:embed="rId112"/>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Moisture content (%) of tissues from sampling sites inside and outside the ReBio Guaribas, with the respective p-value between each locality.</w:t>
            </w:r>
          </w:p>
          <w:bookmarkEnd w:id="115"/>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9" w:name="fig-boxmmcsites"/>
          <w:p>
            <w:pPr>
              <w:pStyle w:val="Compact"/>
              <w:jc w:val="center"/>
            </w:pPr>
            <w:r>
              <w:drawing>
                <wp:inline>
                  <wp:extent cx="5600700" cy="3843033"/>
                  <wp:effectExtent b="0" l="0" r="0" t="0"/>
                  <wp:docPr descr="" title="" id="117" name="Picture"/>
                  <a:graphic>
                    <a:graphicData uri="http://schemas.openxmlformats.org/drawingml/2006/picture">
                      <pic:pic>
                        <pic:nvPicPr>
                          <pic:cNvPr descr="imagens/Figura%206.png" id="118" name="Picture"/>
                          <pic:cNvPicPr>
                            <a:picLocks noChangeArrowheads="1" noChangeAspect="1"/>
                          </pic:cNvPicPr>
                        </pic:nvPicPr>
                        <pic:blipFill>
                          <a:blip r:embed="rId116"/>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Boxplot with gill and muscle moisture content data of fish collected from sites inside (green) and outside ReBio Guaribas (red), with its respective grouping by similarity above each box.</w:t>
            </w:r>
          </w:p>
          <w:bookmarkEnd w:id="11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3" w:name="fig-fluorescence"/>
          <w:p>
            <w:pPr>
              <w:pStyle w:val="Compact"/>
              <w:jc w:val="center"/>
            </w:pPr>
            <w:r>
              <w:drawing>
                <wp:inline>
                  <wp:extent cx="5600700" cy="3843033"/>
                  <wp:effectExtent b="0" l="0" r="0" t="0"/>
                  <wp:docPr descr="" title="" id="121" name="Picture"/>
                  <a:graphic>
                    <a:graphicData uri="http://schemas.openxmlformats.org/drawingml/2006/picture">
                      <pic:pic>
                        <pic:nvPicPr>
                          <pic:cNvPr descr="imagens/Figura%207.png" id="122" name="Picture"/>
                          <pic:cNvPicPr>
                            <a:picLocks noChangeArrowheads="1" noChangeAspect="1"/>
                          </pic:cNvPicPr>
                        </pic:nvPicPr>
                        <pic:blipFill>
                          <a:blip r:embed="rId120"/>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Average fluorescence data from sampling sites inside and outside the ReBio Guaribas, expressed by relative fluorescence units/milligrammes of tissue (gill).</w:t>
            </w:r>
          </w:p>
          <w:bookmarkEnd w:id="12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fig-boxmxr"/>
          <w:p>
            <w:pPr>
              <w:pStyle w:val="Compact"/>
              <w:jc w:val="center"/>
            </w:pPr>
            <w:r>
              <w:drawing>
                <wp:inline>
                  <wp:extent cx="5600700" cy="3843033"/>
                  <wp:effectExtent b="0" l="0" r="0" t="0"/>
                  <wp:docPr descr="" title="" id="125" name="Picture"/>
                  <a:graphic>
                    <a:graphicData uri="http://schemas.openxmlformats.org/drawingml/2006/picture">
                      <pic:pic>
                        <pic:nvPicPr>
                          <pic:cNvPr descr="imagens/Figura%208.png" id="126" name="Picture"/>
                          <pic:cNvPicPr>
                            <a:picLocks noChangeArrowheads="1" noChangeAspect="1"/>
                          </pic:cNvPicPr>
                        </pic:nvPicPr>
                        <pic:blipFill>
                          <a:blip r:embed="rId124"/>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Boxplot with the MXR phenotype activity data of fish collected from sites inside (green) and outside the ReBio Guaribas (red), with its respective grouping by similarity above each box.</w:t>
            </w:r>
          </w:p>
          <w:bookmarkEnd w:id="127"/>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31" w:name="fig-bar"/>
          <w:p>
            <w:pPr>
              <w:pStyle w:val="Compact"/>
              <w:jc w:val="center"/>
            </w:pPr>
            <w:r>
              <w:drawing>
                <wp:inline>
                  <wp:extent cx="5600700" cy="3843033"/>
                  <wp:effectExtent b="0" l="0" r="0" t="0"/>
                  <wp:docPr descr="" title="" id="129" name="Picture"/>
                  <a:graphic>
                    <a:graphicData uri="http://schemas.openxmlformats.org/drawingml/2006/picture">
                      <pic:pic>
                        <pic:nvPicPr>
                          <pic:cNvPr descr="imagens/Figure%209.png" id="130" name="Picture"/>
                          <pic:cNvPicPr>
                            <a:picLocks noChangeArrowheads="1" noChangeAspect="1"/>
                          </pic:cNvPicPr>
                        </pic:nvPicPr>
                        <pic:blipFill>
                          <a:blip r:embed="rId128"/>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31"/>
        </w:tc>
      </w:tr>
    </w:tbl>
    <w:bookmarkEnd w:id="132"/>
    <w:bookmarkStart w:id="134" w:name="tables"/>
    <w:p>
      <w:pPr>
        <w:pStyle w:val="Ttulo2"/>
      </w:pPr>
      <w:r>
        <w:t xml:space="preserve">Tables</w:t>
      </w:r>
    </w:p>
    <w:tbl>
      <w:tblPr>
        <w:tblStyle w:val="Table"/>
        <w:tblW w:type="pct" w:w="5000"/>
        <w:tblLayout w:type="fixed"/>
        <w:tblLook w:firstRow="0" w:lastRow="0" w:firstColumn="0" w:lastColumn="0" w:noHBand="0" w:noVBand="0" w:val="0000"/>
      </w:tblPr>
      <w:tblGrid>
        <w:gridCol w:w="7920"/>
      </w:tblGrid>
      <w:tr>
        <w:tc>
          <w:tcPr/>
          <w:bookmarkStart w:id="133" w:name="tbl-abund"/>
          <w:p>
            <w:pPr>
              <w:jc w:val="center"/>
            </w:pPr>
            <w:pPr>
              <w:jc w:val="start"/>
              <w:spacing w:before="200"/>
              <w:pStyle w:val="ImageCaption"/>
            </w:pPr>
            <w:r>
              <w:t xml:space="preserve">Table 1: Table abundance.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Species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B-P05_rd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B-P05_th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B-P10_rd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B-P10_th</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B-P10_xx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unilineatus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Astyanax bimaculatus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marginatus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rodwayi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Astyanax fasciatus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Characidium bimaculatum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133"/>
        </w:tc>
      </w:tr>
    </w:tbl>
    <w:bookmarkEnd w:id="134"/>
    <w:bookmarkEnd w:id="135"/>
    <w:bookmarkStart w:id="136" w:name="apendices"/>
    <w:p>
      <w:pPr>
        <w:pStyle w:val="Ttulo1"/>
      </w:pPr>
      <w:r>
        <w:t xml:space="preserve">Apendices</w:t>
      </w:r>
    </w:p>
    <w:bookmarkEnd w:id="136"/>
    <w:bookmarkStart w:id="140" w:name="non-used-figures-and-tables"/>
    <w:p>
      <w:pPr>
        <w:pStyle w:val="Ttulo1"/>
      </w:pPr>
      <w:r>
        <w:t xml:space="preserve">Non-used figures and tables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C:\PROGRA~1\RStudio\RESOUR~1\app\bin\quarto\share\formats\docx\warning.png" id="139" name="Picture"/>
                          <pic:cNvPicPr>
                            <a:picLocks noChangeArrowheads="1" noChangeAspect="1"/>
                          </pic:cNvPicPr>
                        </pic:nvPicPr>
                        <pic:blipFill>
                          <a:blip r:embed="rId1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140"/>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7" Target="media/rId137.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hyperlink" Id="rId37" Target="https://credit.niso.org/" TargetMode="External" /><Relationship Type="http://schemas.openxmlformats.org/officeDocument/2006/relationships/hyperlink" Id="rId51"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3"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63" Target="https://doi.org/10.1007/s10750-006-0252-7" TargetMode="External" /><Relationship Type="http://schemas.openxmlformats.org/officeDocument/2006/relationships/hyperlink" Id="rId44" Target="https://doi.org/10.1007/s13530-020-00042-w" TargetMode="External" /><Relationship Type="http://schemas.openxmlformats.org/officeDocument/2006/relationships/hyperlink" Id="rId79" Target="https://doi.org/10.1016/S0027-5107(97)00265-0" TargetMode="External" /><Relationship Type="http://schemas.openxmlformats.org/officeDocument/2006/relationships/hyperlink" Id="rId75" Target="https://doi.org/10.1016/j.cbpc.2017.08.008" TargetMode="External" /><Relationship Type="http://schemas.openxmlformats.org/officeDocument/2006/relationships/hyperlink" Id="rId39" Target="https://doi.org/10.1016/j.ecoenv.2018.09.111" TargetMode="External" /><Relationship Type="http://schemas.openxmlformats.org/officeDocument/2006/relationships/hyperlink" Id="rId81" Target="https://doi.org/10.1016/j.mrfmmm.2004.06.006" TargetMode="External" /><Relationship Type="http://schemas.openxmlformats.org/officeDocument/2006/relationships/hyperlink" Id="rId48" Target="https://doi.org/10.1023/A:1026560922731" TargetMode="External" /><Relationship Type="http://schemas.openxmlformats.org/officeDocument/2006/relationships/hyperlink" Id="rId65" Target="https://doi.org/10.1038/35002501" TargetMode="External" /><Relationship Type="http://schemas.openxmlformats.org/officeDocument/2006/relationships/hyperlink" Id="rId31" Target="https://doi.org/10.14393/SN-v34-2022-60335" TargetMode="External" /><Relationship Type="http://schemas.openxmlformats.org/officeDocument/2006/relationships/hyperlink" Id="rId42" Target="https://doi.org/10.15560/13.5.581" TargetMode="External" /><Relationship Type="http://schemas.openxmlformats.org/officeDocument/2006/relationships/hyperlink" Id="rId68" Target="https://doi.org/10.1590/S1413-70542006000500027" TargetMode="External" /><Relationship Type="http://schemas.openxmlformats.org/officeDocument/2006/relationships/hyperlink" Id="rId57" Target="https://doi.org/10.1590/S1519-69842010000200004" TargetMode="External" /><Relationship Type="http://schemas.openxmlformats.org/officeDocument/2006/relationships/hyperlink" Id="rId77" Target="https://doi.org/10.5016/DT000610176" TargetMode="External" /><Relationship Type="http://schemas.openxmlformats.org/officeDocument/2006/relationships/hyperlink" Id="rId59" Target="https://encurtador.com.br/kLle" TargetMode="External" /><Relationship Type="http://schemas.openxmlformats.org/officeDocument/2006/relationships/hyperlink" Id="rId71"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37" Target="https://credit.niso.org/" TargetMode="External" /><Relationship Type="http://schemas.openxmlformats.org/officeDocument/2006/relationships/hyperlink" Id="rId51"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3"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63" Target="https://doi.org/10.1007/s10750-006-0252-7" TargetMode="External" /><Relationship Type="http://schemas.openxmlformats.org/officeDocument/2006/relationships/hyperlink" Id="rId44" Target="https://doi.org/10.1007/s13530-020-00042-w" TargetMode="External" /><Relationship Type="http://schemas.openxmlformats.org/officeDocument/2006/relationships/hyperlink" Id="rId79" Target="https://doi.org/10.1016/S0027-5107(97)00265-0" TargetMode="External" /><Relationship Type="http://schemas.openxmlformats.org/officeDocument/2006/relationships/hyperlink" Id="rId75" Target="https://doi.org/10.1016/j.cbpc.2017.08.008" TargetMode="External" /><Relationship Type="http://schemas.openxmlformats.org/officeDocument/2006/relationships/hyperlink" Id="rId39" Target="https://doi.org/10.1016/j.ecoenv.2018.09.111" TargetMode="External" /><Relationship Type="http://schemas.openxmlformats.org/officeDocument/2006/relationships/hyperlink" Id="rId81" Target="https://doi.org/10.1016/j.mrfmmm.2004.06.006" TargetMode="External" /><Relationship Type="http://schemas.openxmlformats.org/officeDocument/2006/relationships/hyperlink" Id="rId48" Target="https://doi.org/10.1023/A:1026560922731" TargetMode="External" /><Relationship Type="http://schemas.openxmlformats.org/officeDocument/2006/relationships/hyperlink" Id="rId65" Target="https://doi.org/10.1038/35002501" TargetMode="External" /><Relationship Type="http://schemas.openxmlformats.org/officeDocument/2006/relationships/hyperlink" Id="rId31" Target="https://doi.org/10.14393/SN-v34-2022-60335" TargetMode="External" /><Relationship Type="http://schemas.openxmlformats.org/officeDocument/2006/relationships/hyperlink" Id="rId42" Target="https://doi.org/10.15560/13.5.581" TargetMode="External" /><Relationship Type="http://schemas.openxmlformats.org/officeDocument/2006/relationships/hyperlink" Id="rId68" Target="https://doi.org/10.1590/S1413-70542006000500027" TargetMode="External" /><Relationship Type="http://schemas.openxmlformats.org/officeDocument/2006/relationships/hyperlink" Id="rId57" Target="https://doi.org/10.1590/S1519-69842010000200004" TargetMode="External" /><Relationship Type="http://schemas.openxmlformats.org/officeDocument/2006/relationships/hyperlink" Id="rId77" Target="https://doi.org/10.5016/DT000610176" TargetMode="External" /><Relationship Type="http://schemas.openxmlformats.org/officeDocument/2006/relationships/hyperlink" Id="rId59" Target="https://encurtador.com.br/kLle" TargetMode="External" /><Relationship Type="http://schemas.openxmlformats.org/officeDocument/2006/relationships/hyperlink" Id="rId7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2026-05-28T13:26:14Z</dcterms:created>
  <dcterms:modified xsi:type="dcterms:W3CDTF">2026-05-28T13:26:14Z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2026-05-28</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Physiological biomarkers of fish as predictors of habitat quality in an Atlantic Forest stream Linking fish physiological biomarkers to habitat integrity in an Atlantic Forest Stream</vt:lpwstr>
  </property>
  <property fmtid="{D5CDD505-2E9C-101B-9397-08002B2CF9AE}" pid="20" name="toc-title">
    <vt:lpwstr>Table of contents</vt:lpwstr>
  </property>
</Properties>
</file>