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4.png" ContentType="image/png"/>
  <Override PartName="/word/media/rId80.png" ContentType="image/png"/>
  <Override PartName="/word/media/rId85.png" ContentType="image/png"/>
  <Override PartName="/word/media/rId90.png" ContentType="image/png"/>
  <Override PartName="/word/media/rId95.png" ContentType="image/png"/>
  <Override PartName="/word/media/rId100.png" ContentType="image/png"/>
  <Override PartName="/word/media/rId105.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Subtitle 1</w:t>
      </w:r>
      <w:r>
        <w:t xml:space="preserve"> </w:t>
      </w:r>
      <w:r>
        <w:t xml:space="preserve">Subtitle 2</w:t>
      </w:r>
    </w:p>
    <w:p>
      <w:pPr>
        <w:pStyle w:val="Author"/>
      </w:pPr>
      <w:r>
        <w:t xml:space="preserve">Adamastor Coutinho Pinto</w:t>
      </w:r>
    </w:p>
    <w:p>
      <w:pPr>
        <w:pStyle w:val="Author"/>
      </w:pPr>
      <w:r>
        <w:t xml:space="preserve">Alice da Silva Barros</w:t>
      </w:r>
    </w:p>
    <w:p>
      <w:pPr>
        <w:pStyle w:val="Author"/>
      </w:pPr>
      <w:r>
        <w:t xml:space="preserve">Mayara Mirelly da Silva Monteiro</w:t>
      </w:r>
    </w:p>
    <w:p>
      <w:pPr>
        <w:pStyle w:val="Author"/>
      </w:pPr>
      <w:r>
        <w:t xml:space="preserve">Ellen Gomes da Silva</w:t>
      </w:r>
    </w:p>
    <w:p>
      <w:pPr>
        <w:pStyle w:val="Author"/>
      </w:pPr>
      <w:r>
        <w:t xml:space="preserve">Enelise Marcelle Amado</w:t>
      </w:r>
    </w:p>
    <w:p>
      <w:pPr>
        <w:pStyle w:val="Author"/>
      </w:pPr>
      <w:r>
        <w:t xml:space="preserve">Elvio Sergio Figueredo Medeiros</w:t>
      </w:r>
    </w:p>
    <w:p>
      <w:pPr>
        <w:pStyle w:val="Data"/>
      </w:pPr>
      <w:r>
        <w:t xml:space="preserve">2026-03-10</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loca0l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Fig.2">
        <w:r>
          <w:rPr>
            <w:rStyle w:val="Hyperlink"/>
          </w:rPr>
          <w:t xml:space="preserve">Fig.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n.d.)</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5" w:name="material-and-methods"/>
    <w:p>
      <w:pPr>
        <w:pStyle w:val="Ttulo1"/>
      </w:pPr>
      <w:r>
        <w:t xml:space="preserve">2. Material and Methods</w:t>
      </w:r>
    </w:p>
    <w:bookmarkStart w:id="21" w:name="collection-and-animal-maintenance"/>
    <w:p>
      <w:pPr>
        <w:pStyle w:val="Ttulo2"/>
      </w:pPr>
      <w:r>
        <w:t xml:space="preserve">2.1 Collection and animal maintenance</w:t>
      </w:r>
    </w:p>
    <w:p>
      <w:pPr>
        <w:pStyle w:val="FirstParagraph"/>
      </w:pPr>
      <w:r>
        <w:t xml:space="preserve">The sampling sites (</w:t>
      </w:r>
      <w:hyperlink w:anchor="fig-Fig.2">
        <w:r>
          <w:rPr>
            <w:rStyle w:val="Hyperlink"/>
          </w:rPr>
          <w:t xml:space="preserve">Fig. 2</w:t>
        </w:r>
      </w:hyperlink>
      <w:r>
        <w:t xml:space="preserve">) were cataloged and numbered by the co-author of this paper (Prof. Dr. Elvio Sérgio Figueredo Medeiros) in previous works, using three data points inside the Reserva Biológica Guaribas (n=92 fish collected) and three in the surrounding area (n=97), numbered, in order, P5 (n=29), P6 (n=31) and P7 (n=32), and P8 (n=28), P9 (n=35) and P10 (n=34), between October and November 2023.</w:t>
      </w:r>
    </w:p>
    <w:p>
      <w:pPr>
        <w:pStyle w:val="Corpodetexto"/>
      </w:pPr>
      <w:r>
        <w:t xml:space="preserve">In order to uniform the data, only fish from Hemigrammus Gill 1858</w:t>
      </w:r>
      <w:r>
        <w:t xml:space="preserve"> </w:t>
      </w:r>
      <w:r>
        <w:t xml:space="preserve">(Eschmeyer et al., 2016)</w:t>
      </w:r>
      <w:r>
        <w:t xml:space="preserve"> </w:t>
      </w:r>
      <w:r>
        <w:t xml:space="preserve">genera were analyzed, being found in every sampling site and in abundance, captured in the shallow waters of streams using a hand net in sweeping motion. To facilitate handling, the specimens were transported in plastic bags with air and local water to the Animal Ecophysiology Laboratory (LEFA) from UEPB - campus V (João Pessoa, Brazil). To analyze the osmoregulatory function of the fish, blood samples were collected from some specimens (38 fish from inside the reserve and 40 from outside, a total of 78). For that, those specimens were anesthetized with eugenol, and a blood aliquot was obtained by puncturing the heart using a pipette with a heparinized tip. The samples were kept on ice, and plasma was subsequently separated from cells by centrifugation. Due to low volume of obtained plasma, because of the small size of fish, the chlorine ions assay could not be performed. From those same specimens, gill and muscle were collected in order to calculate the moisture content of tissues. Plasma and tissues samples were stored in a freezer at -20°C until the analyses were performed. The other part of collected specimens (54 fish from inside the reserve and 57 from outside, a total of 111) was used in the multixenobiotic resistance (MXR) phenotype assay.</w:t>
      </w:r>
    </w:p>
    <w:p>
      <w:pPr>
        <w:pStyle w:val="Corpodetexto"/>
      </w:pPr>
      <w:r>
        <w:t xml:space="preserve">Abiotic data, such as water temperature, dissolved oxygen, pH and multiple nutrients were simultaneously collected with the fish, allowing additional statistical analysis that may point out possible correlations between physiological biotic data and these environment components (analysis performed in the integrated programming environment R and R Studio -</w:t>
      </w:r>
      <w:r>
        <w:t xml:space="preserve"> </w:t>
      </w:r>
      <w:r>
        <w:t xml:space="preserve">(R Core Team, 2017; RStudio Team, n.d.)</w:t>
      </w:r>
      <w:r>
        <w:t xml:space="preserve">).</w:t>
      </w:r>
    </w:p>
    <w:bookmarkEnd w:id="21"/>
    <w:bookmarkStart w:id="22" w:name="plasmatic-protein-dosage"/>
    <w:p>
      <w:pPr>
        <w:pStyle w:val="Ttulo2"/>
      </w:pPr>
      <w:r>
        <w:t xml:space="preserve">2.2 Plasmatic protein dosage</w:t>
      </w:r>
    </w:p>
    <w:p>
      <w:pPr>
        <w:pStyle w:val="FirstParagraph"/>
      </w:pP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bookmarkEnd w:id="22"/>
    <w:bookmarkStart w:id="23" w:name="moisture-content"/>
    <w:p>
      <w:pPr>
        <w:pStyle w:val="Ttulo2"/>
      </w:pPr>
      <w:r>
        <w:t xml:space="preserve">2.3 Moisture content</w:t>
      </w:r>
    </w:p>
    <w:p>
      <w:pPr>
        <w:pStyle w:val="FirstParagraph"/>
      </w:pP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bookmarkEnd w:id="23"/>
    <w:bookmarkStart w:id="24" w:name="mxr-phenotype-activity"/>
    <w:p>
      <w:pPr>
        <w:pStyle w:val="Ttulo2"/>
      </w:pPr>
      <w:r>
        <w:t xml:space="preserve">2.4 MXR phenotype activity</w:t>
      </w:r>
    </w:p>
    <w:p>
      <w:pPr>
        <w:pStyle w:val="FirstParagraph"/>
      </w:pP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bookmarkEnd w:id="24"/>
    <w:bookmarkEnd w:id="25"/>
    <w:bookmarkStart w:id="30" w:name="results"/>
    <w:p>
      <w:pPr>
        <w:pStyle w:val="Ttulo1"/>
      </w:pPr>
      <w:r>
        <w:t xml:space="preserve">3. Results</w:t>
      </w:r>
    </w:p>
    <w:bookmarkStart w:id="26" w:name="plasmatic-protein-dosage-1"/>
    <w:p>
      <w:pPr>
        <w:pStyle w:val="Ttulo2"/>
      </w:pPr>
      <w:r>
        <w:t xml:space="preserve">3.1 Plasmatic protein dosage</w:t>
      </w:r>
    </w:p>
    <w:p>
      <w:pPr>
        <w:pStyle w:val="FirstParagraph"/>
      </w:pPr>
      <w:r>
        <w:t xml:space="preserve">The average plasmatic protein concentration, parameter that ispositively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Figure%202">
        <w:r>
          <w:rPr>
            <w:rStyle w:val="Hyperlink"/>
          </w:rPr>
          <w:t xml:space="preserve">Fig. 3</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"C:/Users/ellen/Downloads/Manuscritos/mxr23_Q"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fig.4">
        <w:r>
          <w:rPr>
            <w:rStyle w:val="Hyperlink"/>
          </w:rPr>
          <w:t xml:space="preserve">Fig. 4</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bookmarkEnd w:id="26"/>
    <w:bookmarkStart w:id="27" w:name="moisture-content-1"/>
    <w:p>
      <w:pPr>
        <w:pStyle w:val="Ttulo2"/>
      </w:pPr>
      <w:r>
        <w:t xml:space="preserve">3.2 Moisture content</w:t>
      </w:r>
    </w:p>
    <w:p>
      <w:pPr>
        <w:pStyle w:val="FirstParagraph"/>
      </w:pP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 Haredi (2020). However, through T test (gills, which data had normal variation) and Kruskal-Wallis test (muscle, with non-normal variation data), it was detected statistical difference for both tissues between fish from the sampling sites inside and outside the Guaribas (</w:t>
      </w:r>
      <w:hyperlink w:anchor="fig-fig.5">
        <w:r>
          <w:rPr>
            <w:rStyle w:val="Hyperlink"/>
          </w:rPr>
          <w:t xml:space="preserve">Fig. 5</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fig.6">
        <w:r>
          <w:rPr>
            <w:rStyle w:val="Hyperlink"/>
          </w:rPr>
          <w:t xml:space="preserve">Fig. 6</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bookmarkEnd w:id="27"/>
    <w:bookmarkStart w:id="28" w:name="mxr-phenotype-activity-1"/>
    <w:p>
      <w:pPr>
        <w:pStyle w:val="Ttulo2"/>
      </w:pPr>
      <w:r>
        <w:t xml:space="preserve">3.3 MXR phenotype activity</w:t>
      </w:r>
    </w:p>
    <w:p>
      <w:pPr>
        <w:pStyle w:val="FirstParagraph"/>
      </w:pP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 Kurelec et al. (2000).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 (Smital, 2004) Despite the unexpected result, the variance difference between data from the MXR phenotype activity inside and outside the ReBio Guaribas (confirmed by the Kruskal-Wallis test and illustrated in</w:t>
      </w:r>
      <w:r>
        <w:t xml:space="preserve"> </w:t>
      </w:r>
      <w:hyperlink w:anchor="fig-fig.7">
        <w:r>
          <w:rPr>
            <w:rStyle w:val="Hyperlink"/>
          </w:rPr>
          <w:t xml:space="preserve">Fig. 7</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fig.8">
        <w:r>
          <w:rPr>
            <w:rStyle w:val="Hyperlink"/>
          </w:rPr>
          <w:t xml:space="preserve">Fig. 8</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bookmarkEnd w:id="28"/>
    <w:bookmarkStart w:id="29" w:name="abiotic-data"/>
    <w:p>
      <w:pPr>
        <w:pStyle w:val="Ttulo2"/>
      </w:pPr>
      <w:r>
        <w:t xml:space="preserve">3.4 Abiotic data</w:t>
      </w:r>
    </w:p>
    <w:p>
      <w:pPr>
        <w:pStyle w:val="FirstParagraph"/>
      </w:pP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9"/>
    <w:bookmarkEnd w:id="30"/>
    <w:bookmarkStart w:id="31"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 9, highlighting the total protein as one that proved itself as an excellent biomarker to detect pollutants in the aquatic environment.</w:t>
      </w:r>
    </w:p>
    <w:p>
      <w:pPr>
        <w:pStyle w:val="Corpodetexto"/>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31"/>
    <w:bookmarkStart w:id="32" w:name="conclusions"/>
    <w:p>
      <w:pPr>
        <w:pStyle w:val="Ttulo1"/>
      </w:pPr>
      <w:r>
        <w:t xml:space="preserve">Conclusions</w:t>
      </w:r>
    </w:p>
    <w:bookmarkEnd w:id="32"/>
    <w:bookmarkStart w:id="33" w:name="acknowledgements"/>
    <w:p>
      <w:pPr>
        <w:pStyle w:val="Ttulo1"/>
      </w:pPr>
      <w:r>
        <w:t xml:space="preserve">Acknowledgements</w:t>
      </w:r>
    </w:p>
    <w:bookmarkEnd w:id="33"/>
    <w:bookmarkStart w:id="34"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Conceptualization, Data curation, Formal analysis, Investigation, Software, Visualization, Writing – review &amp; editing, Writing – original draft. Author2: Data curation, Formal analysis, Software, Writing – review &amp; editing. Author3: Data curation, Formal analysis, Software, Writing – review &amp; editing. Author4:Data curation, Formal analysis, Software, Writing – review &amp; editing. Author5: Conceptualization, Data curation, Methodology, Project administration, Resources, Supervision, Validation, Writing – review &amp; editing. Author6: Conceptualization, Data curation, Formal analysis, Funding acquisition, Methodology, Project administration, Resources, Software, Supervision, Validation, Writing – review &amp; editing.</w:t>
      </w:r>
    </w:p>
    <w:bookmarkEnd w:id="34"/>
    <w:bookmarkStart w:id="35"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(CEUA-048/2023 and SISBIO-89415-2).</w:t>
      </w:r>
    </w:p>
    <w:bookmarkEnd w:id="35"/>
    <w:bookmarkStart w:id="74" w:name="references"/>
    <w:p>
      <w:pPr>
        <w:pStyle w:val="Ttulo1"/>
      </w:pPr>
      <w:r>
        <w:t xml:space="preserve">References</w:t>
      </w:r>
    </w:p>
    <w:bookmarkStart w:id="73" w:name="refs"/>
    <w:bookmarkStart w:id="37"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6">
        <w:r>
          <w:rPr>
            <w:rStyle w:val="Hyperlink"/>
          </w:rPr>
          <w:t xml:space="preserve">https://doi.org/10.1002/wer.1221</w:t>
        </w:r>
      </w:hyperlink>
    </w:p>
    <w:bookmarkEnd w:id="37"/>
    <w:bookmarkStart w:id="38"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8"/>
    <w:bookmarkStart w:id="40"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9">
        <w:r>
          <w:rPr>
            <w:rStyle w:val="Hyperlink"/>
          </w:rPr>
          <w:t xml:space="preserve">https://doi.org/10.14393/SN-v34-2022-60335</w:t>
        </w:r>
      </w:hyperlink>
    </w:p>
    <w:bookmarkEnd w:id="40"/>
    <w:bookmarkStart w:id="42"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41">
        <w:r>
          <w:rPr>
            <w:rStyle w:val="Hyperlink"/>
          </w:rPr>
          <w:t xml:space="preserve">https://doi.org/10.1007/s10669-011-9380-3</w:t>
        </w:r>
      </w:hyperlink>
    </w:p>
    <w:bookmarkEnd w:id="42"/>
    <w:bookmarkStart w:id="43"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3"/>
    <w:bookmarkStart w:id="45"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44">
        <w:r>
          <w:rPr>
            <w:rStyle w:val="Hyperlink"/>
          </w:rPr>
          <w:t xml:space="preserve">https://credit.niso.org/</w:t>
        </w:r>
      </w:hyperlink>
    </w:p>
    <w:bookmarkEnd w:id="45"/>
    <w:bookmarkStart w:id="47"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6">
        <w:r>
          <w:rPr>
            <w:rStyle w:val="Hyperlink"/>
          </w:rPr>
          <w:t xml:space="preserve">https://doi.org/10.1016/j.ecoenv.2018.09.111</w:t>
        </w:r>
      </w:hyperlink>
    </w:p>
    <w:bookmarkEnd w:id="47"/>
    <w:bookmarkStart w:id="48" w:name="ref-eschmeyer2016"/>
    <w:p>
      <w:pPr>
        <w:pStyle w:val="Bibliografia"/>
      </w:pPr>
      <w:r>
        <w:t xml:space="preserve">Eschmeyer, W., Fricke, R., &amp; Van der Laan, R. (2016).</w:t>
      </w:r>
      <w:r>
        <w:t xml:space="preserve"> </w:t>
      </w:r>
      <w:r>
        <w:rPr>
          <w:i/>
          <w:iCs/>
        </w:rPr>
        <w:t xml:space="preserve">Catalog of fishes: Genera, species, references</w:t>
      </w:r>
      <w:r>
        <w:t xml:space="preserve">.</w:t>
      </w:r>
    </w:p>
    <w:bookmarkEnd w:id="48"/>
    <w:bookmarkStart w:id="49"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9"/>
    <w:bookmarkStart w:id="51"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0">
        <w:r>
          <w:rPr>
            <w:rStyle w:val="Hyperlink"/>
          </w:rPr>
          <w:t xml:space="preserve">https://doi.org/10.15560/13.5.581</w:t>
        </w:r>
      </w:hyperlink>
    </w:p>
    <w:bookmarkEnd w:id="51"/>
    <w:bookmarkStart w:id="52"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52"/>
    <w:bookmarkStart w:id="54"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53">
        <w:r>
          <w:rPr>
            <w:rStyle w:val="Hyperlink"/>
          </w:rPr>
          <w:t xml:space="preserve">https://doi.org/10.1023/A:1026560922731</w:t>
        </w:r>
      </w:hyperlink>
    </w:p>
    <w:bookmarkEnd w:id="54"/>
    <w:bookmarkStart w:id="56" w:name="ref-masullo2020"/>
    <w:p>
      <w:pPr>
        <w:pStyle w:val="Bibliografia"/>
      </w:pPr>
      <w:r>
        <w:t xml:space="preserve">Masullo, Y. A. G., Gurgel, H. da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 https://doi.org/</w:t>
      </w:r>
      <w:hyperlink r:id="rId55">
        <w:r>
          <w:rPr>
            <w:rStyle w:val="Hyperlink"/>
          </w:rPr>
          <w:t xml:space="preserve">https://doi.org/10.12957/tamoios.2020.51272</w:t>
        </w:r>
      </w:hyperlink>
    </w:p>
    <w:bookmarkEnd w:id="56"/>
    <w:bookmarkStart w:id="58" w:name="ref-ministériodomeioambiente"/>
    <w:p>
      <w:pPr>
        <w:pStyle w:val="Bibliografia"/>
      </w:pPr>
      <w:r>
        <w:t xml:space="preserve">Ministério do Meio Ambiente. (n.d.).</w:t>
      </w:r>
      <w:r>
        <w:t xml:space="preserve"> </w:t>
      </w:r>
      <w:r>
        <w:rPr>
          <w:i/>
          <w:iCs/>
        </w:rPr>
        <w:t xml:space="preserve">Painel unidades de conservação</w:t>
      </w:r>
      <w:r>
        <w:t xml:space="preserve">. Retrieved</w:t>
      </w:r>
      <w:r>
        <w:t xml:space="preserve"> </w:t>
      </w:r>
      <w:hyperlink r:id="rId57">
        <w:r>
          <w:rPr>
            <w:rStyle w:val="Hyperlink"/>
          </w:rPr>
          <w:t xml:space="preserve">https://app.powerbi.com/view?r=eyJrIjoiMGNmMGY3NGMtNWZlOC00ZmRmLWExZWItNTNiNDhkZDg0MmY4IiwidCI6IjM5NTdhMzY3LTZkMzgtNGMxZi1hNGJhLTMzZThmM2M1NTBlNyJ9&amp;pageName=ReportSectione0a112a2a9e0cf52a827</w:t>
        </w:r>
      </w:hyperlink>
    </w:p>
    <w:bookmarkEnd w:id="58"/>
    <w:bookmarkStart w:id="59"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59"/>
    <w:bookmarkStart w:id="61"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0">
        <w:r>
          <w:rPr>
            <w:rStyle w:val="Hyperlink"/>
          </w:rPr>
          <w:t xml:space="preserve">https://doi.org/10.1038/35002501</w:t>
        </w:r>
      </w:hyperlink>
    </w:p>
    <w:bookmarkEnd w:id="61"/>
    <w:bookmarkStart w:id="63"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2">
        <w:r>
          <w:rPr>
            <w:rStyle w:val="Hyperlink"/>
          </w:rPr>
          <w:t xml:space="preserve">https://doi.org/10.1590/S1413-70542006000500027</w:t>
        </w:r>
      </w:hyperlink>
    </w:p>
    <w:bookmarkEnd w:id="63"/>
    <w:bookmarkStart w:id="65"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64">
        <w:r>
          <w:rPr>
            <w:rStyle w:val="Hyperlink"/>
          </w:rPr>
          <w:t xml:space="preserve">https://www.R-project.org/</w:t>
        </w:r>
      </w:hyperlink>
    </w:p>
    <w:bookmarkEnd w:id="65"/>
    <w:bookmarkStart w:id="66" w:name="ref-rstudioteam"/>
    <w:p>
      <w:pPr>
        <w:pStyle w:val="Bibliografia"/>
      </w:pPr>
      <w:r>
        <w:t xml:space="preserve">RStudio Team. (n.d.).</w:t>
      </w:r>
      <w:r>
        <w:t xml:space="preserve"> </w:t>
      </w:r>
      <w:r>
        <w:rPr>
          <w:i/>
          <w:iCs/>
        </w:rPr>
        <w:t xml:space="preserve">RStudio: Integrated Development Environment for R</w:t>
      </w:r>
      <w:r>
        <w:t xml:space="preserve">.</w:t>
      </w:r>
    </w:p>
    <w:bookmarkEnd w:id="66"/>
    <w:bookmarkStart w:id="67"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67"/>
    <w:bookmarkStart w:id="69"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68">
        <w:r>
          <w:rPr>
            <w:rStyle w:val="Hyperlink"/>
          </w:rPr>
          <w:t xml:space="preserve">https://doi.org/10.5016/DT000610176</w:t>
        </w:r>
      </w:hyperlink>
    </w:p>
    <w:bookmarkEnd w:id="69"/>
    <w:bookmarkStart w:id="71"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0">
        <w:r>
          <w:rPr>
            <w:rStyle w:val="Hyperlink"/>
          </w:rPr>
          <w:t xml:space="preserve">https://doi.org/10.1016/S0027-5107(97)00265-0</w:t>
        </w:r>
      </w:hyperlink>
    </w:p>
    <w:bookmarkEnd w:id="71"/>
    <w:bookmarkStart w:id="72"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72"/>
    <w:bookmarkEnd w:id="73"/>
    <w:bookmarkEnd w:id="74"/>
    <w:bookmarkStart w:id="112" w:name="figures-and-tables"/>
    <w:p>
      <w:pPr>
        <w:pStyle w:val="Ttulo1"/>
      </w:pPr>
      <w:r>
        <w:t xml:space="preserve">Figures and Tables</w:t>
      </w:r>
    </w:p>
    <w:bookmarkStart w:id="110"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79" w:name="fig-Fig.2"/>
          <w:p>
            <w:pPr>
              <w:pStyle w:val="Compact"/>
              <w:jc w:val="center"/>
            </w:pPr>
            <w:bookmarkStart w:id="78" w:name="fig-Fig.2"/>
            <w:r>
              <w:drawing>
                <wp:inline>
                  <wp:extent cx="5600700" cy="3959578"/>
                  <wp:effectExtent b="0" l="0" r="0" t="0"/>
                  <wp:docPr descr="" title="Location of sampling sites within (P5 - 06°43'06,58555'' S, 35°10'54,70041''W -, P6 - 06°42'38,71927''S, 35°10'38,68013''W - and P7 - 06°43'06,58555''S, 35°10'54,70041''W) and surrounding ReBio Guaribas (P8 - 06°41'46,29119''S, 35°10'36,09933''W -, P9 - 06°40'56,47593''S, 35°10'27,84963''W - and P10 - 06°40'18,97010''S, 35°10'34,68148''W). In total, 92 fish were collected inside the Conservation Unity and 97 outside it." id="76" name="Picture"/>
                  <a:graphic>
                    <a:graphicData uri="http://schemas.openxmlformats.org/drawingml/2006/picture">
                      <pic:pic>
                        <pic:nvPicPr>
                          <pic:cNvPr descr="imagens/mapa.png" id="77" name="Picture"/>
                          <pic:cNvPicPr>
                            <a:picLocks noChangeArrowheads="1" noChangeAspect="1"/>
                          </pic:cNvPicPr>
                        </pic:nvPicPr>
                        <pic:blipFill>
                          <a:blip r:embed="rId75"/>
                          <a:stretch>
                            <a:fillRect/>
                          </a:stretch>
                        </pic:blipFill>
                        <pic:spPr bwMode="auto">
                          <a:xfrm>
                            <a:off x="0" y="0"/>
                            <a:ext cx="5600700" cy="3959578"/>
                          </a:xfrm>
                          <a:prstGeom prst="rect">
                            <a:avLst/>
                          </a:prstGeom>
                          <a:noFill/>
                          <a:ln w="9525">
                            <a:noFill/>
                            <a:headEnd/>
                            <a:tailEnd/>
                          </a:ln>
                        </pic:spPr>
                      </pic:pic>
                    </a:graphicData>
                  </a:graphic>
                </wp:inline>
              </w:drawing>
            </w:r>
            <w:bookmarkEnd w:id="78"/>
          </w:p>
          <w:p>
            <w:pPr>
              <w:jc w:val="center"/>
            </w:pPr>
            <w:pPr>
              <w:jc w:val="left"/>
              <w:spacing w:before="200"/>
              <w:pStyle w:val="ImageCaption"/>
            </w:pPr>
            <w:r>
              <w:t xml:space="preserve">Figure 1</w:t>
            </w:r>
          </w:p>
          <w:bookmarkEnd w:id="7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84" w:name="fig-Fig.3"/>
          <w:p>
            <w:pPr>
              <w:pStyle w:val="Compact"/>
              <w:jc w:val="center"/>
            </w:pPr>
            <w:bookmarkStart w:id="83" w:name="fig-Fig.3"/>
            <w:r>
              <w:drawing>
                <wp:inline>
                  <wp:extent cx="5600700" cy="3843033"/>
                  <wp:effectExtent b="0" l="0" r="0" t="0"/>
                  <wp:docPr descr="" title="Total protein (mg) variance of data inside and outside ReBio Guaribas." id="81" name="Picture"/>
                  <a:graphic>
                    <a:graphicData uri="http://schemas.openxmlformats.org/drawingml/2006/picture">
                      <pic:pic>
                        <pic:nvPicPr>
                          <pic:cNvPr descr="imagens/Figura%203.png" id="82" name="Picture"/>
                          <pic:cNvPicPr>
                            <a:picLocks noChangeArrowheads="1" noChangeAspect="1"/>
                          </pic:cNvPicPr>
                        </pic:nvPicPr>
                        <pic:blipFill>
                          <a:blip r:embed="rId80"/>
                          <a:stretch>
                            <a:fillRect/>
                          </a:stretch>
                        </pic:blipFill>
                        <pic:spPr bwMode="auto">
                          <a:xfrm>
                            <a:off x="0" y="0"/>
                            <a:ext cx="5600700" cy="3843033"/>
                          </a:xfrm>
                          <a:prstGeom prst="rect">
                            <a:avLst/>
                          </a:prstGeom>
                          <a:noFill/>
                          <a:ln w="9525">
                            <a:noFill/>
                            <a:headEnd/>
                            <a:tailEnd/>
                          </a:ln>
                        </pic:spPr>
                      </pic:pic>
                    </a:graphicData>
                  </a:graphic>
                </wp:inline>
              </w:drawing>
            </w:r>
            <w:bookmarkEnd w:id="83"/>
          </w:p>
          <w:p>
            <w:pPr>
              <w:jc w:val="center"/>
            </w:pPr>
            <w:pPr>
              <w:jc w:val="left"/>
              <w:spacing w:before="200"/>
              <w:pStyle w:val="ImageCaption"/>
            </w:pPr>
            <w:r>
              <w:t xml:space="preserve">Figure 2</w:t>
            </w:r>
          </w:p>
          <w:bookmarkEnd w:id="8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89" w:name="fig-fig.4"/>
          <w:p>
            <w:pPr>
              <w:pStyle w:val="Compact"/>
              <w:jc w:val="center"/>
            </w:pPr>
            <w:bookmarkStart w:id="88" w:name="fig-fig.4"/>
            <w:r>
              <w:drawing>
                <wp:inline>
                  <wp:extent cx="5600700" cy="3843033"/>
                  <wp:effectExtent b="0" l="0" r="0" t="0"/>
                  <wp:docPr descr="" title="Boxplot with total protein data of collected fish from the sampling sites inside (green) and outside ReBio Guaribas (red), including its respective grouping by similarity above each box." id="86" name="Picture"/>
                  <a:graphic>
                    <a:graphicData uri="http://schemas.openxmlformats.org/drawingml/2006/picture">
                      <pic:pic>
                        <pic:nvPicPr>
                          <pic:cNvPr descr="imagens/Figura%204.png" id="87" name="Picture"/>
                          <pic:cNvPicPr>
                            <a:picLocks noChangeArrowheads="1" noChangeAspect="1"/>
                          </pic:cNvPicPr>
                        </pic:nvPicPr>
                        <pic:blipFill>
                          <a:blip r:embed="rId85"/>
                          <a:stretch>
                            <a:fillRect/>
                          </a:stretch>
                        </pic:blipFill>
                        <pic:spPr bwMode="auto">
                          <a:xfrm>
                            <a:off x="0" y="0"/>
                            <a:ext cx="5600700" cy="3843033"/>
                          </a:xfrm>
                          <a:prstGeom prst="rect">
                            <a:avLst/>
                          </a:prstGeom>
                          <a:noFill/>
                          <a:ln w="9525">
                            <a:noFill/>
                            <a:headEnd/>
                            <a:tailEnd/>
                          </a:ln>
                        </pic:spPr>
                      </pic:pic>
                    </a:graphicData>
                  </a:graphic>
                </wp:inline>
              </w:drawing>
            </w:r>
            <w:bookmarkEnd w:id="88"/>
          </w:p>
          <w:p>
            <w:pPr>
              <w:jc w:val="center"/>
            </w:pPr>
            <w:pPr>
              <w:jc w:val="left"/>
              <w:spacing w:before="200"/>
              <w:pStyle w:val="ImageCaption"/>
            </w:pPr>
            <w:r>
              <w:t xml:space="preserve">Figure 3</w:t>
            </w:r>
          </w:p>
          <w:bookmarkEnd w:id="8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4" w:name="fig-fig.5"/>
          <w:p>
            <w:pPr>
              <w:pStyle w:val="Compact"/>
              <w:jc w:val="center"/>
            </w:pPr>
            <w:bookmarkStart w:id="93" w:name="fig-fig.5"/>
            <w:r>
              <w:drawing>
                <wp:inline>
                  <wp:extent cx="5600700" cy="3843033"/>
                  <wp:effectExtent b="0" l="0" r="0" t="0"/>
                  <wp:docPr descr="" title="Moisture content (%) of tissues from sampling sites inside and outside the ReBio Guaribas, with the respective p-value between each locality." id="91" name="Picture"/>
                  <a:graphic>
                    <a:graphicData uri="http://schemas.openxmlformats.org/drawingml/2006/picture">
                      <pic:pic>
                        <pic:nvPicPr>
                          <pic:cNvPr descr="imagens/Figura%205.png" id="92" name="Picture"/>
                          <pic:cNvPicPr>
                            <a:picLocks noChangeArrowheads="1" noChangeAspect="1"/>
                          </pic:cNvPicPr>
                        </pic:nvPicPr>
                        <pic:blipFill>
                          <a:blip r:embed="rId90"/>
                          <a:stretch>
                            <a:fillRect/>
                          </a:stretch>
                        </pic:blipFill>
                        <pic:spPr bwMode="auto">
                          <a:xfrm>
                            <a:off x="0" y="0"/>
                            <a:ext cx="5600700" cy="3843033"/>
                          </a:xfrm>
                          <a:prstGeom prst="rect">
                            <a:avLst/>
                          </a:prstGeom>
                          <a:noFill/>
                          <a:ln w="9525">
                            <a:noFill/>
                            <a:headEnd/>
                            <a:tailEnd/>
                          </a:ln>
                        </pic:spPr>
                      </pic:pic>
                    </a:graphicData>
                  </a:graphic>
                </wp:inline>
              </w:drawing>
            </w:r>
            <w:bookmarkEnd w:id="93"/>
          </w:p>
          <w:p>
            <w:pPr>
              <w:jc w:val="center"/>
            </w:pPr>
            <w:pPr>
              <w:jc w:val="left"/>
              <w:spacing w:before="200"/>
              <w:pStyle w:val="ImageCaption"/>
            </w:pPr>
            <w:r>
              <w:t xml:space="preserve">Figure 4</w:t>
            </w:r>
          </w:p>
          <w:bookmarkEnd w:id="9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9" w:name="fig-fig.6"/>
          <w:p>
            <w:pPr>
              <w:pStyle w:val="Compact"/>
              <w:jc w:val="center"/>
            </w:pPr>
            <w:bookmarkStart w:id="98" w:name="fig-fig.6"/>
            <w:r>
              <w:drawing>
                <wp:inline>
                  <wp:extent cx="5600700" cy="3843033"/>
                  <wp:effectExtent b="0" l="0" r="0" t="0"/>
                  <wp:docPr descr="" title="Boxplot with gill and muscle moisture content data of fish collected from sites inside (green) and outside ReBio Guaribas (red), with its respective grouping by similarity above each box." id="96" name="Picture"/>
                  <a:graphic>
                    <a:graphicData uri="http://schemas.openxmlformats.org/drawingml/2006/picture">
                      <pic:pic>
                        <pic:nvPicPr>
                          <pic:cNvPr descr="imagens/Figura%206.png" id="97" name="Picture"/>
                          <pic:cNvPicPr>
                            <a:picLocks noChangeArrowheads="1" noChangeAspect="1"/>
                          </pic:cNvPicPr>
                        </pic:nvPicPr>
                        <pic:blipFill>
                          <a:blip r:embed="rId95"/>
                          <a:stretch>
                            <a:fillRect/>
                          </a:stretch>
                        </pic:blipFill>
                        <pic:spPr bwMode="auto">
                          <a:xfrm>
                            <a:off x="0" y="0"/>
                            <a:ext cx="5600700" cy="3843033"/>
                          </a:xfrm>
                          <a:prstGeom prst="rect">
                            <a:avLst/>
                          </a:prstGeom>
                          <a:noFill/>
                          <a:ln w="9525">
                            <a:noFill/>
                            <a:headEnd/>
                            <a:tailEnd/>
                          </a:ln>
                        </pic:spPr>
                      </pic:pic>
                    </a:graphicData>
                  </a:graphic>
                </wp:inline>
              </w:drawing>
            </w:r>
            <w:bookmarkEnd w:id="98"/>
          </w:p>
          <w:p>
            <w:pPr>
              <w:jc w:val="center"/>
            </w:pPr>
            <w:pPr>
              <w:jc w:val="left"/>
              <w:spacing w:before="200"/>
              <w:pStyle w:val="ImageCaption"/>
            </w:pPr>
            <w:r>
              <w:t xml:space="preserve">Figure 5</w:t>
            </w:r>
          </w:p>
          <w:bookmarkEnd w:id="9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4" w:name="fig-fig.7"/>
          <w:p>
            <w:pPr>
              <w:pStyle w:val="Compact"/>
              <w:jc w:val="center"/>
            </w:pPr>
            <w:bookmarkStart w:id="103" w:name="fig-fig.7"/>
            <w:r>
              <w:drawing>
                <wp:inline>
                  <wp:extent cx="5600700" cy="3843033"/>
                  <wp:effectExtent b="0" l="0" r="0" t="0"/>
                  <wp:docPr descr="" title="Average fluorescence data from sampling sites inside and outside the ReBio Guaribas, expressed by relative fluorescence units/milligrammes of tissue (gill)." id="101" name="Picture"/>
                  <a:graphic>
                    <a:graphicData uri="http://schemas.openxmlformats.org/drawingml/2006/picture">
                      <pic:pic>
                        <pic:nvPicPr>
                          <pic:cNvPr descr="imagens/Figura%207.png" id="102" name="Picture"/>
                          <pic:cNvPicPr>
                            <a:picLocks noChangeArrowheads="1" noChangeAspect="1"/>
                          </pic:cNvPicPr>
                        </pic:nvPicPr>
                        <pic:blipFill>
                          <a:blip r:embed="rId100"/>
                          <a:stretch>
                            <a:fillRect/>
                          </a:stretch>
                        </pic:blipFill>
                        <pic:spPr bwMode="auto">
                          <a:xfrm>
                            <a:off x="0" y="0"/>
                            <a:ext cx="5600700" cy="3843033"/>
                          </a:xfrm>
                          <a:prstGeom prst="rect">
                            <a:avLst/>
                          </a:prstGeom>
                          <a:noFill/>
                          <a:ln w="9525">
                            <a:noFill/>
                            <a:headEnd/>
                            <a:tailEnd/>
                          </a:ln>
                        </pic:spPr>
                      </pic:pic>
                    </a:graphicData>
                  </a:graphic>
                </wp:inline>
              </w:drawing>
            </w:r>
            <w:bookmarkEnd w:id="103"/>
          </w:p>
          <w:p>
            <w:pPr>
              <w:jc w:val="center"/>
            </w:pPr>
            <w:pPr>
              <w:jc w:val="left"/>
              <w:spacing w:before="200"/>
              <w:pStyle w:val="ImageCaption"/>
            </w:pPr>
            <w:r>
              <w:t xml:space="preserve">Figure 6</w:t>
            </w:r>
          </w:p>
          <w:bookmarkEnd w:id="10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9" w:name="fig-fig.8"/>
          <w:p>
            <w:pPr>
              <w:pStyle w:val="Compact"/>
              <w:jc w:val="center"/>
            </w:pPr>
            <w:bookmarkStart w:id="108" w:name="fig-fig.8"/>
            <w:r>
              <w:drawing>
                <wp:inline>
                  <wp:extent cx="5600700" cy="3843033"/>
                  <wp:effectExtent b="0" l="0" r="0" t="0"/>
                  <wp:docPr descr="" title="Boxplot with the MXR phenotype activity data of fish collected from sites inside (green) and outside the ReBio Guaribas (red), with its respective grouping by similarity above each box." id="106" name="Picture"/>
                  <a:graphic>
                    <a:graphicData uri="http://schemas.openxmlformats.org/drawingml/2006/picture">
                      <pic:pic>
                        <pic:nvPicPr>
                          <pic:cNvPr descr="imagens/Figura%208.png" id="107" name="Picture"/>
                          <pic:cNvPicPr>
                            <a:picLocks noChangeArrowheads="1" noChangeAspect="1"/>
                          </pic:cNvPicPr>
                        </pic:nvPicPr>
                        <pic:blipFill>
                          <a:blip r:embed="rId105"/>
                          <a:stretch>
                            <a:fillRect/>
                          </a:stretch>
                        </pic:blipFill>
                        <pic:spPr bwMode="auto">
                          <a:xfrm>
                            <a:off x="0" y="0"/>
                            <a:ext cx="5600700" cy="3843033"/>
                          </a:xfrm>
                          <a:prstGeom prst="rect">
                            <a:avLst/>
                          </a:prstGeom>
                          <a:noFill/>
                          <a:ln w="9525">
                            <a:noFill/>
                            <a:headEnd/>
                            <a:tailEnd/>
                          </a:ln>
                        </pic:spPr>
                      </pic:pic>
                    </a:graphicData>
                  </a:graphic>
                </wp:inline>
              </w:drawing>
            </w:r>
            <w:bookmarkEnd w:id="108"/>
          </w:p>
          <w:p>
            <w:pPr>
              <w:jc w:val="center"/>
            </w:pPr>
            <w:pPr>
              <w:jc w:val="left"/>
              <w:spacing w:before="200"/>
              <w:pStyle w:val="ImageCaption"/>
            </w:pPr>
            <w:r>
              <w:t xml:space="preserve">Figure 7</w:t>
            </w:r>
          </w:p>
          <w:bookmarkEnd w:id="109"/>
        </w:tc>
      </w:tr>
    </w:tbl>
    <w:bookmarkEnd w:id="110"/>
    <w:bookmarkStart w:id="111" w:name="tables"/>
    <w:p>
      <w:pPr>
        <w:pStyle w:val="Ttulo2"/>
      </w:pPr>
      <w:r>
        <w:t xml:space="preserve">Tables</w:t>
      </w:r>
    </w:p>
    <w:bookmarkEnd w:id="111"/>
    <w:bookmarkEnd w:id="112"/>
    <w:bookmarkStart w:id="113" w:name="apendices"/>
    <w:p>
      <w:pPr>
        <w:pStyle w:val="Ttulo1"/>
      </w:pPr>
      <w:r>
        <w:t xml:space="preserve">Apendices</w:t>
      </w:r>
    </w:p>
    <w:bookmarkEnd w:id="113"/>
    <w:bookmarkStart w:id="117"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C:\PROGRA~1\RStudio\RESOUR~1\app\bin\quarto\share\formats\docx\warning.png" id="116"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17"/>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4" Target="media/rId114.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100" Target="media/rId100.png" /><Relationship Type="http://schemas.openxmlformats.org/officeDocument/2006/relationships/image" Id="rId105" Target="media/rId105.png" /><Relationship Type="http://schemas.openxmlformats.org/officeDocument/2006/relationships/image" Id="rId75" Target="media/rId75.png" /><Relationship Type="http://schemas.openxmlformats.org/officeDocument/2006/relationships/hyperlink" Id="rId57" Target="https://app.powerbi.com/view?r=eyJrIjoiMGNmMGY3NGMtNWZlOC00ZmRmLWExZWItNTNiNDhkZDg0MmY4IiwidCI6IjM5NTdhMzY3LTZkMzgtNGMxZi1hNGJhLTMzZThmM2M1NTBlNyJ9&amp;pageName=ReportSectione0a112a2a9e0cf52a827" TargetMode="External" /><Relationship Type="http://schemas.openxmlformats.org/officeDocument/2006/relationships/hyperlink" Id="rId44" Target="https://credit.niso.org/" TargetMode="External" /><Relationship Type="http://schemas.openxmlformats.org/officeDocument/2006/relationships/hyperlink" Id="rId36" Target="https://doi.org/10.1002/wer.1221" TargetMode="External" /><Relationship Type="http://schemas.openxmlformats.org/officeDocument/2006/relationships/hyperlink" Id="rId41" Target="https://doi.org/10.1007/s10669-011-9380-3" TargetMode="External" /><Relationship Type="http://schemas.openxmlformats.org/officeDocument/2006/relationships/hyperlink" Id="rId70" Target="https://doi.org/10.1016/S0027-5107(97)00265-0" TargetMode="External" /><Relationship Type="http://schemas.openxmlformats.org/officeDocument/2006/relationships/hyperlink" Id="rId46" Target="https://doi.org/10.1016/j.ecoenv.2018.09.111" TargetMode="External" /><Relationship Type="http://schemas.openxmlformats.org/officeDocument/2006/relationships/hyperlink" Id="rId53" Target="https://doi.org/10.1023/A:1026560922731" TargetMode="External" /><Relationship Type="http://schemas.openxmlformats.org/officeDocument/2006/relationships/hyperlink" Id="rId60" Target="https://doi.org/10.1038/35002501" TargetMode="External" /><Relationship Type="http://schemas.openxmlformats.org/officeDocument/2006/relationships/hyperlink" Id="rId55" Target="https://doi.org/10.12957/tamoios.2020.51272" TargetMode="External" /><Relationship Type="http://schemas.openxmlformats.org/officeDocument/2006/relationships/hyperlink" Id="rId39" Target="https://doi.org/10.14393/SN-v34-2022-60335" TargetMode="External" /><Relationship Type="http://schemas.openxmlformats.org/officeDocument/2006/relationships/hyperlink" Id="rId50" Target="https://doi.org/10.15560/13.5.581" TargetMode="External" /><Relationship Type="http://schemas.openxmlformats.org/officeDocument/2006/relationships/hyperlink" Id="rId62" Target="https://doi.org/10.1590/S1413-70542006000500027" TargetMode="External" /><Relationship Type="http://schemas.openxmlformats.org/officeDocument/2006/relationships/hyperlink" Id="rId68" Target="https://doi.org/10.5016/DT000610176" TargetMode="External" /><Relationship Type="http://schemas.openxmlformats.org/officeDocument/2006/relationships/hyperlink" Id="rId6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57" Target="https://app.powerbi.com/view?r=eyJrIjoiMGNmMGY3NGMtNWZlOC00ZmRmLWExZWItNTNiNDhkZDg0MmY4IiwidCI6IjM5NTdhMzY3LTZkMzgtNGMxZi1hNGJhLTMzZThmM2M1NTBlNyJ9&amp;pageName=ReportSectione0a112a2a9e0cf52a827" TargetMode="External" /><Relationship Type="http://schemas.openxmlformats.org/officeDocument/2006/relationships/hyperlink" Id="rId44" Target="https://credit.niso.org/" TargetMode="External" /><Relationship Type="http://schemas.openxmlformats.org/officeDocument/2006/relationships/hyperlink" Id="rId36" Target="https://doi.org/10.1002/wer.1221" TargetMode="External" /><Relationship Type="http://schemas.openxmlformats.org/officeDocument/2006/relationships/hyperlink" Id="rId41" Target="https://doi.org/10.1007/s10669-011-9380-3" TargetMode="External" /><Relationship Type="http://schemas.openxmlformats.org/officeDocument/2006/relationships/hyperlink" Id="rId70" Target="https://doi.org/10.1016/S0027-5107(97)00265-0" TargetMode="External" /><Relationship Type="http://schemas.openxmlformats.org/officeDocument/2006/relationships/hyperlink" Id="rId46" Target="https://doi.org/10.1016/j.ecoenv.2018.09.111" TargetMode="External" /><Relationship Type="http://schemas.openxmlformats.org/officeDocument/2006/relationships/hyperlink" Id="rId53" Target="https://doi.org/10.1023/A:1026560922731" TargetMode="External" /><Relationship Type="http://schemas.openxmlformats.org/officeDocument/2006/relationships/hyperlink" Id="rId60" Target="https://doi.org/10.1038/35002501" TargetMode="External" /><Relationship Type="http://schemas.openxmlformats.org/officeDocument/2006/relationships/hyperlink" Id="rId55" Target="https://doi.org/10.12957/tamoios.2020.51272" TargetMode="External" /><Relationship Type="http://schemas.openxmlformats.org/officeDocument/2006/relationships/hyperlink" Id="rId39" Target="https://doi.org/10.14393/SN-v34-2022-60335" TargetMode="External" /><Relationship Type="http://schemas.openxmlformats.org/officeDocument/2006/relationships/hyperlink" Id="rId50" Target="https://doi.org/10.15560/13.5.581" TargetMode="External" /><Relationship Type="http://schemas.openxmlformats.org/officeDocument/2006/relationships/hyperlink" Id="rId62" Target="https://doi.org/10.1590/S1413-70542006000500027" TargetMode="External" /><Relationship Type="http://schemas.openxmlformats.org/officeDocument/2006/relationships/hyperlink" Id="rId68" Target="https://doi.org/10.5016/DT000610176" TargetMode="External" /><Relationship Type="http://schemas.openxmlformats.org/officeDocument/2006/relationships/hyperlink" Id="rId6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Alice da Silva Barros; Mayara Mirelly da Silva Monteiro; Ellen Gomes da Silva; Enelise Marcelle Amado; Elvio Sergio Figueredo Medeiros</dc:creator>
  <dc:language>en-US</dc:language>
  <cp:keywords>Ecological Health, Physiological Stress</cp:keywords>
  <dcterms:created xsi:type="dcterms:W3CDTF">2026-03-11T00:19:14Z</dcterms:created>
  <dcterms:modified xsi:type="dcterms:W3CDTF">2026-03-11T00:19:14Z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2026-03-10</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Subtitle 1 Subtitle 2</vt:lpwstr>
  </property>
  <property fmtid="{D5CDD505-2E9C-101B-9397-08002B2CF9AE}" pid="20" name="toc-title">
    <vt:lpwstr>Table of contents</vt:lpwstr>
  </property>
</Properties>
</file>