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98.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90.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2026-05-26</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 Medeiros et al., 2024)</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(E. Medeiros et al., 2010)</w:t>
      </w:r>
      <w:r>
        <w:t xml:space="preserve">. Sampling effort was standardized across all collection events and sampling points.</w:t>
      </w:r>
    </w:p>
    <w:p>
      <w:pPr>
        <w:pStyle w:val="Corpodetexto"/>
      </w:pPr>
      <w:r>
        <w:t xml:space="preserve">To ensure the survival of specimens for ecophysiological analyses, the captured fish were not chemically fixed. Instead, they were immediately transferred to plastic bags containing water from the collection site and atmospheric oxygen, and subsequently transported to the Laboratory of Animal Ecophysiology (LEFA) at the State University of Paraíba, Campus V, João Pessoa, Brazil. Specimen sorting, taxonomic identification, and subsequent experimental procedures were performed at the Ecology Laboratory of the same institution, using specialized taxonomic literature and identification keys. The individuals were then separated according to the experimental groups established for the study.</w:t>
      </w:r>
    </w:p>
    <w:p>
      <w:pPr>
        <w:pStyle w:val="Corpodetexto"/>
      </w:pP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w:t>
      </w:r>
    </w:p>
    <w:p>
      <w:pPr>
        <w:pStyle w:val="Corpodetexto"/>
      </w:pPr>
      <w:r>
        <w:t xml:space="preserve">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9" w:name="references"/>
    <w:p>
      <w:pPr>
        <w:pStyle w:val="Ttulo1"/>
      </w:pPr>
      <w:r>
        <w:t xml:space="preserve">References</w:t>
      </w:r>
    </w:p>
    <w:bookmarkStart w:id="88"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f"/>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4">
        <w:r>
          <w:rPr>
            <w:rStyle w:val="Hyperlink"/>
          </w:rPr>
          <w:t xml:space="preserve">https://doi.org/10.1007/s13530-020-00042-w</w:t>
        </w:r>
      </w:hyperlink>
    </w:p>
    <w:bookmarkEnd w:id="45"/>
    <w:bookmarkStart w:id="46"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6"/>
    <w:bookmarkStart w:id="47" w:name="ref-köppen1928a"/>
    <w:p>
      <w:pPr>
        <w:pStyle w:val="Bibliografia"/>
      </w:pPr>
      <w:r>
        <w:t xml:space="preserve">Köppen, W., &amp; Geiger, R. (1928).</w:t>
      </w:r>
      <w:r>
        <w:t xml:space="preserve"> </w:t>
      </w:r>
      <w:r>
        <w:rPr>
          <w:i/>
          <w:iCs/>
        </w:rPr>
        <w:t xml:space="preserve">Klimate der erde</w:t>
      </w:r>
      <w:r>
        <w:t xml:space="preserve">.</w:t>
      </w:r>
    </w:p>
    <w:bookmarkEnd w:id="47"/>
    <w:bookmarkStart w:id="49"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8">
        <w:r>
          <w:rPr>
            <w:rStyle w:val="Hyperlink"/>
          </w:rPr>
          <w:t xml:space="preserve">https://doi.org/10.1023/A:1026560922731</w:t>
        </w:r>
      </w:hyperlink>
    </w:p>
    <w:bookmarkEnd w:id="49"/>
    <w:bookmarkStart w:id="50"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7" w:name="ref-medeiros2024"/>
    <w:p>
      <w:pPr>
        <w:pStyle w:val="Bibliografia"/>
      </w:pPr>
      <w:r>
        <w:t xml:space="preserve">Medeiros, E. S. F., Silva, M. J. D., Ramos, T. P. A., &amp; Ramos, R. T. C. (2024). Environmental variables as predictors of fish community composition in semiarid aquatic systems.</w:t>
      </w:r>
      <w:r>
        <w:t xml:space="preserve"> </w:t>
      </w:r>
      <w:r>
        <w:rPr>
          <w:i/>
          <w:iCs/>
        </w:rPr>
        <w:t xml:space="preserve">Acta Limnologica Brasiliensia</w:t>
      </w:r>
      <w:r>
        <w:t xml:space="preserve">,</w:t>
      </w:r>
      <w:r>
        <w:t xml:space="preserve"> </w:t>
      </w:r>
      <w:r>
        <w:rPr>
          <w:i/>
          <w:iCs/>
        </w:rPr>
        <w:t xml:space="preserve">36</w:t>
      </w:r>
      <w:r>
        <w:t xml:space="preserve">, e4.</w:t>
      </w:r>
      <w:r>
        <w:t xml:space="preserve"> </w:t>
      </w:r>
      <w:hyperlink r:id="rId56">
        <w:r>
          <w:rPr>
            <w:rStyle w:val="Hyperlink"/>
          </w:rPr>
          <w:t xml:space="preserve">https://doi.org/10.1590/s2179-975x3023</w:t>
        </w:r>
      </w:hyperlink>
    </w:p>
    <w:bookmarkEnd w:id="57"/>
    <w:bookmarkStart w:id="58"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8"/>
    <w:bookmarkStart w:id="60" w:name="ref-medeiros2010"/>
    <w:p>
      <w:pPr>
        <w:pStyle w:val="Bibliografia"/>
      </w:pPr>
      <w:r>
        <w:t xml:space="preserve">Medeiros, E.,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59">
        <w:r>
          <w:rPr>
            <w:rStyle w:val="Hyperlink"/>
          </w:rPr>
          <w:t xml:space="preserve">https://doi.org/10.1590/S1519-69842010000200004</w:t>
        </w:r>
      </w:hyperlink>
    </w:p>
    <w:bookmarkEnd w:id="60"/>
    <w:bookmarkStart w:id="62"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61">
        <w:r>
          <w:rPr>
            <w:rStyle w:val="Hyperlink"/>
          </w:rPr>
          <w:t xml:space="preserve">https://encurtador.com.br/kLle</w:t>
        </w:r>
      </w:hyperlink>
    </w:p>
    <w:bookmarkEnd w:id="62"/>
    <w:bookmarkStart w:id="63"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3"/>
    <w:bookmarkStart w:id="64"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64"/>
    <w:bookmarkStart w:id="66"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5">
        <w:r>
          <w:rPr>
            <w:rStyle w:val="Hyperlink"/>
          </w:rPr>
          <w:t xml:space="preserve">https://doi.org/10.1007/s10750-006-0252-7</w:t>
        </w:r>
      </w:hyperlink>
    </w:p>
    <w:bookmarkEnd w:id="66"/>
    <w:bookmarkStart w:id="68"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7">
        <w:r>
          <w:rPr>
            <w:rStyle w:val="Hyperlink"/>
          </w:rPr>
          <w:t xml:space="preserve">https://doi.org/10.1038/35002501</w:t>
        </w:r>
      </w:hyperlink>
    </w:p>
    <w:bookmarkEnd w:id="68"/>
    <w:bookmarkStart w:id="69"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9"/>
    <w:bookmarkStart w:id="71"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70">
        <w:r>
          <w:rPr>
            <w:rStyle w:val="Hyperlink"/>
          </w:rPr>
          <w:t xml:space="preserve">https://doi.org/10.1590/S1413-70542006000500027</w:t>
        </w:r>
      </w:hyperlink>
    </w:p>
    <w:bookmarkEnd w:id="71"/>
    <w:bookmarkStart w:id="72"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72"/>
    <w:bookmarkStart w:id="74"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73">
        <w:r>
          <w:rPr>
            <w:rStyle w:val="Hyperlink"/>
          </w:rPr>
          <w:t xml:space="preserve">https://www.R-project.org/</w:t>
        </w:r>
      </w:hyperlink>
    </w:p>
    <w:bookmarkEnd w:id="74"/>
    <w:bookmarkStart w:id="75" w:name="ref-rstudioteam"/>
    <w:p>
      <w:pPr>
        <w:pStyle w:val="Bibliografia"/>
      </w:pPr>
      <w:r>
        <w:t xml:space="preserve">RStudio Team. (n.d.).</w:t>
      </w:r>
      <w:r>
        <w:t xml:space="preserve"> </w:t>
      </w:r>
      <w:r>
        <w:rPr>
          <w:i/>
          <w:iCs/>
        </w:rPr>
        <w:t xml:space="preserve">RStudio: Integrated Development Environment for R</w:t>
      </w:r>
      <w:r>
        <w:t xml:space="preserve">.</w:t>
      </w:r>
    </w:p>
    <w:bookmarkEnd w:id="75"/>
    <w:bookmarkStart w:id="76"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6"/>
    <w:bookmarkStart w:id="78"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7">
        <w:r>
          <w:rPr>
            <w:rStyle w:val="Hyperlink"/>
          </w:rPr>
          <w:t xml:space="preserve">https://doi.org/10.1016/j.cbpc.2017.08.008</w:t>
        </w:r>
      </w:hyperlink>
    </w:p>
    <w:bookmarkEnd w:id="78"/>
    <w:bookmarkStart w:id="80"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9">
        <w:r>
          <w:rPr>
            <w:rStyle w:val="Hyperlink"/>
          </w:rPr>
          <w:t xml:space="preserve">https://doi.org/10.5016/DT000610176</w:t>
        </w:r>
      </w:hyperlink>
    </w:p>
    <w:bookmarkEnd w:id="80"/>
    <w:bookmarkStart w:id="82"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81">
        <w:r>
          <w:rPr>
            <w:rStyle w:val="Hyperlink"/>
          </w:rPr>
          <w:t xml:space="preserve">https://doi.org/10.1016/S0027-5107(97)00265-0</w:t>
        </w:r>
      </w:hyperlink>
    </w:p>
    <w:bookmarkEnd w:id="82"/>
    <w:bookmarkStart w:id="84"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83">
        <w:r>
          <w:rPr>
            <w:rStyle w:val="Hyperlink"/>
          </w:rPr>
          <w:t xml:space="preserve">https://doi.org/10.1016/j.mrfmmm.2004.06.006</w:t>
        </w:r>
      </w:hyperlink>
    </w:p>
    <w:bookmarkEnd w:id="84"/>
    <w:bookmarkStart w:id="85"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5"/>
    <w:bookmarkStart w:id="86"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6"/>
    <w:bookmarkStart w:id="87"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7"/>
    <w:bookmarkEnd w:id="88"/>
    <w:bookmarkEnd w:id="89"/>
    <w:bookmarkStart w:id="135" w:name="figures-and-tables"/>
    <w:p>
      <w:pPr>
        <w:pStyle w:val="Ttulo1"/>
      </w:pPr>
      <w:r>
        <w:t xml:space="preserve">Figures and Tables</w:t>
      </w:r>
    </w:p>
    <w:bookmarkStart w:id="132"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3" w:name="fig-mapa"/>
          <w:p>
            <w:pPr>
              <w:pStyle w:val="Compact"/>
              <w:jc w:val="center"/>
            </w:pPr>
            <w:r>
              <w:drawing>
                <wp:inline>
                  <wp:extent cx="5600700" cy="3959578"/>
                  <wp:effectExtent b="0" l="0" r="0" t="0"/>
                  <wp:docPr descr="" title="" id="91" name="Picture"/>
                  <a:graphic>
                    <a:graphicData uri="http://schemas.openxmlformats.org/drawingml/2006/picture">
                      <pic:pic>
                        <pic:nvPicPr>
                          <pic:cNvPr descr="imagens/mapa.png" id="92" name="Picture"/>
                          <pic:cNvPicPr>
                            <a:picLocks noChangeArrowheads="1" noChangeAspect="1"/>
                          </pic:cNvPicPr>
                        </pic:nvPicPr>
                        <pic:blipFill>
                          <a:blip r:embed="rId90"/>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refsites"/>
          <w:p>
            <w:pPr>
              <w:pStyle w:val="Compact"/>
              <w:jc w:val="center"/>
            </w:pPr>
            <w:r>
              <w:drawing>
                <wp:inline>
                  <wp:extent cx="5600700" cy="4657626"/>
                  <wp:effectExtent b="0" l="0" r="0" t="0"/>
                  <wp:docPr descr="" title="" id="95" name="Picture"/>
                  <a:graphic>
                    <a:graphicData uri="http://schemas.openxmlformats.org/drawingml/2006/picture">
                      <pic:pic>
                        <pic:nvPicPr>
                          <pic:cNvPr descr="imagens/refsites.png" id="96" name="Picture"/>
                          <pic:cNvPicPr>
                            <a:picLocks noChangeArrowheads="1" noChangeAspect="1"/>
                          </pic:cNvPicPr>
                        </pic:nvPicPr>
                        <pic:blipFill>
                          <a:blip r:embed="rId94"/>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hab_PCA_fviz"/>
          <w:p>
            <w:pPr>
              <w:pStyle w:val="Compact"/>
              <w:jc w:val="center"/>
            </w:pPr>
            <w:r>
              <w:drawing>
                <wp:inline>
                  <wp:extent cx="5600700" cy="4582390"/>
                  <wp:effectExtent b="0" l="0" r="0" t="0"/>
                  <wp:docPr descr="" title="" id="99" name="Picture"/>
                  <a:graphic>
                    <a:graphicData uri="http://schemas.openxmlformats.org/drawingml/2006/picture">
                      <pic:pic>
                        <pic:nvPicPr>
                          <pic:cNvPr descr="fig-hab_PCA_fviz.png" id="100" name="Picture"/>
                          <pic:cNvPicPr>
                            <a:picLocks noChangeArrowheads="1" noChangeAspect="1"/>
                          </pic:cNvPicPr>
                        </pic:nvPicPr>
                        <pic:blipFill>
                          <a:blip r:embed="rId98"/>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 using the fviz function.</w:t>
            </w:r>
          </w:p>
          <w:bookmarkEnd w:id="101"/>
        </w:tc>
      </w:tr>
    </w:tbl>
    <w:p>
      <w:pPr>
        <w:pStyle w:val="CaptionedFigure"/>
      </w:pPr>
      <w:r>
        <w:drawing>
          <wp:inline>
            <wp:extent cx="5600700" cy="4582390"/>
            <wp:effectExtent b="0" l="0" r="0" t="0"/>
            <wp:docPr descr="Principal Component Analysis of the environmental variables using the fviz function" title="" id="102" name="Picture"/>
            <a:graphic>
              <a:graphicData uri="http://schemas.openxmlformats.org/drawingml/2006/picture">
                <pic:pic>
                  <pic:nvPicPr>
                    <pic:cNvPr descr="fig-hab_PCA_fviz.png" id="103" name="Picture"/>
                    <pic:cNvPicPr>
                      <a:picLocks noChangeArrowheads="1" noChangeAspect="1"/>
                    </pic:cNvPicPr>
                  </pic:nvPicPr>
                  <pic:blipFill>
                    <a:blip r:embed="rId98"/>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7" w:name="fig-boxtpinandout"/>
          <w:p>
            <w:pPr>
              <w:pStyle w:val="Compact"/>
              <w:jc w:val="center"/>
            </w:pPr>
            <w:r>
              <w:drawing>
                <wp:inline>
                  <wp:extent cx="5600700" cy="3843033"/>
                  <wp:effectExtent b="0" l="0" r="0" t="0"/>
                  <wp:docPr descr="" title="" id="105" name="Picture"/>
                  <a:graphic>
                    <a:graphicData uri="http://schemas.openxmlformats.org/drawingml/2006/picture">
                      <pic:pic>
                        <pic:nvPicPr>
                          <pic:cNvPr descr="imagens/Figura%203.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Total protein (mg) variance of data inside and outside ReBio Guaribas.</w:t>
            </w:r>
          </w:p>
          <w:bookmarkEnd w:id="10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boxtpsites"/>
          <w:p>
            <w:pPr>
              <w:pStyle w:val="Compact"/>
              <w:jc w:val="center"/>
            </w:pPr>
            <w:r>
              <w:drawing>
                <wp:inline>
                  <wp:extent cx="5600700" cy="3843033"/>
                  <wp:effectExtent b="0" l="0" r="0" t="0"/>
                  <wp:docPr descr="" title="" id="109" name="Picture"/>
                  <a:graphic>
                    <a:graphicData uri="http://schemas.openxmlformats.org/drawingml/2006/picture">
                      <pic:pic>
                        <pic:nvPicPr>
                          <pic:cNvPr descr="imagens/Figura%204.png" id="110" name="Picture"/>
                          <pic:cNvPicPr>
                            <a:picLocks noChangeArrowheads="1" noChangeAspect="1"/>
                          </pic:cNvPicPr>
                        </pic:nvPicPr>
                        <pic:blipFill>
                          <a:blip r:embed="rId10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1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mcsites"/>
          <w:p>
            <w:pPr>
              <w:pStyle w:val="Compact"/>
              <w:jc w:val="center"/>
            </w:pPr>
            <w:r>
              <w:drawing>
                <wp:inline>
                  <wp:extent cx="5600700" cy="3843033"/>
                  <wp:effectExtent b="0" l="0" r="0" t="0"/>
                  <wp:docPr descr="" title="" id="113" name="Picture"/>
                  <a:graphic>
                    <a:graphicData uri="http://schemas.openxmlformats.org/drawingml/2006/picture">
                      <pic:pic>
                        <pic:nvPicPr>
                          <pic:cNvPr descr="imagens/Figura%205.png" id="114" name="Picture"/>
                          <pic:cNvPicPr>
                            <a:picLocks noChangeArrowheads="1" noChangeAspect="1"/>
                          </pic:cNvPicPr>
                        </pic:nvPicPr>
                        <pic:blipFill>
                          <a:blip r:embed="rId11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Moisture content (%) of tissues from sampling sites inside and outside the ReBio Guaribas, with the respective p-value between each locality.</w:t>
            </w:r>
          </w:p>
          <w:bookmarkEnd w:id="11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boxmmcsites"/>
          <w:p>
            <w:pPr>
              <w:pStyle w:val="Compact"/>
              <w:jc w:val="center"/>
            </w:pPr>
            <w:r>
              <w:drawing>
                <wp:inline>
                  <wp:extent cx="5600700" cy="3843033"/>
                  <wp:effectExtent b="0" l="0" r="0" t="0"/>
                  <wp:docPr descr="" title="" id="117" name="Picture"/>
                  <a:graphic>
                    <a:graphicData uri="http://schemas.openxmlformats.org/drawingml/2006/picture">
                      <pic:pic>
                        <pic:nvPicPr>
                          <pic:cNvPr descr="imagens/Figura%206.png" id="118" name="Picture"/>
                          <pic:cNvPicPr>
                            <a:picLocks noChangeArrowheads="1" noChangeAspect="1"/>
                          </pic:cNvPicPr>
                        </pic:nvPicPr>
                        <pic:blipFill>
                          <a:blip r:embed="rId11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fluorescence"/>
          <w:p>
            <w:pPr>
              <w:pStyle w:val="Compact"/>
              <w:jc w:val="center"/>
            </w:pPr>
            <w:r>
              <w:drawing>
                <wp:inline>
                  <wp:extent cx="5600700" cy="3843033"/>
                  <wp:effectExtent b="0" l="0" r="0" t="0"/>
                  <wp:docPr descr="" title="" id="121" name="Picture"/>
                  <a:graphic>
                    <a:graphicData uri="http://schemas.openxmlformats.org/drawingml/2006/picture">
                      <pic:pic>
                        <pic:nvPicPr>
                          <pic:cNvPr descr="imagens/Figura%207.png" id="122" name="Picture"/>
                          <pic:cNvPicPr>
                            <a:picLocks noChangeArrowheads="1" noChangeAspect="1"/>
                          </pic:cNvPicPr>
                        </pic:nvPicPr>
                        <pic:blipFill>
                          <a:blip r:embed="rId12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fluorescence data from sampling sites inside and outside the ReBio Guaribas, expressed by relative fluorescence units/milligrammes of tissue (gill).</w:t>
            </w:r>
          </w:p>
          <w:bookmarkEnd w:id="12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oxmxr"/>
          <w:p>
            <w:pPr>
              <w:pStyle w:val="Compact"/>
              <w:jc w:val="center"/>
            </w:pPr>
            <w:r>
              <w:drawing>
                <wp:inline>
                  <wp:extent cx="5600700" cy="3843033"/>
                  <wp:effectExtent b="0" l="0" r="0" t="0"/>
                  <wp:docPr descr="" title="" id="125" name="Picture"/>
                  <a:graphic>
                    <a:graphicData uri="http://schemas.openxmlformats.org/drawingml/2006/picture">
                      <pic:pic>
                        <pic:nvPicPr>
                          <pic:cNvPr descr="imagens/Figura%208.png" id="126" name="Picture"/>
                          <pic:cNvPicPr>
                            <a:picLocks noChangeArrowheads="1" noChangeAspect="1"/>
                          </pic:cNvPicPr>
                        </pic:nvPicPr>
                        <pic:blipFill>
                          <a:blip r:embed="rId12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bar"/>
          <w:p>
            <w:pPr>
              <w:pStyle w:val="Compact"/>
              <w:jc w:val="center"/>
            </w:pPr>
            <w:r>
              <w:drawing>
                <wp:inline>
                  <wp:extent cx="5600700" cy="3843033"/>
                  <wp:effectExtent b="0" l="0" r="0" t="0"/>
                  <wp:docPr descr="" title="" id="129" name="Picture"/>
                  <a:graphic>
                    <a:graphicData uri="http://schemas.openxmlformats.org/drawingml/2006/picture">
                      <pic:pic>
                        <pic:nvPicPr>
                          <pic:cNvPr descr="imagens/Figure%209.png" id="130" name="Picture"/>
                          <pic:cNvPicPr>
                            <a:picLocks noChangeArrowheads="1" noChangeAspect="1"/>
                          </pic:cNvPicPr>
                        </pic:nvPicPr>
                        <pic:blipFill>
                          <a:blip r:embed="rId12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31"/>
        </w:tc>
      </w:tr>
    </w:tbl>
    <w:bookmarkEnd w:id="132"/>
    <w:bookmarkStart w:id="134"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33" w:name="tbl-abund"/>
          <w:p>
            <w:pPr>
              <w:jc w:val="center"/>
            </w:pPr>
            <w:pPr>
              <w:jc w:val="star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33"/>
        </w:tc>
      </w:tr>
    </w:tbl>
    <w:bookmarkEnd w:id="134"/>
    <w:bookmarkEnd w:id="135"/>
    <w:bookmarkStart w:id="136" w:name="apendices"/>
    <w:p>
      <w:pPr>
        <w:pStyle w:val="Ttulo1"/>
      </w:pPr>
      <w:r>
        <w:t xml:space="preserve">Apendices</w:t>
      </w:r>
    </w:p>
    <w:bookmarkEnd w:id="136"/>
    <w:bookmarkStart w:id="140" w:name="non-used-figures-and-tables"/>
    <w:p>
      <w:pPr>
        <w:pStyle w:val="Ttulo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C:\PROGRA~1\RStudio\RESOUR~1\app\bin\quarto\share\formats\docx\warning.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140"/>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7" Target="media/rId137.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5"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81" Target="https://doi.org/10.1016/S0027-5107(97)00265-0" TargetMode="External" /><Relationship Type="http://schemas.openxmlformats.org/officeDocument/2006/relationships/hyperlink" Id="rId77"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3"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7"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70" Target="https://doi.org/10.1590/S1413-70542006000500027" TargetMode="External" /><Relationship Type="http://schemas.openxmlformats.org/officeDocument/2006/relationships/hyperlink" Id="rId59" Target="https://doi.org/10.1590/S1519-69842010000200004" TargetMode="External" /><Relationship Type="http://schemas.openxmlformats.org/officeDocument/2006/relationships/hyperlink" Id="rId56" Target="https://doi.org/10.1590/s2179-975x3023" TargetMode="External" /><Relationship Type="http://schemas.openxmlformats.org/officeDocument/2006/relationships/hyperlink" Id="rId79" Target="https://doi.org/10.5016/DT000610176" TargetMode="External" /><Relationship Type="http://schemas.openxmlformats.org/officeDocument/2006/relationships/hyperlink" Id="rId61" Target="https://encurtador.com.br/kLle" TargetMode="External" /><Relationship Type="http://schemas.openxmlformats.org/officeDocument/2006/relationships/hyperlink" Id="rId7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5"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81" Target="https://doi.org/10.1016/S0027-5107(97)00265-0" TargetMode="External" /><Relationship Type="http://schemas.openxmlformats.org/officeDocument/2006/relationships/hyperlink" Id="rId77"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3"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7"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70" Target="https://doi.org/10.1590/S1413-70542006000500027" TargetMode="External" /><Relationship Type="http://schemas.openxmlformats.org/officeDocument/2006/relationships/hyperlink" Id="rId59" Target="https://doi.org/10.1590/S1519-69842010000200004" TargetMode="External" /><Relationship Type="http://schemas.openxmlformats.org/officeDocument/2006/relationships/hyperlink" Id="rId56" Target="https://doi.org/10.1590/s2179-975x3023" TargetMode="External" /><Relationship Type="http://schemas.openxmlformats.org/officeDocument/2006/relationships/hyperlink" Id="rId79" Target="https://doi.org/10.5016/DT000610176" TargetMode="External" /><Relationship Type="http://schemas.openxmlformats.org/officeDocument/2006/relationships/hyperlink" Id="rId61" Target="https://encurtador.com.br/kLle" TargetMode="External" /><Relationship Type="http://schemas.openxmlformats.org/officeDocument/2006/relationships/hyperlink" Id="rId7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2026-05-26T22:22:41Z</dcterms:created>
  <dcterms:modified xsi:type="dcterms:W3CDTF">2026-05-26T22:22:41Z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