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15.png" ContentType="image/png"/>
  <Override PartName="/word/media/rId119.png" ContentType="image/png"/>
  <Override PartName="/word/media/rId123.png" ContentType="image/png"/>
  <Override PartName="/word/media/rId127.png" ContentType="image/png"/>
  <Override PartName="/word/media/rId131.png" ContentType="image/png"/>
  <Override PartName="/word/media/rId135.png" ContentType="image/png"/>
  <Override PartName="/word/media/rId139.png" ContentType="image/png"/>
  <Override PartName="/word/media/rId143.png" ContentType="image/png"/>
  <Override PartName="/word/media/rId107.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2026-06-14</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Corpodetexto"/>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Corpodetexto"/>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Corpodetexto"/>
      </w:pPr>
      <w:r>
        <w:t xml:space="preserve">Fish are among the most widely used organisms to evaluate the health of aquatic systems, since their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Corpodetexto"/>
      </w:pPr>
      <w:r>
        <w:t xml:space="preserve">Another relevant biomarker is the abnormal activity of the multixenobiotic resistance (MXR) phenotype</w:t>
      </w:r>
      <w:r>
        <w:t xml:space="preserve"> </w:t>
      </w:r>
      <w:r>
        <w:t xml:space="preserve">(Bard, 2000)</w:t>
      </w:r>
      <w:r>
        <w:t xml:space="preserv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Corpodetexto"/>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the identification of physiological stress biomarkers in fish from a headwater stream to evaluate the ecological health of sites inside and surrounding a protected area of Atlantic Forest, and enable decision makers to take action on the influence of anthropogenic threats and the ecological consequence of pollution exposure of the buffer zone.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and Cerrado ecoregions. It was created in 1990 to preserve one of the last remnants of the Atlantic Forest in the region</w:t>
      </w:r>
      <w:r>
        <w:t xml:space="preserve"> </w:t>
      </w:r>
      <w:r>
        <w:t xml:space="preserve">(MMA, 2003)</w:t>
      </w:r>
      <w:r>
        <w:t xml:space="preserve">. Despite being one of the most restricted types of protected areas, there are a number human settlements in its buffer zone. The Management Plan for REBIOstates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Ministério do Meio Ambiente, 2025)</w:t>
      </w:r>
    </w:p>
    <w:p>
      <w:pPr>
        <w:pStyle w:val="Corpodetexto"/>
      </w:pPr>
      <w:r>
        <w:t xml:space="preserve">The climate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t xml:space="preserve">The ecophysiological evaluation of human impact on the forest, was mainly guided by the fish species inventory of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consequently, isolation of populations</w:t>
      </w:r>
      <w:r>
        <w:t xml:space="preserve"> </w:t>
      </w:r>
      <w:r>
        <w:t xml:space="preserve">(Gouveia et al., 2017)</w:t>
      </w:r>
      <w:r>
        <w:t xml:space="preserve">, associated with the fact that most species in the study area are phylogenetic close (with the pedominance of Characidae) and are widely distributed, offers an appropriate design to access the entire local ichthyofauna using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Corpodetexto"/>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w:t>
      </w:r>
    </w:p>
    <w:p>
      <w:pPr>
        <w:pStyle w:val="Corpodetexto"/>
      </w:pPr>
      <w:r>
        <w:t xml:space="preserve">To ensure the survival of specimens for ecophysiological analyses, the captured fish were not chemically fixed. Instead, they were immediately transferred to plastic bags containing water from the collection site and atmospheric oxygen, and subsequently transported to the Laboratory of Animal Ecophysiology (LEFA) at the State University of Paraíba, Campus V, João Pessoa, Brazil. Specimen sorting, taxonomic identification, and subsequent experimental procedures were performed at the Ecology Laboratory of the same institution, using specialized taxonomic literature and identification keys. The individuals were then separated according to the experimental groups established for the study.</w:t>
      </w:r>
    </w:p>
    <w:p>
      <w:pPr>
        <w:pStyle w:val="Corpodetexto"/>
      </w:pP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w:t>
      </w:r>
    </w:p>
    <w:p>
      <w:pPr>
        <w:pStyle w:val="Corpodetexto"/>
      </w:pPr>
      <w:r>
        <w:t xml:space="preserve">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w:t>
      </w:r>
      <w:r>
        <w:t xml:space="preserve">(ref_fig).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Corpodetexto"/>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 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06" w:name="references"/>
    <w:p>
      <w:pPr>
        <w:pStyle w:val="Ttulo1"/>
      </w:pPr>
      <w:r>
        <w:t xml:space="preserve">References</w:t>
      </w:r>
    </w:p>
    <w:bookmarkStart w:id="105" w:name="refs"/>
    <w:bookmarkStart w:id="29" w:name="ref-abilhoa2011"/>
    <w:p>
      <w:pPr>
        <w:pStyle w:val="Bibliografia"/>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fia"/>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fia"/>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fia"/>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fia"/>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fia"/>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fia"/>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fia"/>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fia"/>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fia"/>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fia"/>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fia"/>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9"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78">
        <w:r>
          <w:rPr>
            <w:rStyle w:val="Hyperlink"/>
          </w:rPr>
          <w:t xml:space="preserve">https://encurtador.com.br/kLle</w:t>
        </w:r>
      </w:hyperlink>
    </w:p>
    <w:bookmarkEnd w:id="79"/>
    <w:bookmarkStart w:id="80"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80"/>
    <w:bookmarkStart w:id="82" w:name="ref-mma2003"/>
    <w:p>
      <w:pPr>
        <w:pStyle w:val="Bibliografia"/>
      </w:pPr>
      <w:r>
        <w:t xml:space="preserve">MMA. (2003).</w:t>
      </w:r>
      <w:r>
        <w:t xml:space="preserve"> </w:t>
      </w:r>
      <w:r>
        <w:rPr>
          <w:i/>
          <w:iCs/>
        </w:rPr>
        <w:t xml:space="preserve">Plano de manejo reserva biológica guaribas. Fase 2.</w:t>
      </w:r>
      <w:r>
        <w:t xml:space="preserve"> </w:t>
      </w:r>
      <w:hyperlink r:id="rId81">
        <w:r>
          <w:rPr>
            <w:rStyle w:val="Hyperlink"/>
          </w:rPr>
          <w:t xml:space="preserve">https://www.gov.br/icmbio/pt-br/assuntos/biodiversidade/unidade-de-conservacao/unidades-de-biomas/mata-atlantica/lista-de-ucs/rebio-guaribas</w:t>
        </w:r>
      </w:hyperlink>
    </w:p>
    <w:bookmarkEnd w:id="82"/>
    <w:bookmarkStart w:id="84"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fia"/>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fia"/>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fia"/>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5" w:name="ref-rstudioteam"/>
    <w:p>
      <w:pPr>
        <w:pStyle w:val="Bibliografia"/>
      </w:pPr>
      <w:r>
        <w:t xml:space="preserve">RStudio Team. (n.d.).</w:t>
      </w:r>
      <w:r>
        <w:t xml:space="preserve"> </w:t>
      </w:r>
      <w:r>
        <w:rPr>
          <w:i/>
          <w:iCs/>
        </w:rPr>
        <w:t xml:space="preserve">RStudio: Integrated Development Environment for R</w:t>
      </w:r>
      <w:r>
        <w:t xml:space="preserve">.</w:t>
      </w:r>
    </w:p>
    <w:bookmarkEnd w:id="95"/>
    <w:bookmarkStart w:id="96"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96"/>
    <w:bookmarkStart w:id="98"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97">
        <w:r>
          <w:rPr>
            <w:rStyle w:val="Hyperlink"/>
          </w:rPr>
          <w:t xml:space="preserve">https://doi.org/10.1016/j.cbpc.2017.08.008</w:t>
        </w:r>
      </w:hyperlink>
    </w:p>
    <w:bookmarkEnd w:id="98"/>
    <w:bookmarkStart w:id="100"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99">
        <w:r>
          <w:rPr>
            <w:rStyle w:val="Hyperlink"/>
          </w:rPr>
          <w:t xml:space="preserve">https://doi.org/10.1016/S0027-5107(97)00265-0</w:t>
        </w:r>
      </w:hyperlink>
    </w:p>
    <w:bookmarkEnd w:id="100"/>
    <w:bookmarkStart w:id="102"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1">
        <w:r>
          <w:rPr>
            <w:rStyle w:val="Hyperlink"/>
          </w:rPr>
          <w:t xml:space="preserve">https://doi.org/10.1016/j.mrfmmm.2004.06.006</w:t>
        </w:r>
      </w:hyperlink>
    </w:p>
    <w:bookmarkEnd w:id="102"/>
    <w:bookmarkStart w:id="103"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3"/>
    <w:bookmarkStart w:id="104"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4"/>
    <w:bookmarkEnd w:id="105"/>
    <w:bookmarkEnd w:id="106"/>
    <w:bookmarkStart w:id="150" w:name="figures-and-tables"/>
    <w:p>
      <w:pPr>
        <w:pStyle w:val="Ttulo1"/>
      </w:pPr>
      <w:r>
        <w:t xml:space="preserve">Figures and Tables</w:t>
      </w:r>
    </w:p>
    <w:bookmarkStart w:id="14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10" w:name="fig-mapa"/>
          <w:p>
            <w:pPr>
              <w:pStyle w:val="Compact"/>
              <w:jc w:val="center"/>
            </w:pPr>
            <w:r>
              <w:drawing>
                <wp:inline>
                  <wp:extent cx="5600700" cy="3960010"/>
                  <wp:effectExtent b="0" l="0" r="0" t="0"/>
                  <wp:docPr descr="" title="" id="108" name="Picture"/>
                  <a:graphic>
                    <a:graphicData uri="http://schemas.openxmlformats.org/drawingml/2006/picture">
                      <pic:pic>
                        <pic:nvPicPr>
                          <pic:cNvPr descr="imagens/Mapa%20Atualizado.png" id="109" name="Picture"/>
                          <pic:cNvPicPr>
                            <a:picLocks noChangeArrowheads="1" noChangeAspect="1"/>
                          </pic:cNvPicPr>
                        </pic:nvPicPr>
                        <pic:blipFill>
                          <a:blip r:embed="rId107"/>
                          <a:stretch>
                            <a:fillRect/>
                          </a:stretch>
                        </pic:blipFill>
                        <pic:spPr bwMode="auto">
                          <a:xfrm>
                            <a:off x="0" y="0"/>
                            <a:ext cx="5600700" cy="3960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(P1 - 06°43’06,58555’’ S, 35°10’54,70041’</w:t>
            </w:r>
            <w:r>
              <w:t xml:space="preserve">‘W -, P2 - 06°42’38,71927’</w:t>
            </w:r>
            <w:r>
              <w:t xml:space="preserve">‘S, 35°10’38,68013’</w:t>
            </w:r>
            <w:r>
              <w:t xml:space="preserve">‘W - and P3 - 06°43’06,58555’</w:t>
            </w:r>
            <w:r>
              <w:t xml:space="preserve">‘S, 35°10’54,70041’</w:t>
            </w:r>
            <w:r>
              <w:t xml:space="preserve">‘W) and surrounding REBIO Guaribas (P4 - 06°41’46,29119’</w:t>
            </w:r>
            <w:r>
              <w:t xml:space="preserve">‘S, 35°10’36,09933’</w:t>
            </w:r>
            <w:r>
              <w:t xml:space="preserve">‘W -, P5 - 06°40’56,47593’</w:t>
            </w:r>
            <w:r>
              <w:t xml:space="preserve">‘S, 35°10’27,84963’</w:t>
            </w:r>
            <w:r>
              <w:t xml:space="preserve">‘W - and P6 - 06°40’18,97010’</w:t>
            </w:r>
            <w:r>
              <w:t xml:space="preserve">‘S, 35°10’34,68148’</w:t>
            </w:r>
            <w:r>
              <w:t xml:space="preserve">’W). In total, 92 fish were collected inside the Conservation Unity and 97 outside it.</w:t>
            </w:r>
          </w:p>
          <w:bookmarkEnd w:id="11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fig-refsites"/>
          <w:p>
            <w:pPr>
              <w:pStyle w:val="Compact"/>
              <w:jc w:val="center"/>
            </w:pPr>
            <w:r>
              <w:drawing>
                <wp:inline>
                  <wp:extent cx="5600700" cy="4657626"/>
                  <wp:effectExtent b="0" l="0" r="0" t="0"/>
                  <wp:docPr descr="" title="" id="112" name="Picture"/>
                  <a:graphic>
                    <a:graphicData uri="http://schemas.openxmlformats.org/drawingml/2006/picture">
                      <pic:pic>
                        <pic:nvPicPr>
                          <pic:cNvPr descr="imagens/refsites.png" id="113" name="Picture"/>
                          <pic:cNvPicPr>
                            <a:picLocks noChangeArrowheads="1" noChangeAspect="1"/>
                          </pic:cNvPicPr>
                        </pic:nvPicPr>
                        <pic:blipFill>
                          <a:blip r:embed="rId111"/>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1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hab_PCA_fviz"/>
          <w:p>
            <w:pPr>
              <w:pStyle w:val="Compact"/>
              <w:jc w:val="center"/>
            </w:pPr>
            <w:r>
              <w:drawing>
                <wp:inline>
                  <wp:extent cx="5600700" cy="4582390"/>
                  <wp:effectExtent b="0" l="0" r="0" t="0"/>
                  <wp:docPr descr="" title="" id="116" name="Picture"/>
                  <a:graphic>
                    <a:graphicData uri="http://schemas.openxmlformats.org/drawingml/2006/picture">
                      <pic:pic>
                        <pic:nvPicPr>
                          <pic:cNvPr descr="fig-hab_PCA_fviz.png" id="117" name="Picture"/>
                          <pic:cNvPicPr>
                            <a:picLocks noChangeArrowheads="1" noChangeAspect="1"/>
                          </pic:cNvPicPr>
                        </pic:nvPicPr>
                        <pic:blipFill>
                          <a:blip r:embed="rId115"/>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1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fig-boxtpinandout"/>
          <w:p>
            <w:pPr>
              <w:pStyle w:val="Compact"/>
              <w:jc w:val="center"/>
            </w:pPr>
            <w:r>
              <w:drawing>
                <wp:inline>
                  <wp:extent cx="5600700" cy="3843033"/>
                  <wp:effectExtent b="0" l="0" r="0" t="0"/>
                  <wp:docPr descr="" title="" id="120" name="Picture"/>
                  <a:graphic>
                    <a:graphicData uri="http://schemas.openxmlformats.org/drawingml/2006/picture">
                      <pic:pic>
                        <pic:nvPicPr>
                          <pic:cNvPr descr="imagens/Figura%203.png" id="121" name="Picture"/>
                          <pic:cNvPicPr>
                            <a:picLocks noChangeArrowheads="1" noChangeAspect="1"/>
                          </pic:cNvPicPr>
                        </pic:nvPicPr>
                        <pic:blipFill>
                          <a:blip r:embed="rId11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2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fig-boxtpsites"/>
          <w:p>
            <w:pPr>
              <w:pStyle w:val="Compact"/>
              <w:jc w:val="center"/>
            </w:pPr>
            <w:r>
              <w:drawing>
                <wp:inline>
                  <wp:extent cx="5600700" cy="3843033"/>
                  <wp:effectExtent b="0" l="0" r="0" t="0"/>
                  <wp:docPr descr="" title="" id="124" name="Picture"/>
                  <a:graphic>
                    <a:graphicData uri="http://schemas.openxmlformats.org/drawingml/2006/picture">
                      <pic:pic>
                        <pic:nvPicPr>
                          <pic:cNvPr descr="imagens/Figura%204.png" id="125" name="Picture"/>
                          <pic:cNvPicPr>
                            <a:picLocks noChangeArrowheads="1" noChangeAspect="1"/>
                          </pic:cNvPicPr>
                        </pic:nvPicPr>
                        <pic:blipFill>
                          <a:blip r:embed="rId12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2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fig-mcsites"/>
          <w:p>
            <w:pPr>
              <w:pStyle w:val="Compact"/>
              <w:jc w:val="center"/>
            </w:pPr>
            <w:r>
              <w:drawing>
                <wp:inline>
                  <wp:extent cx="5600700" cy="3843033"/>
                  <wp:effectExtent b="0" l="0" r="0" t="0"/>
                  <wp:docPr descr="" title="" id="128" name="Picture"/>
                  <a:graphic>
                    <a:graphicData uri="http://schemas.openxmlformats.org/drawingml/2006/picture">
                      <pic:pic>
                        <pic:nvPicPr>
                          <pic:cNvPr descr="imagens/Figura%205.png" id="129" name="Picture"/>
                          <pic:cNvPicPr>
                            <a:picLocks noChangeArrowheads="1" noChangeAspect="1"/>
                          </pic:cNvPicPr>
                        </pic:nvPicPr>
                        <pic:blipFill>
                          <a:blip r:embed="rId12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3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boxmmcsites"/>
          <w:p>
            <w:pPr>
              <w:pStyle w:val="Compact"/>
              <w:jc w:val="center"/>
            </w:pPr>
            <w:r>
              <w:drawing>
                <wp:inline>
                  <wp:extent cx="5600700" cy="3843033"/>
                  <wp:effectExtent b="0" l="0" r="0" t="0"/>
                  <wp:docPr descr="" title="" id="132" name="Picture"/>
                  <a:graphic>
                    <a:graphicData uri="http://schemas.openxmlformats.org/drawingml/2006/picture">
                      <pic:pic>
                        <pic:nvPicPr>
                          <pic:cNvPr descr="imagens/Figura%206.png" id="133" name="Picture"/>
                          <pic:cNvPicPr>
                            <a:picLocks noChangeArrowheads="1" noChangeAspect="1"/>
                          </pic:cNvPicPr>
                        </pic:nvPicPr>
                        <pic:blipFill>
                          <a:blip r:embed="rId13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3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fluorescence"/>
          <w:p>
            <w:pPr>
              <w:pStyle w:val="Compact"/>
              <w:jc w:val="center"/>
            </w:pPr>
            <w:r>
              <w:drawing>
                <wp:inline>
                  <wp:extent cx="5600700" cy="3843033"/>
                  <wp:effectExtent b="0" l="0" r="0" t="0"/>
                  <wp:docPr descr="" title="" id="136" name="Picture"/>
                  <a:graphic>
                    <a:graphicData uri="http://schemas.openxmlformats.org/drawingml/2006/picture">
                      <pic:pic>
                        <pic:nvPicPr>
                          <pic:cNvPr descr="imagens/Figura%207.png" id="137" name="Picture"/>
                          <pic:cNvPicPr>
                            <a:picLocks noChangeArrowheads="1" noChangeAspect="1"/>
                          </pic:cNvPicPr>
                        </pic:nvPicPr>
                        <pic:blipFill>
                          <a:blip r:embed="rId13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3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boxmxr"/>
          <w:p>
            <w:pPr>
              <w:pStyle w:val="Compact"/>
              <w:jc w:val="center"/>
            </w:pPr>
            <w:r>
              <w:drawing>
                <wp:inline>
                  <wp:extent cx="5600700" cy="3843033"/>
                  <wp:effectExtent b="0" l="0" r="0" t="0"/>
                  <wp:docPr descr="" title="" id="140" name="Picture"/>
                  <a:graphic>
                    <a:graphicData uri="http://schemas.openxmlformats.org/drawingml/2006/picture">
                      <pic:pic>
                        <pic:nvPicPr>
                          <pic:cNvPr descr="imagens/Figura%208.png" id="141" name="Picture"/>
                          <pic:cNvPicPr>
                            <a:picLocks noChangeArrowheads="1" noChangeAspect="1"/>
                          </pic:cNvPicPr>
                        </pic:nvPicPr>
                        <pic:blipFill>
                          <a:blip r:embed="rId13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4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ar"/>
          <w:p>
            <w:pPr>
              <w:pStyle w:val="Compact"/>
              <w:jc w:val="center"/>
            </w:pPr>
            <w:r>
              <w:drawing>
                <wp:inline>
                  <wp:extent cx="5600700" cy="3843033"/>
                  <wp:effectExtent b="0" l="0" r="0" t="0"/>
                  <wp:docPr descr="" title="" id="144" name="Picture"/>
                  <a:graphic>
                    <a:graphicData uri="http://schemas.openxmlformats.org/drawingml/2006/picture">
                      <pic:pic>
                        <pic:nvPicPr>
                          <pic:cNvPr descr="imagens/Figure%209.png" id="145" name="Picture"/>
                          <pic:cNvPicPr>
                            <a:picLocks noChangeArrowheads="1" noChangeAspect="1"/>
                          </pic:cNvPicPr>
                        </pic:nvPicPr>
                        <pic:blipFill>
                          <a:blip r:embed="rId14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46"/>
        </w:tc>
      </w:tr>
    </w:tbl>
    <w:bookmarkEnd w:id="147"/>
    <w:bookmarkStart w:id="149"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48" w:name="tbl-abund"/>
          <w:p>
            <w:pPr>
              <w:jc w:val="center"/>
            </w:pPr>
            <w:pPr>
              <w:jc w:val="left"/>
              <w:spacing w:before="200"/>
              <w:pStyle w:val="ImageCaption"/>
            </w:pPr>
            <w:r>
              <w:t xml:space="preserve">Table 1: Table abundance.</w:t>
            </w:r>
          </w:p>
          <w:p>
            <w:pPr>
              <w:pStyle w:val="SourceCode"/>
              <w:jc w:val="center"/>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(openxlsx)</w:t>
            </w:r>
            <w:r>
              <w:br/>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br/>
            </w:r>
            <w:r>
              <w:rPr>
                <w:rStyle w:val="NormalTok"/>
              </w:rPr>
              <w:t xml:space="preserve">data </w:t>
            </w:r>
            <w:r>
              <w:rPr>
                <w:rStyle w:val="OtherTok"/>
              </w:rPr>
              <w:t xml:space="preserve">&lt;-</w:t>
            </w:r>
            <w:r>
              <w:rPr>
                <w:rStyle w:val="NormalTok"/>
              </w:rPr>
              <w:t xml:space="preserve"> mxr23</w:t>
            </w:r>
            <w:r>
              <w:br/>
            </w:r>
            <w:r>
              <w:rPr>
                <w:rStyle w:val="NormalTok"/>
              </w:rPr>
              <w:t xml:space="preserve">data </w:t>
            </w:r>
            <w:r>
              <w:rPr>
                <w:rStyle w:val="OtherTok"/>
              </w:rPr>
              <w:t xml:space="preserve">&lt;-</w:t>
            </w:r>
            <w:r>
              <w:rPr>
                <w:rStyle w:val="NormalTok"/>
              </w:rPr>
              <w:t xml:space="preserve"> data[</w:t>
            </w:r>
            <w:r>
              <w:rPr>
                <w:rStyle w:val="SpecialCharTok"/>
              </w:rPr>
              <w:t xml:space="preserve">!</w:t>
            </w:r>
            <w:r>
              <w:rPr>
                <w:rStyle w:val="FunctionTok"/>
              </w:rPr>
              <w:t xml:space="preserve">row.names</w:t>
            </w:r>
            <w:r>
              <w:rPr>
                <w:rStyle w:val="NormalTok"/>
              </w:rPr>
              <w:t xml:space="preserve">(data)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StringTok"/>
              </w:rPr>
              <w:t xml:space="preserve">"1-10-7"</w:t>
            </w:r>
            <w:r>
              <w:rPr>
                <w:rStyle w:val="NormalTok"/>
              </w:rPr>
              <w:t xml:space="preserve">), ]</w:t>
            </w:r>
            <w:r>
              <w:br/>
            </w:r>
            <w:r>
              <w:br/>
            </w:r>
            <w:r>
              <w:rPr>
                <w:rStyle w:val="NormalTok"/>
              </w:rPr>
              <w:t xml:space="preserve">data[</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br/>
            </w:r>
            <w:r>
              <w:rPr>
                <w:rStyle w:val="NormalTok"/>
              </w:rPr>
              <w:t xml:space="preserve">    </w:t>
            </w:r>
            <w:r>
              <w:rPr>
                <w:rStyle w:val="AttributeTok"/>
              </w:rPr>
              <w:t xml:space="preserve">values_from =</w:t>
            </w:r>
            <w:r>
              <w:rPr>
                <w:rStyle w:val="NormalTok"/>
              </w:rPr>
              <w:t xml:space="preserve"> Count, </w:t>
            </w:r>
            <w:r>
              <w:br/>
            </w:r>
            <w:r>
              <w:rPr>
                <w:rStyle w:val="NormalTok"/>
              </w:rPr>
              <w:t xml:space="preserve">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style =</w:t>
            </w:r>
            <w:r>
              <w:rPr>
                <w:rStyle w:val="NormalTok"/>
              </w:rPr>
              <w:t xml:space="preserve"> </w:t>
            </w:r>
            <w:r>
              <w:rPr>
                <w:rStyle w:val="StringTok"/>
              </w:rPr>
              <w:t xml:space="preserve">"italic"</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cells_body</w:t>
            </w:r>
            <w:r>
              <w:rPr>
                <w:rStyle w:val="NormalTok"/>
              </w:rPr>
              <w:t xml:space="preserve">(</w:t>
            </w:r>
            <w:r>
              <w:rPr>
                <w:rStyle w:val="AttributeTok"/>
              </w:rPr>
              <w:t xml:space="preserve">columns =</w:t>
            </w:r>
            <w:r>
              <w:rPr>
                <w:rStyle w:val="NormalTok"/>
              </w:rPr>
              <w:t xml:space="preserve"> Especie)</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weight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cells_column_labels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opt_horizontal_padding</w:t>
            </w:r>
            <w:r>
              <w:rPr>
                <w:rStyle w:val="NormalTok"/>
              </w:rPr>
              <w:t xml:space="preserve">(</w:t>
            </w:r>
            <w:r>
              <w:rPr>
                <w:rStyle w:val="AttributeTok"/>
              </w:rPr>
              <w:t xml:space="preserve">scale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opt_table_lines</w:t>
            </w:r>
            <w:r>
              <w:rPr>
                <w:rStyle w:val="NormalTok"/>
              </w:rPr>
              <w:t xml:space="preserve">(</w:t>
            </w:r>
            <w:r>
              <w:rPr>
                <w:rStyle w:val="StringTok"/>
              </w:rPr>
              <w:t xml:space="preserve">"default"</w:t>
            </w:r>
            <w:r>
              <w:rPr>
                <w:rStyle w:val="NormalTok"/>
              </w:rPr>
              <w:t xml:space="preserve">)</w:t>
            </w:r>
          </w:p>
          <w:bookmarkEnd w:id="148"/>
        </w:tc>
      </w:tr>
    </w:tbl>
    <w:bookmarkEnd w:id="149"/>
    <w:bookmarkEnd w:id="150"/>
    <w:bookmarkStart w:id="151" w:name="apendices"/>
    <w:p>
      <w:pPr>
        <w:pStyle w:val="Ttulo1"/>
      </w:pPr>
      <w:r>
        <w:t xml:space="preserve">Apendices</w:t>
      </w:r>
    </w:p>
    <w:bookmarkEnd w:id="151"/>
    <w:bookmarkStart w:id="155"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PROGRA~1\RStudio\RESOUR~1\app\bin\quarto\share\formats\docx\warning.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55"/>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2" Target="media/rId152.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9"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97"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1"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78" Target="https://encurtador.com.br/kLle" TargetMode="External" /><Relationship Type="http://schemas.openxmlformats.org/officeDocument/2006/relationships/hyperlink" Id="rId81"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9"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97"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1"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78" Target="https://encurtador.com.br/kLle" TargetMode="External" /><Relationship Type="http://schemas.openxmlformats.org/officeDocument/2006/relationships/hyperlink" Id="rId81"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2026-06-14T16:42:03Z</dcterms:created>
  <dcterms:modified xsi:type="dcterms:W3CDTF">2026-06-14T16:42:03Z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2026-06-14</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