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20.png" ContentType="image/png"/>
  <Override PartName="/word/media/rId116.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48.png" ContentType="image/png"/>
  <Override PartName="/word/media/rId152.png" ContentType="image/png"/>
  <Override PartName="/word/media/rId108.png" ContentType="image/png"/>
  <Override PartName="/word/media/rId11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2026-06-18</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(MXR)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 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TextBody"/>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8</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TextBody"/>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10</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11</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12</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7" w:name="references"/>
    <w:p>
      <w:pPr>
        <w:pStyle w:val="Heading1"/>
      </w:pPr>
      <w:r>
        <w:t xml:space="preserve">References</w:t>
      </w:r>
    </w:p>
    <w:bookmarkStart w:id="106"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phy"/>
      </w:pPr>
      <w:r>
        <w:t xml:space="preserve">MMA. (2003).</w:t>
      </w:r>
      <w:r>
        <w:t xml:space="preserve"> </w:t>
      </w:r>
      <w:r>
        <w:rPr>
          <w:i/>
          <w:iCs/>
        </w:rPr>
        <w:t xml:space="preserve">Plano de manejo reserva biológica guaribas. Fase 2.</w:t>
      </w:r>
      <w:r>
        <w:t xml:space="preserve"> </w:t>
      </w:r>
      <w:hyperlink r:id="rId79">
        <w:r>
          <w:rPr>
            <w:rStyle w:val="Hyperlink"/>
          </w:rPr>
          <w:t xml:space="preserve">https://bit.ly/4gtUh3i</w:t>
        </w:r>
      </w:hyperlink>
    </w:p>
    <w:bookmarkEnd w:id="80"/>
    <w:bookmarkStart w:id="8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95"/>
    <w:bookmarkStart w:id="9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6">
        <w:r>
          <w:rPr>
            <w:rStyle w:val="Hyperlink"/>
          </w:rPr>
          <w:t xml:space="preserve">https://doi.org/10.1016/j.cbpc.2017.08.008</w:t>
        </w:r>
      </w:hyperlink>
    </w:p>
    <w:bookmarkEnd w:id="97"/>
    <w:bookmarkStart w:id="9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8">
        <w:r>
          <w:rPr>
            <w:rStyle w:val="Hyperlink"/>
          </w:rPr>
          <w:t xml:space="preserve">https://doi.org/10.1016/S0027-5107(97)00265-0</w:t>
        </w:r>
      </w:hyperlink>
    </w:p>
    <w:bookmarkEnd w:id="99"/>
    <w:bookmarkStart w:id="10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0">
        <w:r>
          <w:rPr>
            <w:rStyle w:val="Hyperlink"/>
          </w:rPr>
          <w:t xml:space="preserve">https://doi.org/10.1016/j.mrfmmm.2004.06.006</w:t>
        </w:r>
      </w:hyperlink>
    </w:p>
    <w:bookmarkEnd w:id="101"/>
    <w:bookmarkStart w:id="10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2"/>
    <w:bookmarkStart w:id="10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3"/>
    <w:bookmarkStart w:id="10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04">
        <w:r>
          <w:rPr>
            <w:rStyle w:val="Hyperlink"/>
          </w:rPr>
          <w:t xml:space="preserve">https://doi.org/10.1016/j.cbpc.2005.12.009</w:t>
        </w:r>
      </w:hyperlink>
    </w:p>
    <w:bookmarkEnd w:id="105"/>
    <w:bookmarkEnd w:id="106"/>
    <w:bookmarkEnd w:id="107"/>
    <w:bookmarkStart w:id="159" w:name="figures-and-tables"/>
    <w:p>
      <w:pPr>
        <w:pStyle w:val="Heading1"/>
      </w:pPr>
      <w:r>
        <w:t xml:space="preserve">Figures and Tables</w:t>
      </w:r>
    </w:p>
    <w:bookmarkStart w:id="156"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11" w:name="fig-mapa"/>
          <w:p>
            <w:pPr>
              <w:pStyle w:val="Compact"/>
              <w:jc w:val="center"/>
            </w:pPr>
            <w:r>
              <w:drawing>
                <wp:inline>
                  <wp:extent cx="5943600" cy="4202459"/>
                  <wp:effectExtent b="0" l="0" r="0" t="0"/>
                  <wp:docPr descr="" title="" id="109" name="Picture"/>
                  <a:graphic>
                    <a:graphicData uri="http://schemas.openxmlformats.org/drawingml/2006/picture">
                      <pic:pic>
                        <pic:nvPicPr>
                          <pic:cNvPr descr="imagens/mapa_final.png" id="110" name="Picture"/>
                          <pic:cNvPicPr>
                            <a:picLocks noChangeArrowheads="1" noChangeAspect="1"/>
                          </pic:cNvPicPr>
                        </pic:nvPicPr>
                        <pic:blipFill>
                          <a:blip r:embed="rId108"/>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(Site 1 - 06°43’06,58555’’ S, 35°10’54,70041’</w:t>
            </w:r>
            <w:r>
              <w:t xml:space="preserve">‘W -, Site 2 - 06°42’38,71927’</w:t>
            </w:r>
            <w:r>
              <w:t xml:space="preserve">‘S, 35°10’38,68013’</w:t>
            </w:r>
            <w:r>
              <w:t xml:space="preserve">‘W - and Site 3 - 06°43’06,58555’</w:t>
            </w:r>
            <w:r>
              <w:t xml:space="preserve">‘S, 35°10’54,70041’</w:t>
            </w:r>
            <w:r>
              <w:t xml:space="preserve">‘W) and surrounding the REBIO Guaribas (Site 4 - 06°41’46,29119’</w:t>
            </w:r>
            <w:r>
              <w:t xml:space="preserve">‘S, 35°10’36,09933’</w:t>
            </w:r>
            <w:r>
              <w:t xml:space="preserve">‘W -, Site 5 - 06°40’56,47593’</w:t>
            </w:r>
            <w:r>
              <w:t xml:space="preserve">‘S, 35°10’27,84963’</w:t>
            </w:r>
            <w:r>
              <w:t xml:space="preserve">‘W - and Site 6 - 06°40’18,97010’</w:t>
            </w:r>
            <w:r>
              <w:t xml:space="preserve">‘S, 35°10’34,68148’</w:t>
            </w:r>
            <w:r>
              <w:t xml:space="preserve">’W).</w:t>
            </w:r>
          </w:p>
          <w:bookmarkEnd w:id="111"/>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15" w:name="fig-refsites"/>
          <w:p>
            <w:pPr>
              <w:pStyle w:val="Compact"/>
              <w:jc w:val="center"/>
            </w:pPr>
            <w:r>
              <w:drawing>
                <wp:inline>
                  <wp:extent cx="5943600" cy="4942787"/>
                  <wp:effectExtent b="0" l="0" r="0" t="0"/>
                  <wp:docPr descr="" title="" id="113" name="Picture"/>
                  <a:graphic>
                    <a:graphicData uri="http://schemas.openxmlformats.org/drawingml/2006/picture">
                      <pic:pic>
                        <pic:nvPicPr>
                          <pic:cNvPr descr="imagens/refsites.png" id="114" name="Picture"/>
                          <pic:cNvPicPr>
                            <a:picLocks noChangeArrowheads="1" noChangeAspect="1"/>
                          </pic:cNvPicPr>
                        </pic:nvPicPr>
                        <pic:blipFill>
                          <a:blip r:embed="rId112"/>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5"/>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19" w:name="fig-hab_PCA_fviz"/>
          <w:p>
            <w:pPr>
              <w:pStyle w:val="Compact"/>
              <w:jc w:val="center"/>
            </w:pPr>
            <w:r>
              <w:drawing>
                <wp:inline>
                  <wp:extent cx="5943600" cy="4862945"/>
                  <wp:effectExtent b="0" l="0" r="0" t="0"/>
                  <wp:docPr descr="" title="" id="117" name="Picture"/>
                  <a:graphic>
                    <a:graphicData uri="http://schemas.openxmlformats.org/drawingml/2006/picture">
                      <pic:pic>
                        <pic:nvPicPr>
                          <pic:cNvPr descr="fig-hab_PCA_fviz.png" id="118" name="Picture"/>
                          <pic:cNvPicPr>
                            <a:picLocks noChangeArrowheads="1" noChangeAspect="1"/>
                          </pic:cNvPicPr>
                        </pic:nvPicPr>
                        <pic:blipFill>
                          <a:blip r:embed="rId11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19"/>
        </w:tc>
      </w:tr>
    </w:tbl>
    <w:p>
      <w:pPr>
        <w:pStyle w:val="TextBody"/>
      </w:pPr>
      <w:r>
        <w:t xml:space="preserve">Fig.: Counts of number of individuals per species and biomarker use</w:t>
      </w:r>
    </w:p>
    <w:tbl>
      <w:tblPr>
        <w:tblStyle w:val="Table"/>
        <w:tblW w:type="pct" w:w="5000"/>
        <w:tblLayout w:type="fixed"/>
        <w:tblLook w:firstRow="0" w:lastRow="0" w:firstColumn="0" w:lastColumn="0" w:noHBand="0" w:noVBand="0" w:val="0000"/>
      </w:tblPr>
      <w:tblGrid>
        <w:gridCol w:w="7920"/>
      </w:tblGrid>
      <w:tr>
        <w:tc>
          <w:tcPr/>
          <w:bookmarkStart w:id="123" w:name="fig-counts"/>
          <w:p>
            <w:pPr>
              <w:pStyle w:val="Compact"/>
              <w:jc w:val="center"/>
            </w:pPr>
            <w:r>
              <w:drawing>
                <wp:inline>
                  <wp:extent cx="5943600" cy="3490999"/>
                  <wp:effectExtent b="0" l="0" r="0" t="0"/>
                  <wp:docPr descr="" title="" id="121" name="Picture"/>
                  <a:graphic>
                    <a:graphicData uri="http://schemas.openxmlformats.org/drawingml/2006/picture">
                      <pic:pic>
                        <pic:nvPicPr>
                          <pic:cNvPr descr="fig-counts.png" id="122" name="Picture"/>
                          <pic:cNvPicPr>
                            <a:picLocks noChangeArrowheads="1" noChangeAspect="1"/>
                          </pic:cNvPicPr>
                        </pic:nvPicPr>
                        <pic:blipFill>
                          <a:blip r:embed="rId120"/>
                          <a:stretch>
                            <a:fillRect/>
                          </a:stretch>
                        </pic:blipFill>
                        <pic:spPr bwMode="auto">
                          <a:xfrm>
                            <a:off x="0" y="0"/>
                            <a:ext cx="5943600" cy="3490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Counts of number of individuals per species and biomarker use (MXR = MXR phenotype activity and Moisture = Plasmatic protein dosage and moisture content) for each study site.</w:t>
            </w:r>
          </w:p>
          <w:bookmarkEnd w:id="123"/>
        </w:tc>
      </w:tr>
    </w:tbl>
    <w:p>
      <w:pPr>
        <w:pStyle w:val="TextBody"/>
      </w:pPr>
      <w:r>
        <w:t xml:space="preserve">Fig.: Total protein (mg) variance</w:t>
      </w:r>
    </w:p>
    <w:tbl>
      <w:tblPr>
        <w:tblStyle w:val="Table"/>
        <w:tblW w:type="pct" w:w="5000"/>
        <w:tblLayout w:type="fixed"/>
        <w:tblLook w:firstRow="0" w:lastRow="0" w:firstColumn="0" w:lastColumn="0" w:noHBand="0" w:noVBand="0" w:val="0000"/>
      </w:tblPr>
      <w:tblGrid>
        <w:gridCol w:w="7920"/>
      </w:tblGrid>
      <w:tr>
        <w:tc>
          <w:tcPr/>
          <w:bookmarkStart w:id="127" w:name="fig-prot_tots"/>
          <w:p>
            <w:pPr>
              <w:pStyle w:val="Compact"/>
              <w:jc w:val="center"/>
            </w:pPr>
            <w:r>
              <w:drawing>
                <wp:inline>
                  <wp:extent cx="5943600" cy="5051550"/>
                  <wp:effectExtent b="0" l="0" r="0" t="0"/>
                  <wp:docPr descr="" title="" id="125" name="Picture"/>
                  <a:graphic>
                    <a:graphicData uri="http://schemas.openxmlformats.org/drawingml/2006/picture">
                      <pic:pic>
                        <pic:nvPicPr>
                          <pic:cNvPr descr="fig-prot_tots.png" id="126" name="Picture"/>
                          <pic:cNvPicPr>
                            <a:picLocks noChangeArrowheads="1" noChangeAspect="1"/>
                          </pic:cNvPicPr>
                        </pic:nvPicPr>
                        <pic:blipFill>
                          <a:blip r:embed="rId124"/>
                          <a:stretch>
                            <a:fillRect/>
                          </a:stretch>
                        </pic:blipFill>
                        <pic:spPr bwMode="auto">
                          <a:xfrm>
                            <a:off x="0" y="0"/>
                            <a:ext cx="5943600" cy="50515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Total protein dosage (mg) variance of fish for sampling sites.</w:t>
            </w:r>
          </w:p>
          <w:bookmarkEnd w:id="127"/>
        </w:tc>
      </w:tr>
    </w:tbl>
    <w:p/>
    <w:tbl>
      <w:tblPr>
        <w:tblStyle w:val="Table"/>
        <w:tblW w:type="pct" w:w="5000"/>
        <w:tblLayout w:type="fixed"/>
        <w:tblLook w:firstRow="0" w:lastRow="0" w:firstColumn="0" w:lastColumn="0" w:noHBand="0" w:noVBand="0" w:val="0000"/>
      </w:tblPr>
      <w:tblGrid>
        <w:gridCol w:w="7920"/>
      </w:tblGrid>
      <w:tr>
        <w:tc>
          <w:tcPr/>
          <w:bookmarkStart w:id="131" w:name="fig-boxtpinandout"/>
          <w:p>
            <w:pPr>
              <w:pStyle w:val="Compact"/>
              <w:jc w:val="center"/>
            </w:pPr>
            <w:r>
              <w:drawing>
                <wp:inline>
                  <wp:extent cx="5778393" cy="3964961"/>
                  <wp:effectExtent b="0" l="0" r="0" t="0"/>
                  <wp:docPr descr="" title="" id="129" name="Picture"/>
                  <a:graphic>
                    <a:graphicData uri="http://schemas.openxmlformats.org/drawingml/2006/picture">
                      <pic:pic>
                        <pic:nvPicPr>
                          <pic:cNvPr descr="imagens/Figura%203.png" id="130" name="Picture"/>
                          <pic:cNvPicPr>
                            <a:picLocks noChangeArrowheads="1" noChangeAspect="1"/>
                          </pic:cNvPicPr>
                        </pic:nvPicPr>
                        <pic:blipFill>
                          <a:blip r:embed="rId128"/>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Total protein (mg) variance of data inside and outside REBIO Guaribas.</w:t>
            </w:r>
          </w:p>
          <w:bookmarkEnd w:id="13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fig-boxtpsites"/>
          <w:p>
            <w:pPr>
              <w:pStyle w:val="Compact"/>
              <w:jc w:val="center"/>
            </w:pPr>
            <w:r>
              <w:drawing>
                <wp:inline>
                  <wp:extent cx="5778393" cy="3964961"/>
                  <wp:effectExtent b="0" l="0" r="0" t="0"/>
                  <wp:docPr descr="" title="" id="133" name="Picture"/>
                  <a:graphic>
                    <a:graphicData uri="http://schemas.openxmlformats.org/drawingml/2006/picture">
                      <pic:pic>
                        <pic:nvPicPr>
                          <pic:cNvPr descr="imagens/Figura%204.png" id="134" name="Picture"/>
                          <pic:cNvPicPr>
                            <a:picLocks noChangeArrowheads="1" noChangeAspect="1"/>
                          </pic:cNvPicPr>
                        </pic:nvPicPr>
                        <pic:blipFill>
                          <a:blip r:embed="rId132"/>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total protein data of collected fish from the sampling sites inside (green) and outside REBIO Guaribas (red), including its respective grouping by similarity above each box.</w:t>
            </w:r>
          </w:p>
          <w:bookmarkEnd w:id="13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fig-mcsites"/>
          <w:p>
            <w:pPr>
              <w:pStyle w:val="Compact"/>
              <w:jc w:val="center"/>
            </w:pPr>
            <w:r>
              <w:drawing>
                <wp:inline>
                  <wp:extent cx="5778393" cy="3964961"/>
                  <wp:effectExtent b="0" l="0" r="0" t="0"/>
                  <wp:docPr descr="" title="" id="137" name="Picture"/>
                  <a:graphic>
                    <a:graphicData uri="http://schemas.openxmlformats.org/drawingml/2006/picture">
                      <pic:pic>
                        <pic:nvPicPr>
                          <pic:cNvPr descr="imagens/Figura%205.png" id="138" name="Picture"/>
                          <pic:cNvPicPr>
                            <a:picLocks noChangeArrowheads="1" noChangeAspect="1"/>
                          </pic:cNvPicPr>
                        </pic:nvPicPr>
                        <pic:blipFill>
                          <a:blip r:embed="rId136"/>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Moisture content (%) of tissues from sampling sites inside and outside the REBIO Guaribas, with the respective p-value between each locality.</w:t>
            </w:r>
          </w:p>
          <w:bookmarkEnd w:id="13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boxmmcsites"/>
          <w:p>
            <w:pPr>
              <w:pStyle w:val="Compact"/>
              <w:jc w:val="center"/>
            </w:pPr>
            <w:r>
              <w:drawing>
                <wp:inline>
                  <wp:extent cx="5778393" cy="3964961"/>
                  <wp:effectExtent b="0" l="0" r="0" t="0"/>
                  <wp:docPr descr="" title="" id="141" name="Picture"/>
                  <a:graphic>
                    <a:graphicData uri="http://schemas.openxmlformats.org/drawingml/2006/picture">
                      <pic:pic>
                        <pic:nvPicPr>
                          <pic:cNvPr descr="imagens/Figura%206.png" id="142" name="Picture"/>
                          <pic:cNvPicPr>
                            <a:picLocks noChangeArrowheads="1" noChangeAspect="1"/>
                          </pic:cNvPicPr>
                        </pic:nvPicPr>
                        <pic:blipFill>
                          <a:blip r:embed="rId140"/>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gill and muscle moisture content data of fish collected from sites inside (green) and outside REBIO Guaribas (red), with its respective grouping by similarity above each box.</w:t>
            </w:r>
          </w:p>
          <w:bookmarkEnd w:id="14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7" w:name="fig-fluorescence"/>
          <w:p>
            <w:pPr>
              <w:pStyle w:val="Compact"/>
              <w:jc w:val="center"/>
            </w:pPr>
            <w:r>
              <w:drawing>
                <wp:inline>
                  <wp:extent cx="5778393" cy="3964961"/>
                  <wp:effectExtent b="0" l="0" r="0" t="0"/>
                  <wp:docPr descr="" title="" id="145" name="Picture"/>
                  <a:graphic>
                    <a:graphicData uri="http://schemas.openxmlformats.org/drawingml/2006/picture">
                      <pic:pic>
                        <pic:nvPicPr>
                          <pic:cNvPr descr="imagens/Figura%207.png" id="146" name="Picture"/>
                          <pic:cNvPicPr>
                            <a:picLocks noChangeArrowheads="1" noChangeAspect="1"/>
                          </pic:cNvPicPr>
                        </pic:nvPicPr>
                        <pic:blipFill>
                          <a:blip r:embed="rId14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Average fluorescence data from sampling sites inside and outside the REBIO Guaribas, expressed by relative fluorescence units/milligrammes of tissue (gill).</w:t>
            </w:r>
          </w:p>
          <w:bookmarkEnd w:id="14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fig-boxmxr"/>
          <w:p>
            <w:pPr>
              <w:pStyle w:val="Compact"/>
              <w:jc w:val="center"/>
            </w:pPr>
            <w:r>
              <w:drawing>
                <wp:inline>
                  <wp:extent cx="5778393" cy="3964961"/>
                  <wp:effectExtent b="0" l="0" r="0" t="0"/>
                  <wp:docPr descr="" title="" id="149" name="Picture"/>
                  <a:graphic>
                    <a:graphicData uri="http://schemas.openxmlformats.org/drawingml/2006/picture">
                      <pic:pic>
                        <pic:nvPicPr>
                          <pic:cNvPr descr="imagens/Figura%208.png" id="150" name="Picture"/>
                          <pic:cNvPicPr>
                            <a:picLocks noChangeArrowheads="1" noChangeAspect="1"/>
                          </pic:cNvPicPr>
                        </pic:nvPicPr>
                        <pic:blipFill>
                          <a:blip r:embed="rId148"/>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Boxplot with the MXR phenotype activity data of fish collected from sites inside (green) and outside the REBIO Guaribas (red), with its respective grouping by similarity above each box.</w:t>
            </w:r>
          </w:p>
          <w:bookmarkEnd w:id="15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55" w:name="fig-bar"/>
          <w:p>
            <w:pPr>
              <w:pStyle w:val="Compact"/>
              <w:jc w:val="center"/>
            </w:pPr>
            <w:r>
              <w:drawing>
                <wp:inline>
                  <wp:extent cx="5778393" cy="3964961"/>
                  <wp:effectExtent b="0" l="0" r="0" t="0"/>
                  <wp:docPr descr="" title="" id="153" name="Picture"/>
                  <a:graphic>
                    <a:graphicData uri="http://schemas.openxmlformats.org/drawingml/2006/picture">
                      <pic:pic>
                        <pic:nvPicPr>
                          <pic:cNvPr descr="imagens/Figure%209.png" id="154" name="Picture"/>
                          <pic:cNvPicPr>
                            <a:picLocks noChangeArrowheads="1" noChangeAspect="1"/>
                          </pic:cNvPicPr>
                        </pic:nvPicPr>
                        <pic:blipFill>
                          <a:blip r:embed="rId152"/>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55"/>
        </w:tc>
      </w:tr>
    </w:tbl>
    <w:bookmarkEnd w:id="156"/>
    <w:bookmarkStart w:id="158" w:name="tables"/>
    <w:p>
      <w:pPr>
        <w:pStyle w:val="Heading2"/>
      </w:pPr>
      <w:r>
        <w:t xml:space="preserve">Tables</w:t>
      </w:r>
    </w:p>
    <w:p>
      <w:pPr>
        <w:pStyle w:val="FirstParagraph"/>
      </w:pPr>
      <w:r>
        <w:t xml:space="preserve">Fig.: Environmental data table</w:t>
      </w:r>
    </w:p>
    <w:tbl>
      <w:tblPr>
        <w:tblStyle w:val="Table"/>
        <w:tblW w:type="pct" w:w="5000"/>
        <w:tblLayout w:type="fixed"/>
        <w:tblLook w:firstRow="0" w:lastRow="0" w:firstColumn="0" w:lastColumn="0" w:noHBand="0" w:noVBand="0" w:val="0000"/>
      </w:tblPr>
      <w:tblGrid>
        <w:gridCol w:w="7920"/>
      </w:tblGrid>
      <w:tr>
        <w:tc>
          <w:tcPr/>
          <w:bookmarkStart w:id="15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7"/>
        </w:tc>
      </w:tr>
    </w:tbl>
    <w:bookmarkEnd w:id="158"/>
    <w:bookmarkEnd w:id="159"/>
    <w:bookmarkStart w:id="160" w:name="apendices"/>
    <w:p>
      <w:pPr>
        <w:pStyle w:val="Heading1"/>
      </w:pPr>
      <w:r>
        <w:t xml:space="preserve">Apendices</w:t>
      </w:r>
    </w:p>
    <w:bookmarkEnd w:id="160"/>
    <w:bookmarkStart w:id="164"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PROGRA~1\RStudio\RESOUR~1\app\bin\quarto\share\formats\docx\warning.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6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1" Target="media/rId161.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hyperlink" Id="rId79" Target="https://bit.ly/4gtUh3i" TargetMode="External"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79" Target="https://bit.ly/4gtUh3i" TargetMode="External"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2026-06-18T21:41:43Z</dcterms:created>
  <dcterms:modified xsi:type="dcterms:W3CDTF">2026-06-18T21:41:43Z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