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0.png" ContentType="image/png"/>
  <Override PartName="/word/media/rId125.png" ContentType="image/png"/>
  <Override PartName="/word/media/rId121.png" ContentType="image/png"/>
  <Override PartName="/word/media/rId133.png" ContentType="image/png"/>
  <Override PartName="/word/media/rId129.png" ContentType="image/png"/>
  <Override PartName="/word/media/rId137.png" ContentType="image/png"/>
  <Override PartName="/word/media/rId141.png" ContentType="image/png"/>
  <Override PartName="/word/media/rId113.png" ContentType="image/png"/>
  <Override PartName="/word/media/rId11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2026-06-19</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(MXR)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habitat[</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IMPRESSÃO EM PAPEL</w:t>
      </w:r>
      <w:r>
        <w:br/>
      </w:r>
      <w:r>
        <w:rPr>
          <w:rStyle w:val="CommentTok"/>
        </w:rPr>
        <w:t xml:space="preserve">#win.print()</w:t>
      </w:r>
      <w:r>
        <w:br/>
      </w:r>
      <w:r>
        <w:rPr>
          <w:rStyle w:val="CommentTok"/>
        </w:rPr>
        <w:t xml:space="preserve">#corrplot(cor, method = "circle")</w:t>
      </w:r>
      <w:r>
        <w:br/>
      </w:r>
      <w:r>
        <w:rPr>
          <w:rStyle w:val="CommentTok"/>
        </w:rPr>
        <w:t xml:space="preserve">#dev.off()</w:t>
      </w:r>
      <w:r>
        <w:br/>
      </w:r>
      <w:r>
        <w:br/>
      </w:r>
      <w:r>
        <w:rPr>
          <w:rStyle w:val="DocumentationTok"/>
        </w:rPr>
        <w:t xml:space="preserve">##DELETANDO COLINEARES----</w:t>
      </w:r>
      <w:r>
        <w:br/>
      </w:r>
      <w:r>
        <w:br/>
      </w:r>
      <w:r>
        <w:rPr>
          <w:rStyle w:val="CommentTok"/>
        </w:rPr>
        <w:t xml:space="preserve">#sink(file = "colineares.txt", append = F, split = T)</w:t>
      </w:r>
      <w:r>
        <w:br/>
      </w:r>
      <w:r>
        <w:rPr>
          <w:rStyle w:val="CommentTok"/>
        </w:rPr>
        <w:t xml:space="preserve">#colnames(m_hab)</w:t>
      </w:r>
      <w:r>
        <w:br/>
      </w:r>
      <w:r>
        <w:rPr>
          <w:rStyle w:val="CommentTok"/>
        </w:rPr>
        <w:t xml:space="preserve">#del_cols &lt;- c() #"g.river_length","g.altitude" #NÃO DELETEI VARIÁVEIS</w:t>
      </w:r>
      <w:r>
        <w:br/>
      </w:r>
      <w:r>
        <w:rPr>
          <w:rStyle w:val="CommentTok"/>
        </w:rPr>
        <w:t xml:space="preserve">#m_hab_part &lt;- m_hab[, !(colnames(m_hab) %in% del_cols)]</w:t>
      </w:r>
      <w:r>
        <w:br/>
      </w:r>
      <w:r>
        <w:br/>
      </w:r>
      <w:r>
        <w:rPr>
          <w:rStyle w:val="DocumentationTok"/>
        </w:rPr>
        <w:t xml:space="preserve">##SOMANDO REDUNDANTES----</w:t>
      </w:r>
      <w:r>
        <w:br/>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                             %in% c("s.smlgrav", "s.lrggrav", "s.cobbles"))]</w:t>
      </w:r>
      <w:r>
        <w:br/>
      </w:r>
      <w:r>
        <w:rPr>
          <w:rStyle w:val="CommentTok"/>
        </w:rPr>
        <w:t xml:space="preserve">#m_hab_part$s.rock &lt;- m_hab_part$s.rocks + m_hab_part$s.bedrock</w:t>
      </w:r>
      <w:r>
        <w:br/>
      </w:r>
      <w:r>
        <w:rPr>
          <w:rStyle w:val="CommentTok"/>
        </w:rPr>
        <w:t xml:space="preserve">#m_hab_part &lt;- m_hab_part[, !(colnames(m_hab_part)</w:t>
      </w:r>
      <w:r>
        <w:br/>
      </w:r>
      <w:r>
        <w:rPr>
          <w:rStyle w:val="CommentTok"/>
        </w:rPr>
        <w:t xml:space="preserve">#                             %in% c("s.rocks", "s.bedrock"))]</w:t>
      </w:r>
      <w:r>
        <w:br/>
      </w:r>
      <w:r>
        <w:rPr>
          <w:rStyle w:val="CommentTok"/>
        </w:rPr>
        <w:t xml:space="preserve">#m_hab_part$h.algae &lt;- m_hab_part$h.filalgae + m_hab_part$h.attalgae</w:t>
      </w:r>
      <w:r>
        <w:br/>
      </w:r>
      <w:r>
        <w:rPr>
          <w:rStyle w:val="CommentTok"/>
        </w:rPr>
        <w:t xml:space="preserve">#m_hab_part &lt;- m_hab_part[, !(colnames(m_hab_part)</w:t>
      </w:r>
      <w:r>
        <w:br/>
      </w:r>
      <w:r>
        <w:rPr>
          <w:rStyle w:val="CommentTok"/>
        </w:rPr>
        <w:t xml:space="preserve">#                             %in% c("h.filalgae", "h.attalgae"))]</w:t>
      </w:r>
      <w:r>
        <w:br/>
      </w:r>
      <w:r>
        <w:rPr>
          <w:rStyle w:val="CommentTok"/>
        </w:rPr>
        <w:t xml:space="preserve">#m_hab_part$h.debris &lt;- m_hab_part$h.smldeb + m_hab_part$h.lrgdeb</w:t>
      </w:r>
      <w:r>
        <w:br/>
      </w:r>
      <w:r>
        <w:rPr>
          <w:rStyle w:val="CommentTok"/>
        </w:rPr>
        <w:t xml:space="preserve">#m_hab_part &lt;- m_hab_part[, !(colnames(m_hab_part)</w:t>
      </w:r>
      <w:r>
        <w:br/>
      </w:r>
      <w:r>
        <w:rPr>
          <w:rStyle w:val="CommentTok"/>
        </w:rPr>
        <w:t xml:space="preserve">#                             %in% c("h.smldeb", "h.lrgdeb"))]</w:t>
      </w:r>
      <w:r>
        <w:br/>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FunctionTok"/>
        </w:rPr>
        <w:t xml:space="preserve">write.table</w:t>
      </w:r>
      <w:r>
        <w:rPr>
          <w:rStyle w:val="NormalTok"/>
        </w:rPr>
        <w:t xml:space="preserve">(m_hab,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CommentTok"/>
        </w:rPr>
        <w:t xml:space="preserve">#fix(m_hab_part)</w:t>
      </w:r>
      <w:r>
        <w:br/>
      </w:r>
      <w:r>
        <w:br/>
      </w:r>
      <w:r>
        <w:rPr>
          <w:rStyle w:val="DocumentationTok"/>
        </w:rPr>
        <w:t xml:space="preserve">###RELATIVIZAÇÕES E TRANSFORMAÇÕES----</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rPr>
          <w:rStyle w:val="CommentTok"/>
        </w:rPr>
        <w:t xml:space="preserve">#m_hab_trns[m_hab_trns == -Inf] &lt;- 0</w:t>
      </w:r>
      <w:r>
        <w:br/>
      </w:r>
      <w:r>
        <w:rPr>
          <w:rStyle w:val="CommentTok"/>
        </w:rPr>
        <w:t xml:space="preserve">#m_hab_trns$g.altitude &lt;- NULL #DELETA COLUNA</w:t>
      </w:r>
      <w:r>
        <w:br/>
      </w:r>
      <w:r>
        <w:br/>
      </w:r>
      <w:r>
        <w:rPr>
          <w:rStyle w:val="CommentTok"/>
        </w:rPr>
        <w:t xml:space="preserve"># Salvado m_hab_trns</w:t>
      </w:r>
      <w:r>
        <w:br/>
      </w:r>
      <w:r>
        <w:rPr>
          <w:rStyle w:val="FunctionTok"/>
        </w:rPr>
        <w:t xml:space="preserve">write.table</w:t>
      </w:r>
      <w:r>
        <w:rPr>
          <w:rStyle w:val="NormalTok"/>
        </w:rPr>
        <w:t xml:space="preserve">(m_hab_trns,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Comparisons were performed using single-sided one-sample t-tests to evaluate the hypothesis that biomarker values at each site were significantly greater than the mean values observed at the reference site</w:t>
      </w:r>
      <w:r>
        <w:t xml:space="preserve"> </w:t>
      </w:r>
      <w:r>
        <w:t xml:space="preserve">(Zar, 2010)</w:t>
      </w:r>
      <w:r>
        <w:t xml:space="preserve">.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"A1:G29"</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 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After checking the non-normality of variance of the total protein data, a non parametric Kruskal-Wallis test confirmed the existence of statistically significant difference (p-value&lt;0,005) between the data collected from fish inside and outside the Conservative Unity.</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w:t>
      </w:r>
    </w:p>
    <w:p>
      <w:pPr>
        <w:pStyle w:val="TextBody"/>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w:t>
      </w:r>
    </w:p>
    <w:p>
      <w:pPr>
        <w:pStyle w:val="TextBody"/>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TextBody"/>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w:t>
      </w:r>
    </w:p>
    <w:p>
      <w:pPr>
        <w:pStyle w:val="TextBody"/>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Heading1"/>
      </w:pPr>
      <w:r>
        <w:t xml:space="preserve">4. Discussion</w:t>
      </w:r>
    </w:p>
    <w:p>
      <w:pPr>
        <w:pStyle w:val="FirstParagraph"/>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8</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Conceptualization, Data curation, Formal analysis, Investigation, Software, Visualization, Writing – review &amp; editing, Writing – original draft.</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Larissa Rafaela Caetano da Silva: Data curation, Formal analysis, Software, Writing – review &amp; editing.</w:t>
      </w:r>
    </w:p>
    <w:p>
      <w:pPr>
        <w:pStyle w:val="TextBody"/>
      </w:pPr>
      <w:r>
        <w:t xml:space="preserve">Enelise Marcelle Amado: Conceptualization, Data curation, Methodology, Project administration,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12" w:name="references"/>
    <w:p>
      <w:pPr>
        <w:pStyle w:val="Heading1"/>
      </w:pPr>
      <w:r>
        <w:t xml:space="preserve">References</w:t>
      </w:r>
    </w:p>
    <w:bookmarkStart w:id="111" w:name="refs"/>
    <w:bookmarkStart w:id="29"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2"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2"/>
    <w:bookmarkStart w:id="34"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3">
        <w:r>
          <w:rPr>
            <w:rStyle w:val="Hyperlink"/>
          </w:rPr>
          <w:t xml:space="preserve">https://doi.org/10.14393/SN-v34-2022-60335</w:t>
        </w:r>
      </w:hyperlink>
    </w:p>
    <w:bookmarkEnd w:id="34"/>
    <w:bookmarkStart w:id="36"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5">
        <w:r>
          <w:rPr>
            <w:rStyle w:val="Hyperlink"/>
          </w:rPr>
          <w:t xml:space="preserve">https://doi.org/10.1007/s10669-011-9380-3</w:t>
        </w:r>
      </w:hyperlink>
    </w:p>
    <w:bookmarkEnd w:id="36"/>
    <w:bookmarkStart w:id="38"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7">
        <w:r>
          <w:rPr>
            <w:rStyle w:val="Hyperlink"/>
          </w:rPr>
          <w:t xml:space="preserve">https://doi.org/10.1016/S0166-445X(00)00088-6</w:t>
        </w:r>
      </w:hyperlink>
    </w:p>
    <w:bookmarkEnd w:id="38"/>
    <w:bookmarkStart w:id="39"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9"/>
    <w:bookmarkStart w:id="41"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0">
        <w:r>
          <w:rPr>
            <w:rStyle w:val="Hyperlink"/>
          </w:rPr>
          <w:t xml:space="preserve">https://www.planalto.gov.br/ccivil_03/leis/l9985.htm</w:t>
        </w:r>
      </w:hyperlink>
    </w:p>
    <w:bookmarkEnd w:id="41"/>
    <w:bookmarkStart w:id="43"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2">
        <w:r>
          <w:rPr>
            <w:rStyle w:val="Hyperlink"/>
          </w:rPr>
          <w:t xml:space="preserve">https://doi.org/10.1016/j.envpol.2009.05.055</w:t>
        </w:r>
      </w:hyperlink>
    </w:p>
    <w:bookmarkEnd w:id="43"/>
    <w:bookmarkStart w:id="45"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4">
        <w:r>
          <w:rPr>
            <w:rStyle w:val="Hyperlink"/>
          </w:rPr>
          <w:t xml:space="preserve">https://doi.org/10.1038/s41598-020-78563-0</w:t>
        </w:r>
      </w:hyperlink>
    </w:p>
    <w:bookmarkEnd w:id="45"/>
    <w:bookmarkStart w:id="47"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6">
        <w:r>
          <w:rPr>
            <w:rStyle w:val="Hyperlink"/>
          </w:rPr>
          <w:t xml:space="preserve">https://credit.niso.org/</w:t>
        </w:r>
      </w:hyperlink>
    </w:p>
    <w:bookmarkEnd w:id="47"/>
    <w:bookmarkStart w:id="49"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8">
        <w:r>
          <w:rPr>
            <w:rStyle w:val="Hyperlink"/>
          </w:rPr>
          <w:t xml:space="preserve">https://doi.org/10.1016/j.ecoenv.2018.09.111</w:t>
        </w:r>
      </w:hyperlink>
    </w:p>
    <w:bookmarkEnd w:id="49"/>
    <w:bookmarkStart w:id="51"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0">
        <w:r>
          <w:rPr>
            <w:rStyle w:val="Hyperlink"/>
          </w:rPr>
          <w:t xml:space="preserve">https://doi.org/10.1016/B978-0-12-813747-5.00004-7</w:t>
        </w:r>
      </w:hyperlink>
    </w:p>
    <w:bookmarkEnd w:id="51"/>
    <w:bookmarkStart w:id="52"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2"/>
    <w:bookmarkStart w:id="54"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5">
        <w:r>
          <w:rPr>
            <w:rStyle w:val="Hyperlink"/>
          </w:rPr>
          <w:t xml:space="preserve">https://doi.org/10.1007/s13530-020-00042-w</w:t>
        </w:r>
      </w:hyperlink>
    </w:p>
    <w:bookmarkEnd w:id="56"/>
    <w:bookmarkStart w:id="58"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7">
        <w:r>
          <w:rPr>
            <w:rStyle w:val="Hyperlink"/>
          </w:rPr>
          <w:t xml:space="preserve">https://doi.org/10.1016/B978-0-12-813747-5.00008-4</w:t>
        </w:r>
      </w:hyperlink>
    </w:p>
    <w:bookmarkEnd w:id="58"/>
    <w:bookmarkStart w:id="60"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2"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1">
        <w:r>
          <w:rPr>
            <w:rStyle w:val="Hyperlink"/>
          </w:rPr>
          <w:t xml:space="preserve">https://doi.org/10.1023/A:1026560922731</w:t>
        </w:r>
      </w:hyperlink>
    </w:p>
    <w:bookmarkEnd w:id="62"/>
    <w:bookmarkStart w:id="63"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3"/>
    <w:bookmarkStart w:id="65"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4">
        <w:r>
          <w:rPr>
            <w:rStyle w:val="Hyperlink"/>
          </w:rPr>
          <w:t xml:space="preserve">https://doi.org/10.1002/jez.2320</w:t>
        </w:r>
      </w:hyperlink>
    </w:p>
    <w:bookmarkEnd w:id="65"/>
    <w:bookmarkStart w:id="67"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6">
        <w:r>
          <w:rPr>
            <w:rStyle w:val="Hyperlink"/>
          </w:rPr>
          <w:t xml:space="preserve">https://doi.org/10.1007/978-1-4613-0501-9_5</w:t>
        </w:r>
      </w:hyperlink>
    </w:p>
    <w:bookmarkEnd w:id="67"/>
    <w:bookmarkStart w:id="69"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68">
        <w:r>
          <w:rPr>
            <w:rStyle w:val="Hyperlink"/>
          </w:rPr>
          <w:t xml:space="preserve">https://doi.org/10.1007/978-3-030-55322-7</w:t>
        </w:r>
      </w:hyperlink>
    </w:p>
    <w:bookmarkEnd w:id="69"/>
    <w:bookmarkStart w:id="71"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0">
        <w:r>
          <w:rPr>
            <w:rStyle w:val="Hyperlink"/>
          </w:rPr>
          <w:t xml:space="preserve">https://doi.org/10.1007/978-3-030-55322-7_1</w:t>
        </w:r>
      </w:hyperlink>
    </w:p>
    <w:bookmarkEnd w:id="71"/>
    <w:bookmarkStart w:id="73"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2">
        <w:r>
          <w:rPr>
            <w:rStyle w:val="Hyperlink"/>
          </w:rPr>
          <w:t xml:space="preserve">https://doi.org/10.12957/tamoios.2020.51272</w:t>
        </w:r>
      </w:hyperlink>
    </w:p>
    <w:bookmarkEnd w:id="73"/>
    <w:bookmarkStart w:id="74"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4"/>
    <w:bookmarkStart w:id="75"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5"/>
    <w:bookmarkStart w:id="77"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6">
        <w:r>
          <w:rPr>
            <w:rStyle w:val="Hyperlink"/>
          </w:rPr>
          <w:t xml:space="preserve">https://doi.org/10.1590/S1519-69842010000200004</w:t>
        </w:r>
      </w:hyperlink>
    </w:p>
    <w:bookmarkEnd w:id="77"/>
    <w:bookmarkStart w:id="78"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78"/>
    <w:bookmarkStart w:id="80" w:name="ref-mma2003"/>
    <w:p>
      <w:pPr>
        <w:pStyle w:val="Bibliography"/>
      </w:pPr>
      <w:r>
        <w:t xml:space="preserve">MMA. (2003).</w:t>
      </w:r>
      <w:r>
        <w:t xml:space="preserve"> </w:t>
      </w:r>
      <w:r>
        <w:rPr>
          <w:i/>
          <w:iCs/>
        </w:rPr>
        <w:t xml:space="preserve">Plano de manejo reserva biológica guaribas. Fase 2.</w:t>
      </w:r>
      <w:r>
        <w:t xml:space="preserve"> </w:t>
      </w:r>
      <w:hyperlink r:id="rId79">
        <w:r>
          <w:rPr>
            <w:rStyle w:val="Hyperlink"/>
          </w:rPr>
          <w:t xml:space="preserve">https://bit.ly/4gtUh3i</w:t>
        </w:r>
      </w:hyperlink>
    </w:p>
    <w:bookmarkEnd w:id="80"/>
    <w:bookmarkStart w:id="82"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1">
        <w:r>
          <w:rPr>
            <w:rStyle w:val="Hyperlink"/>
          </w:rPr>
          <w:t xml:space="preserve">https://encurtador.com.br/kLle</w:t>
        </w:r>
      </w:hyperlink>
    </w:p>
    <w:bookmarkEnd w:id="82"/>
    <w:bookmarkStart w:id="84"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3">
        <w:r>
          <w:rPr>
            <w:rStyle w:val="Hyperlink"/>
          </w:rPr>
          <w:t xml:space="preserve">https://doi.org/10.1007/s10750-006-0252-7</w:t>
        </w:r>
      </w:hyperlink>
    </w:p>
    <w:bookmarkEnd w:id="84"/>
    <w:bookmarkStart w:id="86"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5">
        <w:r>
          <w:rPr>
            <w:rStyle w:val="Hyperlink"/>
          </w:rPr>
          <w:t xml:space="preserve">https://doi.org/10.1038/35002501</w:t>
        </w:r>
      </w:hyperlink>
    </w:p>
    <w:bookmarkEnd w:id="86"/>
    <w:bookmarkStart w:id="88"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87">
        <w:r>
          <w:rPr>
            <w:rStyle w:val="Hyperlink"/>
          </w:rPr>
          <w:t xml:space="preserve">https://doi.org/10.1590/1982-0224-2019-0130</w:t>
        </w:r>
      </w:hyperlink>
    </w:p>
    <w:bookmarkEnd w:id="88"/>
    <w:bookmarkStart w:id="90"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89">
        <w:r>
          <w:rPr>
            <w:rStyle w:val="Hyperlink"/>
          </w:rPr>
          <w:t xml:space="preserve">https://doi.org/10.1007/978-3-030-55322-7_10</w:t>
        </w:r>
      </w:hyperlink>
    </w:p>
    <w:bookmarkEnd w:id="90"/>
    <w:bookmarkStart w:id="91"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1"/>
    <w:bookmarkStart w:id="93"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2">
        <w:r>
          <w:rPr>
            <w:rStyle w:val="Hyperlink"/>
          </w:rPr>
          <w:t xml:space="preserve">https://doi.org/10.1590/S1413-70542006000500027</w:t>
        </w:r>
      </w:hyperlink>
    </w:p>
    <w:bookmarkEnd w:id="93"/>
    <w:bookmarkStart w:id="94"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4"/>
    <w:bookmarkStart w:id="96"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95">
        <w:r>
          <w:rPr>
            <w:rStyle w:val="Hyperlink"/>
          </w:rPr>
          <w:t xml:space="preserve">https://www.R-project.org/</w:t>
        </w:r>
      </w:hyperlink>
    </w:p>
    <w:bookmarkEnd w:id="96"/>
    <w:bookmarkStart w:id="98"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97">
        <w:r>
          <w:rPr>
            <w:rStyle w:val="Hyperlink"/>
          </w:rPr>
          <w:t xml:space="preserve">https://posit.co/products/open-source/rstudio/</w:t>
        </w:r>
      </w:hyperlink>
    </w:p>
    <w:bookmarkEnd w:id="98"/>
    <w:bookmarkStart w:id="99"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99"/>
    <w:bookmarkStart w:id="101"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0">
        <w:r>
          <w:rPr>
            <w:rStyle w:val="Hyperlink"/>
          </w:rPr>
          <w:t xml:space="preserve">https://doi.org/10.1016/j.cbpc.2017.08.008</w:t>
        </w:r>
      </w:hyperlink>
    </w:p>
    <w:bookmarkEnd w:id="101"/>
    <w:bookmarkStart w:id="103"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02">
        <w:r>
          <w:rPr>
            <w:rStyle w:val="Hyperlink"/>
          </w:rPr>
          <w:t xml:space="preserve">https://doi.org/10.1016/S0027-5107(97)00265-0</w:t>
        </w:r>
      </w:hyperlink>
    </w:p>
    <w:bookmarkEnd w:id="103"/>
    <w:bookmarkStart w:id="105"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4">
        <w:r>
          <w:rPr>
            <w:rStyle w:val="Hyperlink"/>
          </w:rPr>
          <w:t xml:space="preserve">https://doi.org/10.1016/j.mrfmmm.2004.06.006</w:t>
        </w:r>
      </w:hyperlink>
    </w:p>
    <w:bookmarkEnd w:id="105"/>
    <w:bookmarkStart w:id="106"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6"/>
    <w:bookmarkStart w:id="107"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07"/>
    <w:bookmarkStart w:id="109"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08">
        <w:r>
          <w:rPr>
            <w:rStyle w:val="Hyperlink"/>
          </w:rPr>
          <w:t xml:space="preserve">https://doi.org/10.1016/j.cbpc.2005.12.009</w:t>
        </w:r>
      </w:hyperlink>
    </w:p>
    <w:bookmarkEnd w:id="109"/>
    <w:bookmarkStart w:id="110"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0"/>
    <w:bookmarkEnd w:id="111"/>
    <w:bookmarkEnd w:id="112"/>
    <w:bookmarkStart w:id="148" w:name="figures-and-tables"/>
    <w:p>
      <w:pPr>
        <w:pStyle w:val="Heading1"/>
      </w:pPr>
      <w:r>
        <w:t xml:space="preserve">Figures and Tables</w:t>
      </w:r>
    </w:p>
    <w:bookmarkStart w:id="145"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16" w:name="fig-mapa"/>
          <w:p>
            <w:pPr>
              <w:pStyle w:val="Compact"/>
              <w:jc w:val="center"/>
            </w:pPr>
            <w:r>
              <w:drawing>
                <wp:inline>
                  <wp:extent cx="5943600" cy="4202459"/>
                  <wp:effectExtent b="0" l="0" r="0" t="0"/>
                  <wp:docPr descr="" title="" id="114" name="Picture"/>
                  <a:graphic>
                    <a:graphicData uri="http://schemas.openxmlformats.org/drawingml/2006/picture">
                      <pic:pic>
                        <pic:nvPicPr>
                          <pic:cNvPr descr="imagens/mapa_final.png" id="115" name="Picture"/>
                          <pic:cNvPicPr>
                            <a:picLocks noChangeArrowheads="1" noChangeAspect="1"/>
                          </pic:cNvPicPr>
                        </pic:nvPicPr>
                        <pic:blipFill>
                          <a:blip r:embed="rId113"/>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(Site 1 - 06°43’06,58555’’ S, 35°10’54,70041’</w:t>
            </w:r>
            <w:r>
              <w:t xml:space="preserve">‘W -, Site 2 - 06°42’38,71927’</w:t>
            </w:r>
            <w:r>
              <w:t xml:space="preserve">‘S, 35°10’38,68013’</w:t>
            </w:r>
            <w:r>
              <w:t xml:space="preserve">‘W - and Site 3 - 06°43’06,58555’</w:t>
            </w:r>
            <w:r>
              <w:t xml:space="preserve">‘S, 35°10’54,70041’</w:t>
            </w:r>
            <w:r>
              <w:t xml:space="preserve">‘W) and surrounding the REBIO Guaribas (Site 4 - 06°41’46,29119’</w:t>
            </w:r>
            <w:r>
              <w:t xml:space="preserve">‘S, 35°10’36,09933’</w:t>
            </w:r>
            <w:r>
              <w:t xml:space="preserve">‘W -, Site 5 - 06°40’56,47593’</w:t>
            </w:r>
            <w:r>
              <w:t xml:space="preserve">‘S, 35°10’27,84963’</w:t>
            </w:r>
            <w:r>
              <w:t xml:space="preserve">‘W - and Site 6 - 06°40’18,97010’</w:t>
            </w:r>
            <w:r>
              <w:t xml:space="preserve">‘S, 35°10’34,68148’</w:t>
            </w:r>
            <w:r>
              <w:t xml:space="preserve">’W).</w:t>
            </w:r>
          </w:p>
          <w:bookmarkEnd w:id="116"/>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0" w:name="fig-refsites"/>
          <w:p>
            <w:pPr>
              <w:pStyle w:val="Compact"/>
              <w:jc w:val="center"/>
            </w:pPr>
            <w:r>
              <w:drawing>
                <wp:inline>
                  <wp:extent cx="5943600" cy="4942787"/>
                  <wp:effectExtent b="0" l="0" r="0" t="0"/>
                  <wp:docPr descr="" title="" id="118" name="Picture"/>
                  <a:graphic>
                    <a:graphicData uri="http://schemas.openxmlformats.org/drawingml/2006/picture">
                      <pic:pic>
                        <pic:nvPicPr>
                          <pic:cNvPr descr="imagens/refsites.png" id="119" name="Picture"/>
                          <pic:cNvPicPr>
                            <a:picLocks noChangeArrowheads="1" noChangeAspect="1"/>
                          </pic:cNvPicPr>
                        </pic:nvPicPr>
                        <pic:blipFill>
                          <a:blip r:embed="rId117"/>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20"/>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24" w:name="fig-hab_PCA_fviz"/>
          <w:p>
            <w:pPr>
              <w:pStyle w:val="Compact"/>
              <w:jc w:val="center"/>
            </w:pPr>
            <w:r>
              <w:drawing>
                <wp:inline>
                  <wp:extent cx="5943600" cy="4862945"/>
                  <wp:effectExtent b="0" l="0" r="0" t="0"/>
                  <wp:docPr descr="" title="" id="122" name="Picture"/>
                  <a:graphic>
                    <a:graphicData uri="http://schemas.openxmlformats.org/drawingml/2006/picture">
                      <pic:pic>
                        <pic:nvPicPr>
                          <pic:cNvPr descr="fig-hab_PCA_fviz.png" id="123" name="Picture"/>
                          <pic:cNvPicPr>
                            <a:picLocks noChangeArrowheads="1" noChangeAspect="1"/>
                          </pic:cNvPicPr>
                        </pic:nvPicPr>
                        <pic:blipFill>
                          <a:blip r:embed="rId121"/>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124"/>
        </w:tc>
      </w:tr>
    </w:tbl>
    <w:p>
      <w:pPr>
        <w:pStyle w:val="TextBody"/>
      </w:pPr>
      <w:r>
        <w:t xml:space="preserve">Fig.: Counts of number of individuals per species and biomarker use</w:t>
      </w:r>
    </w:p>
    <w:tbl>
      <w:tblPr>
        <w:tblStyle w:val="Table"/>
        <w:tblW w:type="pct" w:w="5000"/>
        <w:tblLayout w:type="fixed"/>
        <w:tblLook w:firstRow="0" w:lastRow="0" w:firstColumn="0" w:lastColumn="0" w:noHBand="0" w:noVBand="0" w:val="0000"/>
      </w:tblPr>
      <w:tblGrid>
        <w:gridCol w:w="7920"/>
      </w:tblGrid>
      <w:tr>
        <w:tc>
          <w:tcPr/>
          <w:bookmarkStart w:id="128" w:name="fig-counts"/>
          <w:p>
            <w:pPr>
              <w:pStyle w:val="Compact"/>
              <w:jc w:val="center"/>
            </w:pPr>
            <w:r>
              <w:drawing>
                <wp:inline>
                  <wp:extent cx="5943600" cy="3823070"/>
                  <wp:effectExtent b="0" l="0" r="0" t="0"/>
                  <wp:docPr descr="" title="" id="126" name="Picture"/>
                  <a:graphic>
                    <a:graphicData uri="http://schemas.openxmlformats.org/drawingml/2006/picture">
                      <pic:pic>
                        <pic:nvPicPr>
                          <pic:cNvPr descr="fig-counts.png" id="127" name="Picture"/>
                          <pic:cNvPicPr>
                            <a:picLocks noChangeArrowheads="1" noChangeAspect="1"/>
                          </pic:cNvPicPr>
                        </pic:nvPicPr>
                        <pic:blipFill>
                          <a:blip r:embed="rId125"/>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Counts of number of individuals per species and biomarker use (MXR = MXR phenotype activity and Moisture = Plasmatic protein dosage and moisture content) for each study site.</w:t>
            </w:r>
          </w:p>
          <w:bookmarkEnd w:id="128"/>
        </w:tc>
      </w:tr>
    </w:tbl>
    <w:p>
      <w:pPr>
        <w:pStyle w:val="TextBody"/>
      </w:pPr>
      <w:r>
        <w:t xml:space="preserve">Fig.: Total protein (mg) variance</w:t>
      </w:r>
    </w:p>
    <w:tbl>
      <w:tblPr>
        <w:tblStyle w:val="Table"/>
        <w:tblW w:type="pct" w:w="5000"/>
        <w:tblLayout w:type="fixed"/>
        <w:tblLook w:firstRow="0" w:lastRow="0" w:firstColumn="0" w:lastColumn="0" w:noHBand="0" w:noVBand="0" w:val="0000"/>
      </w:tblPr>
      <w:tblGrid>
        <w:gridCol w:w="7920"/>
      </w:tblGrid>
      <w:tr>
        <w:tc>
          <w:tcPr/>
          <w:bookmarkStart w:id="132" w:name="fig-prot_tots"/>
          <w:p>
            <w:pPr>
              <w:pStyle w:val="Compact"/>
              <w:jc w:val="center"/>
            </w:pPr>
            <w:r>
              <w:drawing>
                <wp:inline>
                  <wp:extent cx="5943600" cy="4054106"/>
                  <wp:effectExtent b="0" l="0" r="0" t="0"/>
                  <wp:docPr descr="" title="" id="130" name="Picture"/>
                  <a:graphic>
                    <a:graphicData uri="http://schemas.openxmlformats.org/drawingml/2006/picture">
                      <pic:pic>
                        <pic:nvPicPr>
                          <pic:cNvPr descr="fig-prot_tots.png" id="131" name="Picture"/>
                          <pic:cNvPicPr>
                            <a:picLocks noChangeArrowheads="1" noChangeAspect="1"/>
                          </pic:cNvPicPr>
                        </pic:nvPicPr>
                        <pic:blipFill>
                          <a:blip r:embed="rId129"/>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Total plasmatic proteins (mg) variance by sampling site and fish species.</w:t>
            </w:r>
          </w:p>
          <w:bookmarkEnd w:id="132"/>
        </w:tc>
      </w:tr>
    </w:tbl>
    <w:p>
      <w:pPr>
        <w:pStyle w:val="TextBody"/>
      </w:pPr>
      <w:r>
        <w:t xml:space="preserve">Fig.: Moisture content (%) of tissues</w:t>
      </w:r>
    </w:p>
    <w:tbl>
      <w:tblPr>
        <w:tblStyle w:val="Table"/>
        <w:tblW w:type="pct" w:w="5000"/>
        <w:tblLayout w:type="fixed"/>
        <w:tblLook w:firstRow="0" w:lastRow="0" w:firstColumn="0" w:lastColumn="0" w:noHBand="0" w:noVBand="0" w:val="0000"/>
      </w:tblPr>
      <w:tblGrid>
        <w:gridCol w:w="7920"/>
      </w:tblGrid>
      <w:tr>
        <w:tc>
          <w:tcPr/>
          <w:bookmarkStart w:id="136" w:name="fig-prot_th"/>
          <w:p>
            <w:pPr>
              <w:pStyle w:val="Compact"/>
              <w:jc w:val="center"/>
            </w:pPr>
            <w:r>
              <w:drawing>
                <wp:inline>
                  <wp:extent cx="5943600" cy="3823070"/>
                  <wp:effectExtent b="0" l="0" r="0" t="0"/>
                  <wp:docPr descr="" title="" id="134" name="Picture"/>
                  <a:graphic>
                    <a:graphicData uri="http://schemas.openxmlformats.org/drawingml/2006/picture">
                      <pic:pic>
                        <pic:nvPicPr>
                          <pic:cNvPr descr="fig-prot_th.png" id="135" name="Picture"/>
                          <pic:cNvPicPr>
                            <a:picLocks noChangeArrowheads="1" noChangeAspect="1"/>
                          </pic:cNvPicPr>
                        </pic:nvPicPr>
                        <pic:blipFill>
                          <a:blip r:embed="rId133"/>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Gill and muscle moisture content (%) by sampling site and fish species.</w:t>
            </w:r>
          </w:p>
          <w:bookmarkEnd w:id="136"/>
        </w:tc>
      </w:tr>
    </w:tbl>
    <w:p>
      <w:pPr>
        <w:pStyle w:val="TextBody"/>
      </w:pPr>
      <w:r>
        <w:t xml:space="preserve">Fig.: Moisture content (%) of tissues</w:t>
      </w:r>
    </w:p>
    <w:tbl>
      <w:tblPr>
        <w:tblStyle w:val="Table"/>
        <w:tblW w:type="pct" w:w="5000"/>
        <w:tblLayout w:type="fixed"/>
        <w:tblLook w:firstRow="0" w:lastRow="0" w:firstColumn="0" w:lastColumn="0" w:noHBand="0" w:noVBand="0" w:val="0000"/>
      </w:tblPr>
      <w:tblGrid>
        <w:gridCol w:w="7920"/>
      </w:tblGrid>
      <w:tr>
        <w:tc>
          <w:tcPr/>
          <w:bookmarkStart w:id="140" w:name="fig-rodam"/>
          <w:p>
            <w:pPr>
              <w:pStyle w:val="Compact"/>
              <w:jc w:val="center"/>
            </w:pPr>
            <w:r>
              <w:drawing>
                <wp:inline>
                  <wp:extent cx="5943600" cy="4801598"/>
                  <wp:effectExtent b="0" l="0" r="0" t="0"/>
                  <wp:docPr descr="" title="" id="138" name="Picture"/>
                  <a:graphic>
                    <a:graphicData uri="http://schemas.openxmlformats.org/drawingml/2006/picture">
                      <pic:pic>
                        <pic:nvPicPr>
                          <pic:cNvPr descr="fig-rodam.png" id="139" name="Picture"/>
                          <pic:cNvPicPr>
                            <a:picLocks noChangeArrowheads="1" noChangeAspect="1"/>
                          </pic:cNvPicPr>
                        </pic:nvPicPr>
                        <pic:blipFill>
                          <a:blip r:embed="rId137"/>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Average fluorescence expressed by relative fluorescence units/milligrammes of gill tissue of fish by sampling site.</w:t>
            </w:r>
          </w:p>
          <w:bookmarkEnd w:id="140"/>
        </w:tc>
      </w:tr>
    </w:tbl>
    <w:p/>
    <w:tbl>
      <w:tblPr>
        <w:tblStyle w:val="Table"/>
        <w:tblW w:type="pct" w:w="5000"/>
        <w:tblLayout w:type="fixed"/>
        <w:tblLook w:firstRow="0" w:lastRow="0" w:firstColumn="0" w:lastColumn="0" w:noHBand="0" w:noVBand="0" w:val="0000"/>
      </w:tblPr>
      <w:tblGrid>
        <w:gridCol w:w="7920"/>
      </w:tblGrid>
      <w:tr>
        <w:tc>
          <w:tcPr/>
          <w:bookmarkStart w:id="144" w:name="fig-bar"/>
          <w:p>
            <w:pPr>
              <w:pStyle w:val="Compact"/>
              <w:jc w:val="center"/>
            </w:pPr>
            <w:r>
              <w:drawing>
                <wp:inline>
                  <wp:extent cx="5778393" cy="3964961"/>
                  <wp:effectExtent b="0" l="0" r="0" t="0"/>
                  <wp:docPr descr="" title="" id="142" name="Picture"/>
                  <a:graphic>
                    <a:graphicData uri="http://schemas.openxmlformats.org/drawingml/2006/picture">
                      <pic:pic>
                        <pic:nvPicPr>
                          <pic:cNvPr descr="imagens/Figure%209.png" id="143" name="Picture"/>
                          <pic:cNvPicPr>
                            <a:picLocks noChangeArrowheads="1" noChangeAspect="1"/>
                          </pic:cNvPicPr>
                        </pic:nvPicPr>
                        <pic:blipFill>
                          <a:blip r:embed="rId141"/>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44"/>
        </w:tc>
      </w:tr>
    </w:tbl>
    <w:bookmarkEnd w:id="145"/>
    <w:bookmarkStart w:id="147" w:name="tables"/>
    <w:p>
      <w:pPr>
        <w:pStyle w:val="Heading2"/>
      </w:pPr>
      <w:r>
        <w:t xml:space="preserve">Tables</w:t>
      </w:r>
    </w:p>
    <w:p>
      <w:pPr>
        <w:pStyle w:val="FirstParagraph"/>
      </w:pPr>
      <w:r>
        <w:t xml:space="preserve">Fig.: Environmental data table</w:t>
      </w:r>
    </w:p>
    <w:tbl>
      <w:tblPr>
        <w:tblStyle w:val="Table"/>
        <w:tblW w:type="pct" w:w="5000"/>
        <w:tblLayout w:type="fixed"/>
        <w:tblLook w:firstRow="0" w:lastRow="0" w:firstColumn="0" w:lastColumn="0" w:noHBand="0" w:noVBand="0" w:val="0000"/>
      </w:tblPr>
      <w:tblGrid>
        <w:gridCol w:w="7920"/>
      </w:tblGrid>
      <w:tr>
        <w:tc>
          <w:tcPr/>
          <w:bookmarkStart w:id="14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 (29-31)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 (20-26)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(38-56)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 (15-42)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 (22-87)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 (38-52)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Fillamentous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Attached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Large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46"/>
        </w:tc>
      </w:tr>
    </w:tbl>
    <w:bookmarkEnd w:id="147"/>
    <w:bookmarkEnd w:id="148"/>
    <w:bookmarkStart w:id="149" w:name="apendices"/>
    <w:p>
      <w:pPr>
        <w:pStyle w:val="Heading1"/>
      </w:pPr>
      <w:r>
        <w:t xml:space="preserve">Apendices</w:t>
      </w:r>
    </w:p>
    <w:bookmarkEnd w:id="149"/>
    <w:bookmarkStart w:id="153"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C:\PROGRA~1\RStudio\RESOUR~1\app\bin\quarto\share\formats\docx\warning.png" id="152" name="Picture"/>
                          <pic:cNvPicPr>
                            <a:picLocks noChangeArrowheads="1" noChangeAspect="1"/>
                          </pic:cNvPicPr>
                        </pic:nvPicPr>
                        <pic:blipFill>
                          <a:blip r:embed="rId1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tc>
      </w:tr>
    </w:tbl>
    <w:bookmarkEnd w:id="153"/>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0" Target="media/rId150.png" /><Relationship Type="http://schemas.openxmlformats.org/officeDocument/2006/relationships/image" Id="rId125" Target="media/rId125.png" /><Relationship Type="http://schemas.openxmlformats.org/officeDocument/2006/relationships/image" Id="rId121" Target="media/rId121.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hyperlink" Id="rId79" Target="https://bit.ly/4gtUh3i" TargetMode="External"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102"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8" Target="https://doi.org/10.1016/j.cbpc.2005.12.009" TargetMode="External" /><Relationship Type="http://schemas.openxmlformats.org/officeDocument/2006/relationships/hyperlink" Id="rId100"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4"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97" Target="https://posit.co/products/open-source/rstudio/" TargetMode="External" /><Relationship Type="http://schemas.openxmlformats.org/officeDocument/2006/relationships/hyperlink" Id="rId95" Target="https://www.R-project.org/" TargetMode="External" /><Relationship Type="http://schemas.openxmlformats.org/officeDocument/2006/relationships/hyperlink" Id="rId40" Target="https://www.planalto.gov.br/ccivil_03/leis/l9985.htm" TargetMode="External" /></Relationships>
</file>

<file path=word/_rels/footnotes.xml.rels><?xml version="1.0" encoding="UTF-8"?><Relationships xmlns="http://schemas.openxmlformats.org/package/2006/relationships"><Relationship Type="http://schemas.openxmlformats.org/officeDocument/2006/relationships/hyperlink" Id="rId79" Target="https://bit.ly/4gtUh3i" TargetMode="External"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102"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8" Target="https://doi.org/10.1016/j.cbpc.2005.12.009" TargetMode="External" /><Relationship Type="http://schemas.openxmlformats.org/officeDocument/2006/relationships/hyperlink" Id="rId100"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4"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97" Target="https://posit.co/products/open-source/rstudio/" TargetMode="External" /><Relationship Type="http://schemas.openxmlformats.org/officeDocument/2006/relationships/hyperlink" Id="rId95" Target="https://www.R-project.org/" TargetMode="External" /><Relationship Type="http://schemas.openxmlformats.org/officeDocument/2006/relationships/hyperlink" Id="rId40" Target="https://www.planalto.gov.br/ccivil_03/leis/l998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2026-06-19T10:43:46Z</dcterms:created>
  <dcterms:modified xsi:type="dcterms:W3CDTF">2026-06-19T10:43:46Z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2026-06-19</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