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15.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0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2026-06-14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Corpodetexto"/>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Corpodetexto"/>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Corpodetexto"/>
      </w:pPr>
      <w:r>
        <w:t xml:space="preserve">Fish are among the most widely used organisms to evaluate the health of aquatic systems, since their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Corpodetexto"/>
      </w:pPr>
      <w:r>
        <w:t xml:space="preserve">Another relevant biomarker is the abnormal activity of the multixenobiotic resistance (MXR) phenotype</w:t>
      </w:r>
      <w:r>
        <w:t xml:space="preserve"> </w:t>
      </w:r>
      <w:r>
        <w:t xml:space="preserve">(Bard, 2000)</w:t>
      </w:r>
      <w:r>
        <w:t xml:space="preserv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Corpodetexto"/>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the identification of physiological stress biomarkers in fish from a headwater stream to evaluate the ecological health of sites inside and surrounding a protected area of Atlantic Forest, and enable decision makers to take action on the influence of anthropogenic threats and the ecological consequence of pollution exposure of the buffer zone.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and Cerrado ecoregions. It was created in 1990 to preserve one of the last remnants of the Atlantic Forest in the region</w:t>
      </w:r>
      <w:r>
        <w:t xml:space="preserve"> </w:t>
      </w:r>
      <w:r>
        <w:t xml:space="preserve">(MMA, 2003)</w:t>
      </w:r>
      <w:r>
        <w:t xml:space="preserve">. Despite being one of the most restricted types of protected areas, there are a number human settlements in its buffer zone. The Management Plan for REBIOstates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Corpodetexto"/>
      </w:pPr>
      <w:r>
        <w:t xml:space="preserve">The climate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t xml:space="preserve">The ecophysiological evaluation of human impact on the forest, was mainly guided by the fish species inventory of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consequently, isolation of populations</w:t>
      </w:r>
      <w:r>
        <w:t xml:space="preserve"> </w:t>
      </w:r>
      <w:r>
        <w:t xml:space="preserve">(Gouveia et al., 2017)</w:t>
      </w:r>
      <w:r>
        <w:t xml:space="preserve">, associated with the fact that most species in the study area are phylogenetic close (with the pedominance of Characidae) and are widely distributed, offers an appropriate design to access the entire local ichthyofauna using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w:t>
      </w:r>
      <w:r>
        <w:t xml:space="preserve">(ref_fig).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Corpodetexto"/>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 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6" w:name="references"/>
    <w:p>
      <w:pPr>
        <w:pStyle w:val="Ttulo1"/>
      </w:pPr>
      <w:r>
        <w:t xml:space="preserve">References</w:t>
      </w:r>
    </w:p>
    <w:bookmarkStart w:id="105" w:name="refs"/>
    <w:bookmarkStart w:id="29" w:name="ref-abilhoa2011"/>
    <w:p>
      <w:pPr>
        <w:pStyle w:val="Bibliografia"/>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fia"/>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fia"/>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fia"/>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fia"/>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fia"/>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fia"/>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fia"/>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fia"/>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fia"/>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fia"/>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fia"/>
      </w:pPr>
      <w:r>
        <w:t xml:space="preserve">MMA. (2003).</w:t>
      </w:r>
      <w:r>
        <w:t xml:space="preserve"> </w:t>
      </w:r>
      <w:r>
        <w:rPr>
          <w:i/>
          <w:iCs/>
        </w:rPr>
        <w:t xml:space="preserve">Plano de manejo reserva biológica guaribas. Fase 2.</w:t>
      </w:r>
      <w:r>
        <w:t xml:space="preserve"> </w:t>
      </w:r>
      <w:hyperlink r:id="rId79">
        <w:r>
          <w:rPr>
            <w:rStyle w:val="Hyperlink"/>
          </w:rPr>
          <w:t xml:space="preserve">https://www.gov.br/icmbio/pt-br/assuntos/biodiversidade/unidade-de-conservacao/unidades-de-biomas/mata-atlantica/lista-de-ucs/rebio-guaribas</w:t>
        </w:r>
      </w:hyperlink>
    </w:p>
    <w:bookmarkEnd w:id="80"/>
    <w:bookmarkStart w:id="82" w:name="ref-mma2026"/>
    <w:p>
      <w:pPr>
        <w:pStyle w:val="Bibliografia"/>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fia"/>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fia"/>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fia"/>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rstudioteam"/>
    <w:p>
      <w:pPr>
        <w:pStyle w:val="Bibliografia"/>
      </w:pPr>
      <w:r>
        <w:t xml:space="preserve">RStudio Team. (n.d.).</w:t>
      </w:r>
      <w:r>
        <w:t xml:space="preserve"> </w:t>
      </w:r>
      <w:r>
        <w:rPr>
          <w:i/>
          <w:iCs/>
        </w:rPr>
        <w:t xml:space="preserve">RStudio: Integrated Development Environment for R</w:t>
      </w:r>
      <w:r>
        <w:t xml:space="preserve">.</w:t>
      </w:r>
    </w:p>
    <w:bookmarkEnd w:id="95"/>
    <w:bookmarkStart w:id="96"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96"/>
    <w:bookmarkStart w:id="98"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7">
        <w:r>
          <w:rPr>
            <w:rStyle w:val="Hyperlink"/>
          </w:rPr>
          <w:t xml:space="preserve">https://doi.org/10.1016/j.cbpc.2017.08.008</w:t>
        </w:r>
      </w:hyperlink>
    </w:p>
    <w:bookmarkEnd w:id="98"/>
    <w:bookmarkStart w:id="100"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9">
        <w:r>
          <w:rPr>
            <w:rStyle w:val="Hyperlink"/>
          </w:rPr>
          <w:t xml:space="preserve">https://doi.org/10.1016/S0027-5107(97)00265-0</w:t>
        </w:r>
      </w:hyperlink>
    </w:p>
    <w:bookmarkEnd w:id="100"/>
    <w:bookmarkStart w:id="102"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1">
        <w:r>
          <w:rPr>
            <w:rStyle w:val="Hyperlink"/>
          </w:rPr>
          <w:t xml:space="preserve">https://doi.org/10.1016/j.mrfmmm.2004.06.006</w:t>
        </w:r>
      </w:hyperlink>
    </w:p>
    <w:bookmarkEnd w:id="102"/>
    <w:bookmarkStart w:id="103"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3"/>
    <w:bookmarkStart w:id="104"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4"/>
    <w:bookmarkEnd w:id="105"/>
    <w:bookmarkEnd w:id="106"/>
    <w:bookmarkStart w:id="150" w:name="figures-and-tables"/>
    <w:p>
      <w:pPr>
        <w:pStyle w:val="Ttulo1"/>
      </w:pPr>
      <w:r>
        <w:t xml:space="preserve">Figures and Tables</w:t>
      </w:r>
    </w:p>
    <w:bookmarkStart w:id="1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0" w:name="fig-mapa"/>
          <w:p>
            <w:pPr>
              <w:pStyle w:val="Compact"/>
              <w:jc w:val="center"/>
            </w:pPr>
            <w:r>
              <w:drawing>
                <wp:inline>
                  <wp:extent cx="5600700" cy="3960010"/>
                  <wp:effectExtent b="0" l="0" r="0" t="0"/>
                  <wp:docPr descr="" title="" id="108" name="Picture"/>
                  <a:graphic>
                    <a:graphicData uri="http://schemas.openxmlformats.org/drawingml/2006/picture">
                      <pic:pic>
                        <pic:nvPicPr>
                          <pic:cNvPr descr="imagens/Mapa%20Atualizado.png" id="109" name="Picture"/>
                          <pic:cNvPicPr>
                            <a:picLocks noChangeArrowheads="1" noChangeAspect="1"/>
                          </pic:cNvPicPr>
                        </pic:nvPicPr>
                        <pic:blipFill>
                          <a:blip r:embed="rId107"/>
                          <a:stretch>
                            <a:fillRect/>
                          </a:stretch>
                        </pic:blipFill>
                        <pic:spPr bwMode="auto">
                          <a:xfrm>
                            <a:off x="0" y="0"/>
                            <a:ext cx="5600700" cy="3960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refsites"/>
          <w:p>
            <w:pPr>
              <w:pStyle w:val="Compact"/>
              <w:jc w:val="center"/>
            </w:pPr>
            <w:r>
              <w:drawing>
                <wp:inline>
                  <wp:extent cx="5600700" cy="4657626"/>
                  <wp:effectExtent b="0" l="0" r="0" t="0"/>
                  <wp:docPr descr="" title="" id="112" name="Picture"/>
                  <a:graphic>
                    <a:graphicData uri="http://schemas.openxmlformats.org/drawingml/2006/picture">
                      <pic:pic>
                        <pic:nvPicPr>
                          <pic:cNvPr descr="imagens/refsites.png" id="113" name="Picture"/>
                          <pic:cNvPicPr>
                            <a:picLocks noChangeArrowheads="1" noChangeAspect="1"/>
                          </pic:cNvPicPr>
                        </pic:nvPicPr>
                        <pic:blipFill>
                          <a:blip r:embed="rId111"/>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hab_PCA_fviz"/>
          <w:p>
            <w:pPr>
              <w:pStyle w:val="Compact"/>
              <w:jc w:val="center"/>
            </w:pPr>
            <w:r>
              <w:drawing>
                <wp:inline>
                  <wp:extent cx="5600700" cy="4582390"/>
                  <wp:effectExtent b="0" l="0" r="0" t="0"/>
                  <wp:docPr descr="" title="" id="116" name="Picture"/>
                  <a:graphic>
                    <a:graphicData uri="http://schemas.openxmlformats.org/drawingml/2006/picture">
                      <pic:pic>
                        <pic:nvPicPr>
                          <pic:cNvPr descr="fig-hab_PCA_fviz.png" id="117" name="Picture"/>
                          <pic:cNvPicPr>
                            <a:picLocks noChangeArrowheads="1" noChangeAspect="1"/>
                          </pic:cNvPicPr>
                        </pic:nvPicPr>
                        <pic:blipFill>
                          <a:blip r:embed="rId115"/>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oxtpinandout"/>
          <w:p>
            <w:pPr>
              <w:pStyle w:val="Compact"/>
              <w:jc w:val="center"/>
            </w:pPr>
            <w:r>
              <w:drawing>
                <wp:inline>
                  <wp:extent cx="5600700" cy="3843033"/>
                  <wp:effectExtent b="0" l="0" r="0" t="0"/>
                  <wp:docPr descr="" title="" id="120" name="Picture"/>
                  <a:graphic>
                    <a:graphicData uri="http://schemas.openxmlformats.org/drawingml/2006/picture">
                      <pic:pic>
                        <pic:nvPicPr>
                          <pic:cNvPr descr="imagens/Figura%203.png" id="121" name="Picture"/>
                          <pic:cNvPicPr>
                            <a:picLocks noChangeArrowheads="1" noChangeAspect="1"/>
                          </pic:cNvPicPr>
                        </pic:nvPicPr>
                        <pic:blipFill>
                          <a:blip r:embed="rId11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2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fig-boxtpsites"/>
          <w:p>
            <w:pPr>
              <w:pStyle w:val="Compact"/>
              <w:jc w:val="center"/>
            </w:pPr>
            <w:r>
              <w:drawing>
                <wp:inline>
                  <wp:extent cx="5600700" cy="3843033"/>
                  <wp:effectExtent b="0" l="0" r="0" t="0"/>
                  <wp:docPr descr="" title="" id="124" name="Picture"/>
                  <a:graphic>
                    <a:graphicData uri="http://schemas.openxmlformats.org/drawingml/2006/picture">
                      <pic:pic>
                        <pic:nvPicPr>
                          <pic:cNvPr descr="imagens/Figura%204.png" id="125" name="Picture"/>
                          <pic:cNvPicPr>
                            <a:picLocks noChangeArrowheads="1" noChangeAspect="1"/>
                          </pic:cNvPicPr>
                        </pic:nvPicPr>
                        <pic:blipFill>
                          <a:blip r:embed="rId12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fig-mcsites"/>
          <w:p>
            <w:pPr>
              <w:pStyle w:val="Compact"/>
              <w:jc w:val="center"/>
            </w:pPr>
            <w:r>
              <w:drawing>
                <wp:inline>
                  <wp:extent cx="5600700" cy="3843033"/>
                  <wp:effectExtent b="0" l="0" r="0" t="0"/>
                  <wp:docPr descr="" title="" id="128" name="Picture"/>
                  <a:graphic>
                    <a:graphicData uri="http://schemas.openxmlformats.org/drawingml/2006/picture">
                      <pic:pic>
                        <pic:nvPicPr>
                          <pic:cNvPr descr="imagens/Figura%205.png" id="129" name="Picture"/>
                          <pic:cNvPicPr>
                            <a:picLocks noChangeArrowheads="1" noChangeAspect="1"/>
                          </pic:cNvPicPr>
                        </pic:nvPicPr>
                        <pic:blipFill>
                          <a:blip r:embed="rId12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3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boxmmcsites"/>
          <w:p>
            <w:pPr>
              <w:pStyle w:val="Compact"/>
              <w:jc w:val="center"/>
            </w:pPr>
            <w:r>
              <w:drawing>
                <wp:inline>
                  <wp:extent cx="5600700" cy="3843033"/>
                  <wp:effectExtent b="0" l="0" r="0" t="0"/>
                  <wp:docPr descr="" title="" id="132" name="Picture"/>
                  <a:graphic>
                    <a:graphicData uri="http://schemas.openxmlformats.org/drawingml/2006/picture">
                      <pic:pic>
                        <pic:nvPicPr>
                          <pic:cNvPr descr="imagens/Figura%206.png" id="133" name="Picture"/>
                          <pic:cNvPicPr>
                            <a:picLocks noChangeArrowheads="1" noChangeAspect="1"/>
                          </pic:cNvPicPr>
                        </pic:nvPicPr>
                        <pic:blipFill>
                          <a:blip r:embed="rId13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fluorescence"/>
          <w:p>
            <w:pPr>
              <w:pStyle w:val="Compact"/>
              <w:jc w:val="center"/>
            </w:pPr>
            <w:r>
              <w:drawing>
                <wp:inline>
                  <wp:extent cx="5600700" cy="3843033"/>
                  <wp:effectExtent b="0" l="0" r="0" t="0"/>
                  <wp:docPr descr="" title="" id="136" name="Picture"/>
                  <a:graphic>
                    <a:graphicData uri="http://schemas.openxmlformats.org/drawingml/2006/picture">
                      <pic:pic>
                        <pic:nvPicPr>
                          <pic:cNvPr descr="imagens/Figura%207.png" id="137" name="Picture"/>
                          <pic:cNvPicPr>
                            <a:picLocks noChangeArrowheads="1" noChangeAspect="1"/>
                          </pic:cNvPicPr>
                        </pic:nvPicPr>
                        <pic:blipFill>
                          <a:blip r:embed="rId13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3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boxmxr"/>
          <w:p>
            <w:pPr>
              <w:pStyle w:val="Compact"/>
              <w:jc w:val="center"/>
            </w:pPr>
            <w:r>
              <w:drawing>
                <wp:inline>
                  <wp:extent cx="5600700" cy="3843033"/>
                  <wp:effectExtent b="0" l="0" r="0" t="0"/>
                  <wp:docPr descr="" title="" id="140" name="Picture"/>
                  <a:graphic>
                    <a:graphicData uri="http://schemas.openxmlformats.org/drawingml/2006/picture">
                      <pic:pic>
                        <pic:nvPicPr>
                          <pic:cNvPr descr="imagens/Figura%208.png" id="141" name="Picture"/>
                          <pic:cNvPicPr>
                            <a:picLocks noChangeArrowheads="1" noChangeAspect="1"/>
                          </pic:cNvPicPr>
                        </pic:nvPicPr>
                        <pic:blipFill>
                          <a:blip r:embed="rId13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ar"/>
          <w:p>
            <w:pPr>
              <w:pStyle w:val="Compact"/>
              <w:jc w:val="center"/>
            </w:pPr>
            <w:r>
              <w:drawing>
                <wp:inline>
                  <wp:extent cx="5600700" cy="3843033"/>
                  <wp:effectExtent b="0" l="0" r="0" t="0"/>
                  <wp:docPr descr="" title="" id="144" name="Picture"/>
                  <a:graphic>
                    <a:graphicData uri="http://schemas.openxmlformats.org/drawingml/2006/picture">
                      <pic:pic>
                        <pic:nvPicPr>
                          <pic:cNvPr descr="imagens/Figure%209.png" id="145" name="Picture"/>
                          <pic:cNvPicPr>
                            <a:picLocks noChangeArrowheads="1" noChangeAspect="1"/>
                          </pic:cNvPicPr>
                        </pic:nvPicPr>
                        <pic:blipFill>
                          <a:blip r:embed="rId14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6"/>
        </w:tc>
      </w:tr>
    </w:tbl>
    <w:bookmarkEnd w:id="147"/>
    <w:bookmarkStart w:id="149"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8" w:name="tbl-abund"/>
          <w:p>
            <w:pPr>
              <w:jc w:val="center"/>
            </w:pPr>
            <w:pPr>
              <w:jc w:val="left"/>
              <w:spacing w:before="200"/>
              <w:pStyle w:val="ImageCaption"/>
            </w:pPr>
            <w:r>
              <w:t xml:space="preserve">Table 1: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48"/>
        </w:tc>
      </w:tr>
    </w:tbl>
    <w:bookmarkEnd w:id="149"/>
    <w:bookmarkEnd w:id="150"/>
    <w:bookmarkStart w:id="151" w:name="apendices"/>
    <w:p>
      <w:pPr>
        <w:pStyle w:val="Ttulo1"/>
      </w:pPr>
      <w:r>
        <w:t xml:space="preserve">Apendices</w:t>
      </w:r>
    </w:p>
    <w:bookmarkEnd w:id="151"/>
    <w:bookmarkStart w:id="155"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5"/>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2026-06-14T16:56:46Z</dcterms:created>
  <dcterms:modified xsi:type="dcterms:W3CDTF">2026-06-14T16:56:46Z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