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33.png" ContentType="image/png"/>
  <Override PartName="/word/media/rId129.png" ContentType="image/png"/>
  <Override PartName="/word/media/rId141.png" ContentType="image/png"/>
  <Override PartName="/word/media/rId137.png" ContentType="image/png"/>
  <Override PartName="/word/media/rId145.png" ContentType="image/png"/>
  <Override PartName="/word/media/rId121.png" ContentType="image/png"/>
  <Override PartName="/word/media/rId1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w:t>
      </w:r>
      <w:r>
        <w:t xml:space="preserve"> </w:t>
      </w:r>
      <w:r>
        <w:t xml:space="preserve">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2026-06-30</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w:t>
      </w:r>
      <w:r>
        <w:t xml:space="preserve"> </w:t>
      </w:r>
      <w:r>
        <w:t xml:space="preserve">(Pereira et al., 2026)</w:t>
      </w:r>
      <w:r>
        <w:t xml:space="preserve">,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 OU INDESEJADAS----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(del_cols, </w:t>
      </w:r>
      <w:r>
        <w:rPr>
          <w:rStyle w:val="StringTok"/>
        </w:rPr>
        <w:t xml:space="preserve">"n.Ammonia_NH3_ug.L"</w:t>
      </w:r>
      <w:r>
        <w:rPr>
          <w:rStyle w:val="NormalTok"/>
        </w:rPr>
        <w:t xml:space="preserve">, </w:t>
      </w:r>
      <w:r>
        <w:rPr>
          <w:rStyle w:val="StringTok"/>
        </w:rPr>
        <w:t xml:space="preserve">"n.Nitrite_NO2__ug.L"</w:t>
      </w:r>
      <w:r>
        <w:rPr>
          <w:rStyle w:val="NormalTok"/>
        </w:rPr>
        <w:t xml:space="preserve">,</w:t>
      </w:r>
      <w:r>
        <w:br/>
      </w:r>
      <w:r>
        <w:rPr>
          <w:rStyle w:val="NormalTok"/>
        </w:rPr>
        <w:t xml:space="preserve">              </w:t>
      </w:r>
      <w:r>
        <w:rPr>
          <w:rStyle w:val="StringTok"/>
        </w:rPr>
        <w:t xml:space="preserve">"n.Nitrate_NO3__ug.L"</w:t>
      </w:r>
      <w:r>
        <w:rPr>
          <w:rStyle w:val="NormalTok"/>
        </w:rPr>
        <w:t xml:space="preserve">, </w:t>
      </w:r>
      <w:r>
        <w:rPr>
          <w:rStyle w:val="StringTok"/>
        </w:rPr>
        <w:t xml:space="preserve">"n.Orthophosphate_SRP__ug.L"</w:t>
      </w:r>
      <w:r>
        <w:rPr>
          <w:rStyle w:val="NormalTok"/>
        </w:rPr>
        <w:t xml:space="preserve">,</w:t>
      </w:r>
      <w:r>
        <w:br/>
      </w:r>
      <w:r>
        <w:rPr>
          <w:rStyle w:val="NormalTok"/>
        </w:rPr>
        <w:t xml:space="preserve">              </w:t>
      </w:r>
      <w:r>
        <w:rPr>
          <w:rStyle w:val="StringTok"/>
        </w:rPr>
        <w:t xml:space="preserve">"n.Phosphorus_TP__ug.L"</w:t>
      </w:r>
      <w:r>
        <w:rPr>
          <w:rStyle w:val="NormalTok"/>
        </w:rPr>
        <w:t xml:space="preserve">)</w:t>
      </w:r>
      <w:r>
        <w:br/>
      </w:r>
      <w:r>
        <w:rPr>
          <w:rStyle w:val="CommentTok"/>
        </w:rPr>
        <w:t xml:space="preserve">#del_cols &lt;- grep("^n\\.", colnames(m_hab), value = TRUE)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rPr>
          <w:rStyle w:val="FunctionTok"/>
        </w:rPr>
        <w:t xml:space="preserve">sink</w:t>
      </w:r>
      <w:r>
        <w:rPr>
          <w:rStyle w:val="NormalTok"/>
        </w:rPr>
        <w:t xml:space="preserve">()</w:t>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FunctionTok"/>
        </w:rPr>
        <w:t xml:space="preserve">colnames</w:t>
      </w:r>
      <w:r>
        <w:rPr>
          <w:rStyle w:val="NormalTok"/>
        </w:rPr>
        <w:t xml:space="preserve">(m_hab)</w:t>
      </w:r>
      <w:r>
        <w:br/>
      </w:r>
      <w:r>
        <w:rPr>
          <w:rStyle w:val="FunctionTok"/>
        </w:rPr>
        <w:t xml:space="preserve">library</w:t>
      </w:r>
      <w:r>
        <w:rPr>
          <w:rStyle w:val="NormalTok"/>
        </w:rPr>
        <w:t xml:space="preserve">(PerformanceAnalytics)</w:t>
      </w:r>
      <w:r>
        <w:br/>
      </w:r>
      <w:r>
        <w:rPr>
          <w:rStyle w:val="FunctionTok"/>
        </w:rPr>
        <w:t xml:space="preserve">chart.Correlation</w:t>
      </w:r>
      <w:r>
        <w:rPr>
          <w:rStyle w:val="NormalTok"/>
        </w:rPr>
        <w:t xml:space="preserve">(m_hab[, </w:t>
      </w:r>
      <w:r>
        <w:rPr>
          <w:rStyle w:val="FunctionTok"/>
        </w:rPr>
        <w:t xml:space="preserve">c</w:t>
      </w:r>
      <w:r>
        <w:rPr>
          <w:rStyle w:val="NormalTok"/>
        </w:rPr>
        <w:t xml:space="preserve">(</w:t>
      </w:r>
      <w:r>
        <w:rPr>
          <w:rStyle w:val="DecValTok"/>
        </w:rPr>
        <w:t xml:space="preserve">15</w:t>
      </w:r>
      <w:r>
        <w:rPr>
          <w:rStyle w:val="SpecialCharTok"/>
        </w:rPr>
        <w:t xml:space="preserve">:</w:t>
      </w:r>
      <w:r>
        <w:rPr>
          <w:rStyle w:val="DecValTok"/>
        </w:rPr>
        <w:t xml:space="preserve">24</w:t>
      </w:r>
      <w:r>
        <w:rPr>
          <w:rStyle w:val="NormalTok"/>
        </w:rPr>
        <w:t xml:space="preserve">, </w:t>
      </w:r>
      <w:r>
        <w:rPr>
          <w:rStyle w:val="DecValTok"/>
        </w:rPr>
        <w:t xml:space="preserve">27</w:t>
      </w:r>
      <w:r>
        <w:rPr>
          <w:rStyle w:val="SpecialCharTok"/>
        </w:rPr>
        <w:t xml:space="preserve">:</w:t>
      </w:r>
      <w:r>
        <w:rPr>
          <w:rStyle w:val="DecValTok"/>
        </w:rPr>
        <w:t xml:space="preserve">31</w:t>
      </w:r>
      <w:r>
        <w:rPr>
          <w:rStyle w:val="NormalTok"/>
        </w:rPr>
        <w:t xml:space="preserve">)], </w:t>
      </w:r>
      <w:r>
        <w:rPr>
          <w:rStyle w:val="AttributeTok"/>
        </w:rPr>
        <w:t xml:space="preserve">histogram=</w:t>
      </w:r>
      <w:r>
        <w:rPr>
          <w:rStyle w:val="ConstantTok"/>
        </w:rPr>
        <w:t xml:space="preserve">TRUE</w:t>
      </w:r>
      <w:r>
        <w:rPr>
          <w:rStyle w:val="NormalTok"/>
        </w:rPr>
        <w:t xml:space="preserve">)</w:t>
      </w:r>
      <w:r>
        <w:br/>
      </w:r>
      <w:r>
        <w:rPr>
          <w:rStyle w:val="CommentTok"/>
        </w:rPr>
        <w:t xml:space="preserve"># ***p&lt;0.001, **p&lt;0.01, *p&lt;0.05, .p&lt;0.10</w:t>
      </w:r>
      <w:r>
        <w:br/>
      </w:r>
      <w:r>
        <w:br/>
      </w:r>
      <w:r>
        <w:rPr>
          <w:rStyle w:val="FunctionTok"/>
        </w:rPr>
        <w:t xml:space="preserve">library</w:t>
      </w:r>
      <w:r>
        <w:rPr>
          <w:rStyle w:val="NormalTok"/>
        </w:rPr>
        <w:t xml:space="preserve">(Hmisc)</w:t>
      </w:r>
      <w:r>
        <w:br/>
      </w:r>
      <w:r>
        <w:rPr>
          <w:rStyle w:val="NormalTok"/>
        </w:rPr>
        <w:t xml:space="preserve">mat </w:t>
      </w:r>
      <w:r>
        <w:rPr>
          <w:rStyle w:val="OtherTok"/>
        </w:rPr>
        <w:t xml:space="preserve">&lt;-</w:t>
      </w:r>
      <w:r>
        <w:rPr>
          <w:rStyle w:val="NormalTok"/>
        </w:rPr>
        <w:t xml:space="preserve"> </w:t>
      </w:r>
      <w:r>
        <w:rPr>
          <w:rStyle w:val="FunctionTok"/>
        </w:rPr>
        <w:t xml:space="preserve">as.matrix</w:t>
      </w:r>
      <w:r>
        <w:rPr>
          <w:rStyle w:val="NormalTok"/>
        </w:rPr>
        <w:t xml:space="preserve">(m_hab[, </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res </w:t>
      </w:r>
      <w:r>
        <w:rPr>
          <w:rStyle w:val="OtherTok"/>
        </w:rPr>
        <w:t xml:space="preserve">&lt;-</w:t>
      </w:r>
      <w:r>
        <w:rPr>
          <w:rStyle w:val="NormalTok"/>
        </w:rPr>
        <w:t xml:space="preserve"> </w:t>
      </w:r>
      <w:r>
        <w:rPr>
          <w:rStyle w:val="FunctionTok"/>
        </w:rPr>
        <w:t xml:space="preserve">rcorr</w:t>
      </w:r>
      <w:r>
        <w:rPr>
          <w:rStyle w:val="NormalTok"/>
        </w:rPr>
        <w:t xml:space="preserve">(mat,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cor_mat </w:t>
      </w:r>
      <w:r>
        <w:rPr>
          <w:rStyle w:val="OtherTok"/>
        </w:rPr>
        <w:t xml:space="preserve">&lt;-</w:t>
      </w:r>
      <w:r>
        <w:rPr>
          <w:rStyle w:val="NormalTok"/>
        </w:rPr>
        <w:t xml:space="preserve"> res</w:t>
      </w:r>
      <w:r>
        <w:rPr>
          <w:rStyle w:val="SpecialCharTok"/>
        </w:rPr>
        <w:t xml:space="preserve">$</w:t>
      </w:r>
      <w:r>
        <w:rPr>
          <w:rStyle w:val="NormalTok"/>
        </w:rPr>
        <w:t xml:space="preserve">r</w:t>
      </w:r>
      <w:r>
        <w:br/>
      </w:r>
      <w:r>
        <w:rPr>
          <w:rStyle w:val="NormalTok"/>
        </w:rPr>
        <w:t xml:space="preserve">p_mat   </w:t>
      </w:r>
      <w:r>
        <w:rPr>
          <w:rStyle w:val="OtherTok"/>
        </w:rPr>
        <w:t xml:space="preserve">&lt;-</w:t>
      </w:r>
      <w:r>
        <w:rPr>
          <w:rStyle w:val="NormalTok"/>
        </w:rPr>
        <w:t xml:space="preserve"> res</w:t>
      </w:r>
      <w:r>
        <w:rPr>
          <w:rStyle w:val="SpecialCharTok"/>
        </w:rPr>
        <w:t xml:space="preserve">$</w:t>
      </w:r>
      <w:r>
        <w:rPr>
          <w:rStyle w:val="NormalTok"/>
        </w:rPr>
        <w:t xml:space="preserve">P</w:t>
      </w:r>
      <w:r>
        <w:br/>
      </w:r>
      <w:r>
        <w:br/>
      </w:r>
      <w:r>
        <w:rPr>
          <w:rStyle w:val="NormalTok"/>
        </w:rPr>
        <w:t xml:space="preserve">stars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(cor_mat, </w:t>
      </w:r>
      <w:r>
        <w:rPr>
          <w:rStyle w:val="DecValTok"/>
        </w:rPr>
        <w:t xml:space="preserve">2</w:t>
      </w:r>
      <w:r>
        <w:rPr>
          <w:rStyle w:val="NormalTok"/>
        </w:rPr>
        <w:t xml:space="preserve">), stars),</w:t>
      </w:r>
      <w:r>
        <w:br/>
      </w:r>
      <w:r>
        <w:rPr>
          <w:rStyle w:val="NormalTok"/>
        </w:rPr>
        <w:t xml:space="preserve">                   </w:t>
      </w:r>
      <w:r>
        <w:rPr>
          <w:rStyle w:val="ConstantTok"/>
        </w:rPr>
        <w:t xml:space="preserve">NA</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matrix</w:t>
      </w:r>
      <w:r>
        <w:rPr>
          <w:rStyle w:val="NormalTok"/>
        </w:rPr>
        <w:t xml:space="preserve">(</w:t>
      </w:r>
      <w:r>
        <w:br/>
      </w:r>
      <w:r>
        <w:rPr>
          <w:rStyle w:val="NormalTok"/>
        </w:rPr>
        <w:t xml:space="preserve">  cor_star,</w:t>
      </w:r>
      <w:r>
        <w:br/>
      </w:r>
      <w:r>
        <w:rPr>
          <w:rStyle w:val="NormalTok"/>
        </w:rPr>
        <w:t xml:space="preserve">  </w:t>
      </w:r>
      <w:r>
        <w:rPr>
          <w:rStyle w:val="AttributeTok"/>
        </w:rPr>
        <w:t xml:space="preserve">nrow =</w:t>
      </w:r>
      <w:r>
        <w:rPr>
          <w:rStyle w:val="NormalTok"/>
        </w:rPr>
        <w:t xml:space="preserve"> </w:t>
      </w:r>
      <w:r>
        <w:rPr>
          <w:rStyle w:val="FunctionTok"/>
        </w:rPr>
        <w:t xml:space="preserve">nrow</w:t>
      </w:r>
      <w:r>
        <w:rPr>
          <w:rStyle w:val="NormalTok"/>
        </w:rPr>
        <w:t xml:space="preserve">(cor_mat),</w:t>
      </w:r>
      <w:r>
        <w:br/>
      </w:r>
      <w:r>
        <w:rPr>
          <w:rStyle w:val="NormalTok"/>
        </w:rPr>
        <w:t xml:space="preserve">  </w:t>
      </w:r>
      <w:r>
        <w:rPr>
          <w:rStyle w:val="AttributeTok"/>
        </w:rPr>
        <w:t xml:space="preserve">dimnames =</w:t>
      </w:r>
      <w:r>
        <w:rPr>
          <w:rStyle w:val="NormalTok"/>
        </w:rPr>
        <w:t xml:space="preserve"> </w:t>
      </w:r>
      <w:r>
        <w:rPr>
          <w:rStyle w:val="FunctionTok"/>
        </w:rPr>
        <w:t xml:space="preserve">dimnames</w:t>
      </w:r>
      <w:r>
        <w:rPr>
          <w:rStyle w:val="NormalTok"/>
        </w:rPr>
        <w:t xml:space="preserve">(cor_mat)</w:t>
      </w:r>
      <w:r>
        <w:br/>
      </w:r>
      <w:r>
        <w:rPr>
          <w:rStyle w:val="NormalTok"/>
        </w:rPr>
        <w:t xml:space="preserve">)</w:t>
      </w:r>
      <w:r>
        <w:br/>
      </w:r>
      <w:r>
        <w:br/>
      </w:r>
      <w:r>
        <w:rPr>
          <w:rStyle w:val="NormalTok"/>
        </w:rPr>
        <w:t xml:space="preserve">cor_star[</w:t>
      </w:r>
      <w:r>
        <w:rPr>
          <w:rStyle w:val="FunctionTok"/>
        </w:rPr>
        <w:t xml:space="preserve">upper.tri</w:t>
      </w:r>
      <w:r>
        <w:rPr>
          <w:rStyle w:val="NormalTok"/>
        </w:rPr>
        <w:t xml:space="preserve">(cor_star,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cor_star </w:t>
      </w:r>
      <w:r>
        <w:rPr>
          <w:rStyle w:val="OtherTok"/>
        </w:rPr>
        <w:t xml:space="preserve">&lt;-</w:t>
      </w:r>
      <w:r>
        <w:rPr>
          <w:rStyle w:val="NormalTok"/>
        </w:rPr>
        <w:t xml:space="preserve"> </w:t>
      </w:r>
      <w:r>
        <w:rPr>
          <w:rStyle w:val="FunctionTok"/>
        </w:rPr>
        <w:t xml:space="preserve">noquote</w:t>
      </w:r>
      <w:r>
        <w:rPr>
          <w:rStyle w:val="NormalTok"/>
        </w:rPr>
        <w:t xml:space="preserve">(cor_star)</w:t>
      </w:r>
      <w:r>
        <w:br/>
      </w:r>
      <w:r>
        <w:rPr>
          <w:rStyle w:val="FunctionTok"/>
        </w:rPr>
        <w:t xml:space="preserve">print</w:t>
      </w:r>
      <w:r>
        <w:rPr>
          <w:rStyle w:val="NormalTok"/>
        </w:rPr>
        <w:t xml:space="preserve">(cor_star, </w:t>
      </w:r>
      <w:r>
        <w:rPr>
          <w:rStyle w:val="AttributeTok"/>
        </w:rPr>
        <w:t xml:space="preserve">na.print =</w:t>
      </w:r>
      <w:r>
        <w:rPr>
          <w:rStyle w:val="NormalTok"/>
        </w:rPr>
        <w:t xml:space="preserve"> </w:t>
      </w:r>
      <w:r>
        <w:rPr>
          <w:rStyle w:val="StringTok"/>
        </w:rPr>
        <w:t xml:space="preserve">""</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velocity ranged from 0 to 0.293 m/s, with the highest values recorded at site 5. Width varied from 1.2 to 14.6 m, while average depth ranged from 13.7 to 44.2 cm. Dissolved oxygen ranged from 5.4 to 8.1 mg/L, and temperature from 25.2 to 27.8 °C. Conductivity varied between 129.0 and 163.3 μS/cm, whereas pH ranged from 5.5 to 7.0. Turbidity was generally low, although higher values were observed at sites 5 and 6, reaching 17.5 and 29.6 NTU, respectively. Elevation ranged from 41.5 to 112.8 m a.s.l., while slope varied between 1.0 and 3.0.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reduced habitat complexity. Sites 4–6 displayed greater variation in habitat composition. The habitat structures contributing most overall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(PCA) described the overall environmental structure of the sampling sites and identified the main variables responsible for their spatial differentiation in terms of physicochemical characteristics, channel morphology, substrate composition, and marginal habitat structure</w:t>
      </w:r>
      <w:r>
        <w:t xml:space="preserve"> </w:t>
      </w:r>
      <w:hyperlink w:anchor="fig-hab_PCA_fviz">
        <w:r>
          <w:rPr>
            <w:rStyle w:val="Hyperlink"/>
          </w:rPr>
          <w:t xml:space="preserve">Figure 3</w:t>
        </w:r>
      </w:hyperlink>
      <w:r>
        <w:t xml:space="preserve">. The first two principal components explained 57% of the total variance, with the first axis accounting for 31% and the second axis for 26%. The first axis represented a gradient separating sites I and II from site IV. Sites I and II were associated with higher dissolved oxygen concentrations, higher altitude, muddy substrates, and overlying vegetation, while site IV was characterized by greater channel width, average depth, vegetation cover, sandy substrate, and higher turbidity. The second axis reflected the differences in habitat structure and aquatic vegetation. The upper portion of the ordination was associated with algae, macrophytes, and channel width, while the lower portion was related to submerged vegetation, root mass, water velocity, turbidity, and sandy substrates. Site III occupied an intermediate position along the first axis but was clearly distinguished along the second axis by its association with submerged vegetation, root mass, and higher water velocity. Overall, PCA indicated a marked environmental gradient between the sampling sites, with site IV differing from the upstream sites mainly due to channel morphology and substrate characteristics, while the local habitat structure and aquatic vegetation explained the separation of site III from the other sites.</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NormalTok"/>
        </w:rPr>
        <w:t xml:space="preserve">t_grps </w:t>
      </w:r>
      <w:r>
        <w:rPr>
          <w:rStyle w:val="OtherTok"/>
        </w:rPr>
        <w:t xml:space="preserve">&lt;-</w:t>
      </w:r>
      <w:r>
        <w:rPr>
          <w:rStyle w:val="NormalTok"/>
        </w:rPr>
        <w:t xml:space="preserve"> t_grps[</w:t>
      </w:r>
      <w:r>
        <w:rPr>
          <w:rStyle w:val="FunctionTok"/>
        </w:rPr>
        <w:t xml:space="preserve">rownames</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w:t>
      </w:r>
      <w:r>
        <w:br/>
      </w:r>
      <w:r>
        <w:rPr>
          <w:rStyle w:val="NormalTok"/>
        </w:rPr>
        <w:t xml:space="preserve">  pca,</w:t>
      </w:r>
      <w:r>
        <w:br/>
      </w:r>
      <w:r>
        <w:rPr>
          <w:rStyle w:val="NormalTok"/>
        </w:rPr>
        <w:t xml:space="preserve">  </w:t>
      </w:r>
      <w:r>
        <w:rPr>
          <w:rStyle w:val="AttributeTok"/>
        </w:rPr>
        <w:t xml:space="preserve">habillage =</w:t>
      </w:r>
      <w:r>
        <w:rPr>
          <w:rStyle w:val="NormalTok"/>
        </w:rPr>
        <w:t xml:space="preserve"> my.cont.var,</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br/>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FILTRANDO AS VARIÁVEIS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w:t>
      </w:r>
      <w:r>
        <w:rPr>
          <w:rStyle w:val="DecValTok"/>
        </w:rPr>
        <w:t xml:space="preserve">1</w:t>
      </w:r>
      <w:r>
        <w:rPr>
          <w:rStyle w:val="NormalTok"/>
        </w:rPr>
        <w:t xml:space="preserve">,any)</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contrib[vars_to_keep,,drop</w:t>
      </w:r>
      <w:r>
        <w:rPr>
          <w:rStyle w:val="OtherTok"/>
        </w:rPr>
        <w:t xml:space="preserve">=</w:t>
      </w:r>
      <w:r>
        <w:rPr>
          <w:rStyle w:val="ConstantTok"/>
        </w:rPr>
        <w:t xml:space="preserve">FALSE</w:t>
      </w:r>
      <w:r>
        <w:rPr>
          <w:rStyle w:val="NormalTok"/>
        </w:rPr>
        <w:t xml:space="preserve">]</w:t>
      </w:r>
      <w:r>
        <w:br/>
      </w:r>
      <w:r>
        <w:br/>
      </w:r>
      <w:r>
        <w:rPr>
          <w:rStyle w:val="DocumentationTok"/>
        </w:rPr>
        <w:t xml:space="preserve">### AJUSTE MANUAL DAS COORDENADAS DOS VETORES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NormalTok"/>
        </w:rPr>
        <w:t xml:space="preserve">var_coords</w:t>
      </w:r>
      <w:r>
        <w:rPr>
          <w:rStyle w:val="SpecialCharTok"/>
        </w:rPr>
        <w:t xml:space="preserve">$</w:t>
      </w:r>
      <w:r>
        <w:rPr>
          <w:rStyle w:val="NormalTok"/>
        </w:rPr>
        <w:t xml:space="preserve">Dim</w:t>
      </w:r>
      <w:r>
        <w:rPr>
          <w:rStyle w:val="FloatTok"/>
        </w:rPr>
        <w:t xml:space="preserve">.1</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.1</w:t>
      </w:r>
      <w:r>
        <w:rPr>
          <w:rStyle w:val="SpecialCharTok"/>
        </w:rPr>
        <w:t xml:space="preserve">*</w:t>
      </w:r>
      <w:r>
        <w:rPr>
          <w:rStyle w:val="FloatTok"/>
        </w:rPr>
        <w:t xml:space="preserve">4.2</w:t>
      </w:r>
      <w:r>
        <w:br/>
      </w:r>
      <w:r>
        <w:rPr>
          <w:rStyle w:val="NormalTok"/>
        </w:rPr>
        <w:t xml:space="preserve">var_coords</w:t>
      </w:r>
      <w:r>
        <w:rPr>
          <w:rStyle w:val="SpecialCharTok"/>
        </w:rPr>
        <w:t xml:space="preserve">$</w:t>
      </w:r>
      <w:r>
        <w:rPr>
          <w:rStyle w:val="NormalTok"/>
        </w:rPr>
        <w:t xml:space="preserve">Dim</w:t>
      </w:r>
      <w:r>
        <w:rPr>
          <w:rStyle w:val="FloatTok"/>
        </w:rPr>
        <w:t xml:space="preserve">.2</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.2</w:t>
      </w:r>
      <w:r>
        <w:rPr>
          <w:rStyle w:val="SpecialCharTok"/>
        </w:rPr>
        <w:t xml:space="preserve">*</w:t>
      </w:r>
      <w:r>
        <w:rPr>
          <w:rStyle w:val="FloatTok"/>
        </w:rPr>
        <w:t xml:space="preserve">4.2</w:t>
      </w:r>
      <w:r>
        <w:br/>
      </w:r>
      <w:r>
        <w:br/>
      </w:r>
      <w:r>
        <w:rPr>
          <w:rStyle w:val="DocumentationTok"/>
        </w:rPr>
        <w:t xml:space="preserve">## Caso queira editar manualmente</w:t>
      </w:r>
      <w:r>
        <w:br/>
      </w:r>
      <w:r>
        <w:rPr>
          <w:rStyle w:val="CommentTok"/>
        </w:rPr>
        <w:t xml:space="preserve">#fix(var_coords)</w:t>
      </w:r>
      <w:r>
        <w:br/>
      </w:r>
      <w:r>
        <w:rPr>
          <w:rStyle w:val="CommentTok"/>
        </w:rPr>
        <w:t xml:space="preserve">#write.table(var_coords,"coords_var.txt")</w:t>
      </w:r>
      <w:r>
        <w:br/>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 AJUSTE MANUAL DOS INDIVÍDUOS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ind</w:t>
      </w:r>
      <w:r>
        <w:rPr>
          <w:rStyle w:val="SpecialCharTok"/>
        </w:rPr>
        <w:t xml:space="preserve">$</w:t>
      </w:r>
      <w:r>
        <w:rPr>
          <w:rStyle w:val="NormalTok"/>
        </w:rPr>
        <w:t xml:space="preserve">coord)</w:t>
      </w:r>
      <w:r>
        <w:br/>
      </w:r>
      <w:r>
        <w:br/>
      </w:r>
      <w:r>
        <w:rPr>
          <w:rStyle w:val="DocumentationTok"/>
        </w:rPr>
        <w:t xml:space="preserve">## Caso queira editar manualmente</w:t>
      </w:r>
      <w:r>
        <w:br/>
      </w:r>
      <w:r>
        <w:rPr>
          <w:rStyle w:val="CommentTok"/>
        </w:rPr>
        <w:t xml:space="preserve">#fix(ind_coords)</w:t>
      </w:r>
      <w:r>
        <w:br/>
      </w:r>
      <w:r>
        <w:rPr>
          <w:rStyle w:val="CommentTok"/>
        </w:rPr>
        <w:t xml:space="preserve">#write.table(ind_coords,"coords_ind.txt")</w:t>
      </w:r>
      <w:r>
        <w:br/>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w:t>
      </w:r>
      <w:r>
        <w:br/>
      </w:r>
      <w:r>
        <w:rPr>
          <w:rStyle w:val="DocumentationTok"/>
        </w:rPr>
        <w:t xml:space="preserve">### GRÁFICO FINAL</w:t>
      </w:r>
      <w:r>
        <w:br/>
      </w:r>
      <w:r>
        <w:rPr>
          <w:rStyle w:val="Documentation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#png("fig-hab_PCA_fviz.png", width=11, height=9, units="in", res=400)</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ind_coords,</w:t>
      </w:r>
      <w:r>
        <w:br/>
      </w:r>
      <w:r>
        <w:rPr>
          <w:rStyle w:val="NormalTok"/>
        </w:rPr>
        <w:t xml:space="preserve">    </w:t>
      </w:r>
      <w:r>
        <w:rPr>
          <w:rStyle w:val="FunctionTok"/>
        </w:rPr>
        <w:t xml:space="preserve">aes</w:t>
      </w:r>
      <w:r>
        <w:rPr>
          <w:rStyle w:val="NormalTok"/>
        </w:rPr>
        <w:t xml:space="preserve">(Dim</w:t>
      </w:r>
      <w:r>
        <w:rPr>
          <w:rStyle w:val="FloatTok"/>
        </w:rPr>
        <w:t xml:space="preserve">.1</w:t>
      </w:r>
      <w:r>
        <w:rPr>
          <w:rStyle w:val="NormalTok"/>
        </w:rPr>
        <w:t xml:space="preserve">, Dim</w:t>
      </w:r>
      <w:r>
        <w:rPr>
          <w:rStyle w:val="FloatTok"/>
        </w:rPr>
        <w:t xml:space="preserve">.2</w:t>
      </w:r>
      <w:r>
        <w:rPr>
          <w:rStyle w:val="NormalTok"/>
        </w:rPr>
        <w:t xml:space="preserve">, </w:t>
      </w:r>
      <w:r>
        <w:rPr>
          <w:rStyle w:val="AttributeTok"/>
        </w:rPr>
        <w:t xml:space="preserve">shape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var_coords,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yend =</w:t>
      </w:r>
      <w:r>
        <w:rPr>
          <w:rStyle w:val="NormalTok"/>
        </w:rPr>
        <w:t xml:space="preserve"> Dim</w:t>
      </w:r>
      <w:r>
        <w:rPr>
          <w:rStyle w:val="FloatTok"/>
        </w:rPr>
        <w:t xml:space="preserve">.2</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0.25</w:t>
      </w:r>
      <w:r>
        <w:rPr>
          <w:rStyle w:val="NormalTok"/>
        </w:rPr>
        <w:t xml:space="preserve">,</w:t>
      </w:r>
      <w:r>
        <w:rPr>
          <w:rStyle w:val="StringTok"/>
        </w:rPr>
        <w:t xml:space="preserve">"cm"</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transform</w:t>
      </w:r>
      <w:r>
        <w:rPr>
          <w:rStyle w:val="NormalTok"/>
        </w:rPr>
        <w:t xml:space="preserve">(</w:t>
      </w:r>
      <w:r>
        <w:br/>
      </w:r>
      <w:r>
        <w:rPr>
          <w:rStyle w:val="NormalTok"/>
        </w:rPr>
        <w:t xml:space="preserve">      var_coords,</w:t>
      </w:r>
      <w:r>
        <w:br/>
      </w:r>
      <w:r>
        <w:rPr>
          <w:rStyle w:val="NormalTok"/>
        </w:rPr>
        <w:t xml:space="preserve">      </w:t>
      </w:r>
      <w:r>
        <w:rPr>
          <w:rStyle w:val="AttributeTok"/>
        </w:rPr>
        <w:t xml:space="preserve">nudge_y =</w:t>
      </w:r>
      <w:r>
        <w:rPr>
          <w:rStyle w:val="NormalTok"/>
        </w:rPr>
        <w:t xml:space="preserve"> </w:t>
      </w:r>
      <w:r>
        <w:rPr>
          <w:rStyle w:val="FunctionTok"/>
        </w:rPr>
        <w:t xml:space="preserve">ifelse</w:t>
      </w:r>
      <w:r>
        <w:rPr>
          <w:rStyle w:val="NormalTok"/>
        </w:rPr>
        <w:t xml:space="preserve">(Dim</w:t>
      </w:r>
      <w:r>
        <w:rPr>
          <w:rStyle w:val="FloatTok"/>
        </w:rPr>
        <w:t xml:space="preserve">.2</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FloatTok"/>
        </w:rPr>
        <w:t xml:space="preserve">0.25</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SpecialCharTok"/>
        </w:rPr>
        <w:t xml:space="preserve">+</w:t>
      </w:r>
      <w:r>
        <w:rPr>
          <w:rStyle w:val="NormalTok"/>
        </w:rPr>
        <w:t xml:space="preserve"> nudge_y,</w:t>
      </w:r>
      <w:r>
        <w:br/>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nudge_x =</w:t>
      </w:r>
      <w:r>
        <w:rPr>
          <w:rStyle w:val="NormalTok"/>
        </w:rPr>
        <w:t xml:space="preserve"> </w:t>
      </w:r>
      <w:r>
        <w:rPr>
          <w:rStyle w:val="FloatTok"/>
        </w:rPr>
        <w:t xml:space="preserve">0.19</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16</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17</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"Dim1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"Dim2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"Sites"</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coord_equal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#dev.off()</w:t>
      </w:r>
    </w:p>
    <w:p>
      <w:pPr>
        <w:pStyle w:val="FirstParagraph"/>
      </w:pPr>
      <w:r>
        <w:t xml:space="preserve">Averaged nutrient concentration values varied among sampling sites (</w:t>
      </w:r>
      <w:hyperlink w:anchor="tbl-hab_gttable">
        <w:r>
          <w:rPr>
            <w:rStyle w:val="Hyperlink"/>
          </w:rPr>
          <w:t xml:space="preserve">Table 1</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SourceCode"/>
      </w:pPr>
      <w:r>
        <w:rPr>
          <w:rStyle w:val="CommentTok"/>
        </w:rPr>
        <w:t xml:space="preserve">#TABELA DE NUTRI----</w:t>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FunctionTok"/>
        </w:rPr>
        <w:t xml:space="preserve">library</w:t>
      </w:r>
      <w:r>
        <w:rPr>
          <w:rStyle w:val="NormalTok"/>
        </w:rPr>
        <w:t xml:space="preserve">(openxlsx)</w:t>
      </w:r>
      <w:r>
        <w:br/>
      </w:r>
      <w:r>
        <w:rPr>
          <w:rStyle w:val="NormalTok"/>
        </w:rPr>
        <w:t xml:space="preserve">nutri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"nutri"</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 </w:t>
      </w:r>
      <w:r>
        <w:rPr>
          <w:rStyle w:val="CommentTok"/>
        </w:rPr>
        <w:t xml:space="preserve">#rows = 2:98</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t_grps </w:t>
      </w:r>
      <w:r>
        <w:rPr>
          <w:rStyle w:val="OtherTok"/>
        </w:rPr>
        <w:t xml:space="preserve">&lt;-</w:t>
      </w:r>
      <w:r>
        <w:rPr>
          <w:rStyle w:val="NormalTok"/>
        </w:rPr>
        <w:t xml:space="preserve"> t_grps[</w:t>
      </w:r>
      <w:r>
        <w:rPr>
          <w:rStyle w:val="FunctionTok"/>
        </w:rPr>
        <w:t xml:space="preserve">seq_len</w:t>
      </w:r>
      <w:r>
        <w:rPr>
          <w:rStyle w:val="NormalTok"/>
        </w:rPr>
        <w:t xml:space="preserve">(</w:t>
      </w:r>
      <w:r>
        <w:rPr>
          <w:rStyle w:val="FunctionTok"/>
        </w:rPr>
        <w:t xml:space="preserve">nrow</w:t>
      </w:r>
      <w:r>
        <w:rPr>
          <w:rStyle w:val="NormalTok"/>
        </w:rPr>
        <w:t xml:space="preserve">(nutri)),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m_trab </w:t>
      </w:r>
      <w:r>
        <w:rPr>
          <w:rStyle w:val="OtherTok"/>
        </w:rPr>
        <w:t xml:space="preserve">&lt;-</w:t>
      </w:r>
      <w:r>
        <w:rPr>
          <w:rStyle w:val="NormalTok"/>
        </w:rPr>
        <w:t xml:space="preserve"> nutri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FunctionTok"/>
        </w:rPr>
        <w:t xml:space="preserve">colnames</w:t>
      </w:r>
      <w:r>
        <w:rPr>
          <w:rStyle w:val="NormalTok"/>
        </w:rPr>
        <w:t xml:space="preserve">(m_trab)</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"Ammonia.NH3.ug.L"</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"m_wide_nutri.txt"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m_wide_nutri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"m_wide_nutri.txt"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nutrientes.xlsx",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nutrientes.xlsx"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nutrientes.xlsx"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nutri_gttable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nutrientes.xlsx"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"A1:G6"</w:t>
      </w:r>
      <w:r>
        <w:rPr>
          <w:rStyle w:val="NormalTok"/>
        </w:rPr>
        <w:t xml:space="preserve">) </w:t>
      </w:r>
      <w:r>
        <w:rPr>
          <w:rStyle w:val="CommentTok"/>
        </w:rPr>
        <w:t xml:space="preserve">#ajustar para o tamanho da tabela final </w:t>
      </w:r>
      <w:r>
        <w:br/>
      </w:r>
      <w:r>
        <w:rPr>
          <w:rStyle w:val="NormalTok"/>
        </w:rPr>
        <w:t xml:space="preserve">nutri_gttable</w:t>
      </w:r>
      <w:r>
        <w:br/>
      </w:r>
      <w:r>
        <w:rPr>
          <w:rStyle w:val="FunctionTok"/>
        </w:rPr>
        <w:t xml:space="preserve">library</w:t>
      </w:r>
      <w:r>
        <w:rPr>
          <w:rStyle w:val="NormalTok"/>
        </w:rPr>
        <w:t xml:space="preserve">(gt)</w:t>
      </w:r>
      <w:r>
        <w:br/>
      </w:r>
      <w:r>
        <w:rPr>
          <w:rStyle w:val="NormalTok"/>
        </w:rPr>
        <w:t xml:space="preserve">nutri_gttable </w:t>
      </w:r>
      <w:r>
        <w:rPr>
          <w:rStyle w:val="OtherTok"/>
        </w:rPr>
        <w:t xml:space="preserve">&lt;-</w:t>
      </w:r>
      <w:r>
        <w:rPr>
          <w:rStyle w:val="NormalTok"/>
        </w:rPr>
        <w:t xml:space="preserve"> </w:t>
      </w:r>
      <w:r>
        <w:rPr>
          <w:rStyle w:val="FunctionTok"/>
        </w:rPr>
        <w:t xml:space="preserve">gt</w:t>
      </w:r>
      <w:r>
        <w:rPr>
          <w:rStyle w:val="NormalTok"/>
        </w:rPr>
        <w:t xml:space="preserve">(nutri_gttable)</w:t>
      </w:r>
      <w:r>
        <w:br/>
      </w:r>
      <w:r>
        <w:rPr>
          <w:rStyle w:val="NormalTok"/>
        </w:rPr>
        <w:t xml:space="preserve">nutri_gttable </w:t>
      </w:r>
      <w:r>
        <w:rPr>
          <w:rStyle w:val="OtherTok"/>
        </w:rPr>
        <w:t xml:space="preserve">&lt;-</w:t>
      </w:r>
      <w:r>
        <w:rPr>
          <w:rStyle w:val="NormalTok"/>
        </w:rPr>
        <w:t xml:space="preserve"> </w:t>
      </w:r>
      <w:r>
        <w:rPr>
          <w:rStyle w:val="FunctionTok"/>
        </w:rPr>
        <w:t xml:space="preserve">sub_missing</w:t>
      </w:r>
      <w:r>
        <w:rPr>
          <w:rStyle w:val="NormalTok"/>
        </w:rPr>
        <w:t xml:space="preserve">(nutri_gttable,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nutri_gttable</w:t>
      </w:r>
      <w:r>
        <w:br/>
      </w:r>
      <w:r>
        <w:rPr>
          <w:rStyle w:val="FunctionTok"/>
        </w:rPr>
        <w:t xml:space="preserve">gtsave</w:t>
      </w:r>
      <w:r>
        <w:rPr>
          <w:rStyle w:val="NormalTok"/>
        </w:rPr>
        <w:t xml:space="preserve">(nutri_gttable, </w:t>
      </w:r>
      <w:r>
        <w:rPr>
          <w:rStyle w:val="StringTok"/>
        </w:rPr>
        <w:t xml:space="preserve">"gt-nutri_gttable_xlsx.html"</w:t>
      </w:r>
      <w:r>
        <w:rPr>
          <w:rStyle w:val="NormalTok"/>
        </w:rPr>
        <w:t xml:space="preserve">)</w:t>
      </w:r>
      <w:r>
        <w:br/>
      </w:r>
      <w:r>
        <w:rPr>
          <w:rStyle w:val="FunctionTok"/>
        </w:rPr>
        <w:t xml:space="preserve">saveRDS</w:t>
      </w:r>
      <w:r>
        <w:rPr>
          <w:rStyle w:val="NormalTok"/>
        </w:rPr>
        <w:t xml:space="preserve">(nutri_gttable, </w:t>
      </w:r>
      <w:r>
        <w:rPr>
          <w:rStyle w:val="StringTok"/>
        </w:rPr>
        <w:t xml:space="preserve">"gt-nutri_gttable_xlsx.rds"</w:t>
      </w:r>
      <w:r>
        <w:rPr>
          <w:rStyle w:val="NormalTok"/>
        </w:rPr>
        <w:t xml:space="preserve">)</w:t>
      </w:r>
    </w:p>
    <w:p>
      <w:pPr>
        <w:pStyle w:val="FirstParagraph"/>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0" w:name="references"/>
    <w:p>
      <w:pPr>
        <w:pStyle w:val="Heading1"/>
      </w:pPr>
      <w:r>
        <w:t xml:space="preserve">References</w:t>
      </w:r>
    </w:p>
    <w:bookmarkStart w:id="119"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8">
        <w:r>
          <w:rPr>
            <w:rStyle w:val="Hyperlink"/>
          </w:rPr>
          <w:t xml:space="preserve">https://doi.org/10.1016/j.biocon.2026.111958</w:t>
        </w:r>
      </w:hyperlink>
    </w:p>
    <w:bookmarkEnd w:id="99"/>
    <w:bookmarkStart w:id="101"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100">
        <w:r>
          <w:rPr>
            <w:rStyle w:val="Hyperlink"/>
          </w:rPr>
          <w:t xml:space="preserve">https://doi.org/10.1590/S1413-70542006000500027</w:t>
        </w:r>
      </w:hyperlink>
    </w:p>
    <w:bookmarkEnd w:id="101"/>
    <w:bookmarkStart w:id="102"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2"/>
    <w:bookmarkStart w:id="1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3">
        <w:r>
          <w:rPr>
            <w:rStyle w:val="Hyperlink"/>
          </w:rPr>
          <w:t xml:space="preserve">https://www.R-project.org/</w:t>
        </w:r>
      </w:hyperlink>
    </w:p>
    <w:bookmarkEnd w:id="104"/>
    <w:bookmarkStart w:id="106"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5">
        <w:r>
          <w:rPr>
            <w:rStyle w:val="Hyperlink"/>
          </w:rPr>
          <w:t xml:space="preserve">https://posit.co/products/open-source/rstudio/</w:t>
        </w:r>
      </w:hyperlink>
    </w:p>
    <w:bookmarkEnd w:id="106"/>
    <w:bookmarkStart w:id="107"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7"/>
    <w:bookmarkStart w:id="109"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8">
        <w:r>
          <w:rPr>
            <w:rStyle w:val="Hyperlink"/>
          </w:rPr>
          <w:t xml:space="preserve">https://doi.org/10.1016/j.cbpc.2017.08.008</w:t>
        </w:r>
      </w:hyperlink>
    </w:p>
    <w:bookmarkEnd w:id="109"/>
    <w:bookmarkStart w:id="111"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10">
        <w:r>
          <w:rPr>
            <w:rStyle w:val="Hyperlink"/>
          </w:rPr>
          <w:t xml:space="preserve">https://doi.org/10.1016/S0027-5107(97)00265-0</w:t>
        </w:r>
      </w:hyperlink>
    </w:p>
    <w:bookmarkEnd w:id="111"/>
    <w:bookmarkStart w:id="113"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2">
        <w:r>
          <w:rPr>
            <w:rStyle w:val="Hyperlink"/>
          </w:rPr>
          <w:t xml:space="preserve">https://doi.org/10.1016/j.mrfmmm.2004.06.006</w:t>
        </w:r>
      </w:hyperlink>
    </w:p>
    <w:bookmarkEnd w:id="113"/>
    <w:bookmarkStart w:id="114"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4"/>
    <w:bookmarkStart w:id="115"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5"/>
    <w:bookmarkStart w:id="117"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6">
        <w:r>
          <w:rPr>
            <w:rStyle w:val="Hyperlink"/>
          </w:rPr>
          <w:t xml:space="preserve">https://doi.org/10.1016/j.cbpc.2005.12.009</w:t>
        </w:r>
      </w:hyperlink>
    </w:p>
    <w:bookmarkEnd w:id="117"/>
    <w:bookmarkStart w:id="118"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8"/>
    <w:bookmarkEnd w:id="119"/>
    <w:bookmarkEnd w:id="120"/>
    <w:bookmarkStart w:id="152"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 Site 1 is the reference site for this study.</w:t>
      </w:r>
    </w:p>
    <w:p>
      <w:pPr>
        <w:pStyle w:val="TextBody"/>
      </w:pPr>
      <w:hyperlink w:anchor="tbl-hab_gttable">
        <w:r>
          <w:rPr>
            <w:rStyle w:val="Hyperlink"/>
          </w:rPr>
          <w:t xml:space="preserve">Table 1</w:t>
        </w:r>
      </w:hyperlink>
      <w:r>
        <w:t xml:space="preserve">: Nutrient concentration (μg L⁻¹) averaged for sampling sites (minimum-maximum) for the Barro Branco stream (Mamanguape, PB). Site 1 is the reference site for this study.</w:t>
      </w:r>
    </w:p>
    <w:bookmarkStart w:id="149"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4" w:name="fig-mapa"/>
          <w:p>
            <w:pPr>
              <w:pStyle w:val="Compact"/>
              <w:jc w:val="center"/>
            </w:pPr>
            <w:r>
              <w:drawing>
                <wp:inline>
                  <wp:extent cx="5943600" cy="4202459"/>
                  <wp:effectExtent b="0" l="0" r="0" t="0"/>
                  <wp:docPr descr="" title="" id="122" name="Picture"/>
                  <a:graphic>
                    <a:graphicData uri="http://schemas.openxmlformats.org/drawingml/2006/picture">
                      <pic:pic>
                        <pic:nvPicPr>
                          <pic:cNvPr descr="imagens/mapa_final.png" id="123" name="Picture"/>
                          <pic:cNvPicPr>
                            <a:picLocks noChangeArrowheads="1" noChangeAspect="1"/>
                          </pic:cNvPicPr>
                        </pic:nvPicPr>
                        <pic:blipFill>
                          <a:blip r:embed="rId121"/>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4"/>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8" w:name="fig-refsites"/>
          <w:p>
            <w:pPr>
              <w:pStyle w:val="Compact"/>
              <w:jc w:val="center"/>
            </w:pPr>
            <w:r>
              <w:drawing>
                <wp:inline>
                  <wp:extent cx="5943600" cy="4942787"/>
                  <wp:effectExtent b="0" l="0" r="0" t="0"/>
                  <wp:docPr descr="" title="" id="126" name="Picture"/>
                  <a:graphic>
                    <a:graphicData uri="http://schemas.openxmlformats.org/drawingml/2006/picture">
                      <pic:pic>
                        <pic:nvPicPr>
                          <pic:cNvPr descr="imagens/refsites.png" id="127" name="Picture"/>
                          <pic:cNvPicPr>
                            <a:picLocks noChangeArrowheads="1" noChangeAspect="1"/>
                          </pic:cNvPicPr>
                        </pic:nvPicPr>
                        <pic:blipFill>
                          <a:blip r:embed="rId125"/>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8"/>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2" w:name="fig-hab_PCA_fviz"/>
          <w:p>
            <w:pPr>
              <w:pStyle w:val="Compact"/>
              <w:jc w:val="center"/>
            </w:pPr>
            <w:r>
              <w:drawing>
                <wp:inline>
                  <wp:extent cx="5943600" cy="4862945"/>
                  <wp:effectExtent b="0" l="0" r="0" t="0"/>
                  <wp:docPr descr="" title="" id="130" name="Picture"/>
                  <a:graphic>
                    <a:graphicData uri="http://schemas.openxmlformats.org/drawingml/2006/picture">
                      <pic:pic>
                        <pic:nvPicPr>
                          <pic:cNvPr descr="fig-hab_PCA_fviz.png" id="131" name="Picture"/>
                          <pic:cNvPicPr>
                            <a:picLocks noChangeArrowheads="1" noChangeAspect="1"/>
                          </pic:cNvPicPr>
                        </pic:nvPicPr>
                        <pic:blipFill>
                          <a:blip r:embed="rId12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2"/>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6" w:name="fig-counts"/>
          <w:p>
            <w:pPr>
              <w:pStyle w:val="Compact"/>
              <w:jc w:val="center"/>
            </w:pPr>
            <w:r>
              <w:drawing>
                <wp:inline>
                  <wp:extent cx="5943600" cy="3823070"/>
                  <wp:effectExtent b="0" l="0" r="0" t="0"/>
                  <wp:docPr descr="" title="" id="134" name="Picture"/>
                  <a:graphic>
                    <a:graphicData uri="http://schemas.openxmlformats.org/drawingml/2006/picture">
                      <pic:pic>
                        <pic:nvPicPr>
                          <pic:cNvPr descr="fig-counts.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6"/>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40" w:name="fig-prot_tots"/>
          <w:p>
            <w:pPr>
              <w:pStyle w:val="Compact"/>
              <w:jc w:val="center"/>
            </w:pPr>
            <w:r>
              <w:drawing>
                <wp:inline>
                  <wp:extent cx="5943600" cy="4054106"/>
                  <wp:effectExtent b="0" l="0" r="0" t="0"/>
                  <wp:docPr descr="" title="" id="138" name="Picture"/>
                  <a:graphic>
                    <a:graphicData uri="http://schemas.openxmlformats.org/drawingml/2006/picture">
                      <pic:pic>
                        <pic:nvPicPr>
                          <pic:cNvPr descr="fig-prot_tots.png" id="139" name="Picture"/>
                          <pic:cNvPicPr>
                            <a:picLocks noChangeArrowheads="1" noChangeAspect="1"/>
                          </pic:cNvPicPr>
                        </pic:nvPicPr>
                        <pic:blipFill>
                          <a:blip r:embed="rId137"/>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40"/>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4" w:name="fig-prot_th"/>
          <w:p>
            <w:pPr>
              <w:pStyle w:val="Compact"/>
              <w:jc w:val="center"/>
            </w:pPr>
            <w:r>
              <w:drawing>
                <wp:inline>
                  <wp:extent cx="5943600" cy="3823070"/>
                  <wp:effectExtent b="0" l="0" r="0" t="0"/>
                  <wp:docPr descr="" title="" id="142" name="Picture"/>
                  <a:graphic>
                    <a:graphicData uri="http://schemas.openxmlformats.org/drawingml/2006/picture">
                      <pic:pic>
                        <pic:nvPicPr>
                          <pic:cNvPr descr="fig-prot_th.png" id="143" name="Picture"/>
                          <pic:cNvPicPr>
                            <a:picLocks noChangeArrowheads="1" noChangeAspect="1"/>
                          </pic:cNvPicPr>
                        </pic:nvPicPr>
                        <pic:blipFill>
                          <a:blip r:embed="rId14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4"/>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8" w:name="fig-rodam"/>
          <w:p>
            <w:pPr>
              <w:pStyle w:val="Compact"/>
              <w:jc w:val="center"/>
            </w:pPr>
            <w:r>
              <w:drawing>
                <wp:inline>
                  <wp:extent cx="5943600" cy="4801598"/>
                  <wp:effectExtent b="0" l="0" r="0" t="0"/>
                  <wp:docPr descr="" title="" id="146" name="Picture"/>
                  <a:graphic>
                    <a:graphicData uri="http://schemas.openxmlformats.org/drawingml/2006/picture">
                      <pic:pic>
                        <pic:nvPicPr>
                          <pic:cNvPr descr="fig-rodam.png" id="147" name="Picture"/>
                          <pic:cNvPicPr>
                            <a:picLocks noChangeArrowheads="1" noChangeAspect="1"/>
                          </pic:cNvPicPr>
                        </pic:nvPicPr>
                        <pic:blipFill>
                          <a:blip r:embed="rId145"/>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8"/>
        </w:tc>
      </w:tr>
    </w:tbl>
    <w:bookmarkEnd w:id="149"/>
    <w:bookmarkStart w:id="151"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50"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0"/>
        </w:tc>
      </w:tr>
    </w:tbl>
    <w:bookmarkEnd w:id="151"/>
    <w:bookmarkEnd w:id="152"/>
    <w:bookmarkStart w:id="153" w:name="apendices"/>
    <w:p>
      <w:pPr>
        <w:pStyle w:val="Heading1"/>
      </w:pPr>
      <w:r>
        <w:t xml:space="preserve">Apendices</w:t>
      </w:r>
    </w:p>
    <w:bookmarkEnd w:id="153"/>
    <w:bookmarkStart w:id="157"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PROGRA~1\RStudio\RESOUR~1\app\bin\quarto\share\formats\docx\warning.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tc>
      </w:tr>
    </w:tbl>
    <w:bookmarkEnd w:id="15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4" Target="media/rId154.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45" Target="media/rId14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2026-06-30T20:32:17Z</dcterms:created>
  <dcterms:modified xsi:type="dcterms:W3CDTF">2026-06-30T20:32:17Z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2026-06-30</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