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93.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19.png" ContentType="image/png"/>
  <Override PartName="/word/media/rId123.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2026-05-25</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The present study was performed…</w:t>
      </w:r>
      <w:r>
        <w:t xml:space="preserve"> </w:t>
      </w:r>
      <w:r>
        <w:t xml:space="preserve">Gouveia et al. (2017)</w:t>
      </w:r>
      <w:r>
        <w:t xml:space="preserve">.</w:t>
      </w:r>
      <w:r>
        <w:t xml:space="preserve"> </w:t>
      </w:r>
      <w:hyperlink w:anchor="fig-mapa">
        <w:r>
          <w:rPr>
            <w:rStyle w:val="Hyperlink"/>
          </w:rPr>
          <w:t xml:space="preserve">Figure 1</w:t>
        </w:r>
      </w:hyperlink>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were collected ….</w:t>
      </w:r>
      <w:r>
        <w:t xml:space="preserve"> </w:t>
      </w:r>
      <w:r>
        <w:t xml:space="preserve">Gouveia et al. (2017)</w:t>
      </w:r>
      <w:r>
        <w:t xml:space="preserve">;</w:t>
      </w:r>
      <w:r>
        <w:t xml:space="preserve"> </w:t>
      </w:r>
      <w:r>
        <w:t xml:space="preserve">Medeiros et al. (2024)</w:t>
      </w:r>
      <w:r>
        <w:t xml:space="preserve"> </w:t>
      </w:r>
      <w:r>
        <w:t xml:space="preserve">between October and November 2023.</w:t>
      </w:r>
    </w:p>
    <w:p>
      <w:pPr>
        <w:pStyle w:val="Corpodetexto"/>
      </w:pPr>
      <w:r>
        <w:t xml:space="preserve">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p>
      <w:pPr>
        <w:pStyle w:val="Corpodetexto"/>
      </w:pPr>
      <w:r>
        <w:rPr>
          <w:b/>
          <w:bCs/>
        </w:rPr>
        <w:t xml:space="preserve">Fish community.</w:t>
      </w:r>
      <w:r>
        <w:t xml:space="preserve"> </w:t>
      </w:r>
      <w:r>
        <w:t xml:space="preserve">A total amount of 28155 individuals was collected, divided into 32 taxonomic groups. Out of these, Thiaridae (1340.15 ind./m2 ± 3068.95), larvae of Chironomidae (629.07 ind./m2 ± 1424.72), and Oligochaeta (380.49 ind./m2 ± 856.62) were the most the representative.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4" w:name="references"/>
    <w:p>
      <w:pPr>
        <w:pStyle w:val="Ttulo1"/>
      </w:pPr>
      <w:r>
        <w:t xml:space="preserve">References</w:t>
      </w:r>
    </w:p>
    <w:bookmarkStart w:id="83"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6">
        <w:r>
          <w:rPr>
            <w:rStyle w:val="Hyperlink"/>
          </w:rPr>
          <w:t xml:space="preserve">https://credit.niso.org/</w:t>
        </w:r>
      </w:hyperlink>
    </w:p>
    <w:bookmarkEnd w:id="37"/>
    <w:bookmarkStart w:id="3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8">
        <w:r>
          <w:rPr>
            <w:rStyle w:val="Hyperlink"/>
          </w:rPr>
          <w:t xml:space="preserve">https://doi.org/10.1016/j.ecoenv.2018.09.111</w:t>
        </w:r>
      </w:hyperlink>
    </w:p>
    <w:bookmarkEnd w:id="39"/>
    <w:bookmarkStart w:id="40"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0"/>
    <w:bookmarkStart w:id="42"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1">
        <w:r>
          <w:rPr>
            <w:rStyle w:val="Hyperlink"/>
          </w:rPr>
          <w:t xml:space="preserve">https://doi.org/10.15560/13.5.581</w:t>
        </w:r>
      </w:hyperlink>
    </w:p>
    <w:bookmarkEnd w:id="42"/>
    <w:bookmarkStart w:id="44"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3">
        <w:r>
          <w:rPr>
            <w:rStyle w:val="Hyperlink"/>
          </w:rPr>
          <w:t xml:space="preserve">https://doi.org/10.1007/s13530-020-00042-w</w:t>
        </w:r>
      </w:hyperlink>
    </w:p>
    <w:bookmarkEnd w:id="44"/>
    <w:bookmarkStart w:id="45"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5"/>
    <w:bookmarkStart w:id="47"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6">
        <w:r>
          <w:rPr>
            <w:rStyle w:val="Hyperlink"/>
          </w:rPr>
          <w:t xml:space="preserve">https://doi.org/10.1023/A:1026560922731</w:t>
        </w:r>
      </w:hyperlink>
    </w:p>
    <w:bookmarkEnd w:id="47"/>
    <w:bookmarkStart w:id="48"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48"/>
    <w:bookmarkStart w:id="50"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9">
        <w:r>
          <w:rPr>
            <w:rStyle w:val="Hyperlink"/>
          </w:rPr>
          <w:t xml:space="preserve">https://doi.org/10.1002/jez.2320</w:t>
        </w:r>
      </w:hyperlink>
    </w:p>
    <w:bookmarkEnd w:id="50"/>
    <w:bookmarkStart w:id="52"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1">
        <w:r>
          <w:rPr>
            <w:rStyle w:val="Hyperlink"/>
          </w:rPr>
          <w:t xml:space="preserve">https://doi.org/10.1007/978-1-4613-0501-9_5</w:t>
        </w:r>
      </w:hyperlink>
    </w:p>
    <w:bookmarkEnd w:id="52"/>
    <w:bookmarkStart w:id="54" w:name="ref-masullo2020"/>
    <w:p>
      <w:pPr>
        <w:pStyle w:val="Bibliografia"/>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53">
        <w:r>
          <w:rPr>
            <w:rStyle w:val="Hyperlink"/>
          </w:rPr>
          <w:t xml:space="preserve">https://doi.org/10.12957/tamoios.2020.51272</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7" w:name="ref-medeiros2024"/>
    <w:p>
      <w:pPr>
        <w:pStyle w:val="Bibliografia"/>
      </w:pPr>
      <w:r>
        <w:t xml:space="preserve">Medeiros, E. S. F., Silva, M. J. D., Ramos, T. P. A., &amp; Ramos, R. T. C. (2024). Environmental variables as predictors of fish community composition in semiarid aquatic systems.</w:t>
      </w:r>
      <w:r>
        <w:t xml:space="preserve"> </w:t>
      </w:r>
      <w:r>
        <w:rPr>
          <w:i/>
          <w:iCs/>
        </w:rPr>
        <w:t xml:space="preserve">Acta Limnologica Brasiliensia</w:t>
      </w:r>
      <w:r>
        <w:t xml:space="preserve">,</w:t>
      </w:r>
      <w:r>
        <w:t xml:space="preserve"> </w:t>
      </w:r>
      <w:r>
        <w:rPr>
          <w:i/>
          <w:iCs/>
        </w:rPr>
        <w:t xml:space="preserve">36</w:t>
      </w:r>
      <w:r>
        <w:t xml:space="preserve">, e4.</w:t>
      </w:r>
      <w:r>
        <w:t xml:space="preserve"> </w:t>
      </w:r>
      <w:hyperlink r:id="rId56">
        <w:r>
          <w:rPr>
            <w:rStyle w:val="Hyperlink"/>
          </w:rPr>
          <w:t xml:space="preserve">https://doi.org/10.1590/s2179-975x3023</w:t>
        </w:r>
      </w:hyperlink>
    </w:p>
    <w:bookmarkEnd w:id="57"/>
    <w:bookmarkStart w:id="58"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8"/>
    <w:bookmarkStart w:id="60"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9">
        <w:r>
          <w:rPr>
            <w:rStyle w:val="Hyperlink"/>
          </w:rPr>
          <w:t xml:space="preserve">https://encurtador.com.br/kLle</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3"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2">
        <w:r>
          <w:rPr>
            <w:rStyle w:val="Hyperlink"/>
          </w:rPr>
          <w:t xml:space="preserve">https://doi.org/10.1007/s10750-006-0252-7</w:t>
        </w:r>
      </w:hyperlink>
    </w:p>
    <w:bookmarkEnd w:id="63"/>
    <w:bookmarkStart w:id="65"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4">
        <w:r>
          <w:rPr>
            <w:rStyle w:val="Hyperlink"/>
          </w:rPr>
          <w:t xml:space="preserve">https://doi.org/10.1038/35002501</w:t>
        </w:r>
      </w:hyperlink>
    </w:p>
    <w:bookmarkEnd w:id="65"/>
    <w:bookmarkStart w:id="67"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6">
        <w:r>
          <w:rPr>
            <w:rStyle w:val="Hyperlink"/>
          </w:rPr>
          <w:t xml:space="preserve">https://doi.org/10.1590/S1413-70542006000500027</w:t>
        </w:r>
      </w:hyperlink>
    </w:p>
    <w:bookmarkEnd w:id="67"/>
    <w:bookmarkStart w:id="68"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8"/>
    <w:bookmarkStart w:id="70"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9">
        <w:r>
          <w:rPr>
            <w:rStyle w:val="Hyperlink"/>
          </w:rPr>
          <w:t xml:space="preserve">https://www.R-project.org/</w:t>
        </w:r>
      </w:hyperlink>
    </w:p>
    <w:bookmarkEnd w:id="70"/>
    <w:bookmarkStart w:id="71" w:name="ref-rstudioteam"/>
    <w:p>
      <w:pPr>
        <w:pStyle w:val="Bibliografia"/>
      </w:pPr>
      <w:r>
        <w:t xml:space="preserve">RStudio Team. (n.d.).</w:t>
      </w:r>
      <w:r>
        <w:t xml:space="preserve"> </w:t>
      </w:r>
      <w:r>
        <w:rPr>
          <w:i/>
          <w:iCs/>
        </w:rPr>
        <w:t xml:space="preserve">RStudio: Integrated Development Environment for R</w:t>
      </w:r>
      <w:r>
        <w:t xml:space="preserve">.</w:t>
      </w:r>
    </w:p>
    <w:bookmarkEnd w:id="71"/>
    <w:bookmarkStart w:id="7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2"/>
    <w:bookmarkStart w:id="74"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3">
        <w:r>
          <w:rPr>
            <w:rStyle w:val="Hyperlink"/>
          </w:rPr>
          <w:t xml:space="preserve">https://doi.org/10.1016/j.cbpc.2017.08.008</w:t>
        </w:r>
      </w:hyperlink>
    </w:p>
    <w:bookmarkEnd w:id="74"/>
    <w:bookmarkStart w:id="7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5">
        <w:r>
          <w:rPr>
            <w:rStyle w:val="Hyperlink"/>
          </w:rPr>
          <w:t xml:space="preserve">https://doi.org/10.5016/DT000610176</w:t>
        </w:r>
      </w:hyperlink>
    </w:p>
    <w:bookmarkEnd w:id="76"/>
    <w:bookmarkStart w:id="7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7">
        <w:r>
          <w:rPr>
            <w:rStyle w:val="Hyperlink"/>
          </w:rPr>
          <w:t xml:space="preserve">https://doi.org/10.1016/S0027-5107(97)00265-0</w:t>
        </w:r>
      </w:hyperlink>
    </w:p>
    <w:bookmarkEnd w:id="78"/>
    <w:bookmarkStart w:id="80"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9">
        <w:r>
          <w:rPr>
            <w:rStyle w:val="Hyperlink"/>
          </w:rPr>
          <w:t xml:space="preserve">https://doi.org/10.1016/j.mrfmmm.2004.06.006</w:t>
        </w:r>
      </w:hyperlink>
    </w:p>
    <w:bookmarkEnd w:id="80"/>
    <w:bookmarkStart w:id="81"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1"/>
    <w:bookmarkStart w:id="82"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2"/>
    <w:bookmarkEnd w:id="83"/>
    <w:bookmarkEnd w:id="84"/>
    <w:bookmarkStart w:id="129" w:name="figures-and-tables"/>
    <w:p>
      <w:pPr>
        <w:pStyle w:val="Ttulo1"/>
      </w:pPr>
      <w:r>
        <w:t xml:space="preserve">Figures and Tables</w:t>
      </w:r>
    </w:p>
    <w:bookmarkStart w:id="12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mapa"/>
          <w:p>
            <w:pPr>
              <w:pStyle w:val="Compact"/>
              <w:jc w:val="center"/>
            </w:pPr>
            <w:r>
              <w:drawing>
                <wp:inline>
                  <wp:extent cx="5600700" cy="3959578"/>
                  <wp:effectExtent b="0" l="0" r="0" t="0"/>
                  <wp:docPr descr="" title="" id="86" name="Picture"/>
                  <a:graphic>
                    <a:graphicData uri="http://schemas.openxmlformats.org/drawingml/2006/picture">
                      <pic:pic>
                        <pic:nvPicPr>
                          <pic:cNvPr descr="imagens/mapa.png" id="87" name="Picture"/>
                          <pic:cNvPicPr>
                            <a:picLocks noChangeArrowheads="1" noChangeAspect="1"/>
                          </pic:cNvPicPr>
                        </pic:nvPicPr>
                        <pic:blipFill>
                          <a:blip r:embed="rId85"/>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refsites"/>
          <w:p>
            <w:pPr>
              <w:pStyle w:val="Compact"/>
              <w:jc w:val="center"/>
            </w:pPr>
            <w:r>
              <w:drawing>
                <wp:inline>
                  <wp:extent cx="5600700" cy="4657626"/>
                  <wp:effectExtent b="0" l="0" r="0" t="0"/>
                  <wp:docPr descr="" title="" id="90" name="Picture"/>
                  <a:graphic>
                    <a:graphicData uri="http://schemas.openxmlformats.org/drawingml/2006/picture">
                      <pic:pic>
                        <pic:nvPicPr>
                          <pic:cNvPr descr="imagens/refsites.png" id="91" name="Picture"/>
                          <pic:cNvPicPr>
                            <a:picLocks noChangeArrowheads="1" noChangeAspect="1"/>
                          </pic:cNvPicPr>
                        </pic:nvPicPr>
                        <pic:blipFill>
                          <a:blip r:embed="rId89"/>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hab_PCA_fviz"/>
          <w:p>
            <w:pPr>
              <w:pStyle w:val="Compact"/>
              <w:jc w:val="center"/>
            </w:pPr>
            <w:r>
              <w:drawing>
                <wp:inline>
                  <wp:extent cx="5600700" cy="4582390"/>
                  <wp:effectExtent b="0" l="0" r="0" t="0"/>
                  <wp:docPr descr="" title="" id="94" name="Picture"/>
                  <a:graphic>
                    <a:graphicData uri="http://schemas.openxmlformats.org/drawingml/2006/picture">
                      <pic:pic>
                        <pic:nvPicPr>
                          <pic:cNvPr descr="fig-hab_PCA_fviz.png" id="95" name="Picture"/>
                          <pic:cNvPicPr>
                            <a:picLocks noChangeArrowheads="1" noChangeAspect="1"/>
                          </pic:cNvPicPr>
                        </pic:nvPicPr>
                        <pic:blipFill>
                          <a:blip r:embed="rId93"/>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96"/>
        </w:tc>
      </w:tr>
    </w:tbl>
    <w:p>
      <w:pPr>
        <w:pStyle w:val="CaptionedFigure"/>
      </w:pPr>
      <w:r>
        <w:drawing>
          <wp:inline>
            <wp:extent cx="5600700" cy="4582390"/>
            <wp:effectExtent b="0" l="0" r="0" t="0"/>
            <wp:docPr descr="Principal Component Analysis of the environmental variables using the fviz function" title="" id="97" name="Picture"/>
            <a:graphic>
              <a:graphicData uri="http://schemas.openxmlformats.org/drawingml/2006/picture">
                <pic:pic>
                  <pic:nvPicPr>
                    <pic:cNvPr descr="fig-hab_PCA_fviz.png" id="98" name="Picture"/>
                    <pic:cNvPicPr>
                      <a:picLocks noChangeArrowheads="1" noChangeAspect="1"/>
                    </pic:cNvPicPr>
                  </pic:nvPicPr>
                  <pic:blipFill>
                    <a:blip r:embed="rId93"/>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2" w:name="fig-boxtpinandout"/>
          <w:p>
            <w:pPr>
              <w:pStyle w:val="Compact"/>
              <w:jc w:val="center"/>
            </w:pPr>
            <w:r>
              <w:drawing>
                <wp:inline>
                  <wp:extent cx="5600700" cy="3843033"/>
                  <wp:effectExtent b="0" l="0" r="0" t="0"/>
                  <wp:docPr descr="" title="" id="100" name="Picture"/>
                  <a:graphic>
                    <a:graphicData uri="http://schemas.openxmlformats.org/drawingml/2006/picture">
                      <pic:pic>
                        <pic:nvPicPr>
                          <pic:cNvPr descr="imagens/Figura%203.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0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fig-boxtpsites"/>
          <w:p>
            <w:pPr>
              <w:pStyle w:val="Compact"/>
              <w:jc w:val="center"/>
            </w:pPr>
            <w:r>
              <w:drawing>
                <wp:inline>
                  <wp:extent cx="5600700" cy="3843033"/>
                  <wp:effectExtent b="0" l="0" r="0" t="0"/>
                  <wp:docPr descr="" title="" id="104" name="Picture"/>
                  <a:graphic>
                    <a:graphicData uri="http://schemas.openxmlformats.org/drawingml/2006/picture">
                      <pic:pic>
                        <pic:nvPicPr>
                          <pic:cNvPr descr="imagens/Figura%204.png" id="105" name="Picture"/>
                          <pic:cNvPicPr>
                            <a:picLocks noChangeArrowheads="1" noChangeAspect="1"/>
                          </pic:cNvPicPr>
                        </pic:nvPicPr>
                        <pic:blipFill>
                          <a:blip r:embed="rId10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mcsites"/>
          <w:p>
            <w:pPr>
              <w:pStyle w:val="Compact"/>
              <w:jc w:val="center"/>
            </w:pPr>
            <w:r>
              <w:drawing>
                <wp:inline>
                  <wp:extent cx="5600700" cy="3843033"/>
                  <wp:effectExtent b="0" l="0" r="0" t="0"/>
                  <wp:docPr descr="" title="" id="108" name="Picture"/>
                  <a:graphic>
                    <a:graphicData uri="http://schemas.openxmlformats.org/drawingml/2006/picture">
                      <pic:pic>
                        <pic:nvPicPr>
                          <pic:cNvPr descr="imagens/Figura%205.png" id="109" name="Picture"/>
                          <pic:cNvPicPr>
                            <a:picLocks noChangeArrowheads="1" noChangeAspect="1"/>
                          </pic:cNvPicPr>
                        </pic:nvPicPr>
                        <pic:blipFill>
                          <a:blip r:embed="rId10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boxmmcsites"/>
          <w:p>
            <w:pPr>
              <w:pStyle w:val="Compact"/>
              <w:jc w:val="center"/>
            </w:pPr>
            <w:r>
              <w:drawing>
                <wp:inline>
                  <wp:extent cx="5600700" cy="3843033"/>
                  <wp:effectExtent b="0" l="0" r="0" t="0"/>
                  <wp:docPr descr="" title="" id="112" name="Picture"/>
                  <a:graphic>
                    <a:graphicData uri="http://schemas.openxmlformats.org/drawingml/2006/picture">
                      <pic:pic>
                        <pic:nvPicPr>
                          <pic:cNvPr descr="imagens/Figura%206.png" id="113" name="Picture"/>
                          <pic:cNvPicPr>
                            <a:picLocks noChangeArrowheads="1" noChangeAspect="1"/>
                          </pic:cNvPicPr>
                        </pic:nvPicPr>
                        <pic:blipFill>
                          <a:blip r:embed="rId11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fluorescence"/>
          <w:p>
            <w:pPr>
              <w:pStyle w:val="Compact"/>
              <w:jc w:val="center"/>
            </w:pPr>
            <w:r>
              <w:drawing>
                <wp:inline>
                  <wp:extent cx="5600700" cy="3843033"/>
                  <wp:effectExtent b="0" l="0" r="0" t="0"/>
                  <wp:docPr descr="" title="" id="116" name="Picture"/>
                  <a:graphic>
                    <a:graphicData uri="http://schemas.openxmlformats.org/drawingml/2006/picture">
                      <pic:pic>
                        <pic:nvPicPr>
                          <pic:cNvPr descr="imagens/Figura%207.png" id="117" name="Picture"/>
                          <pic:cNvPicPr>
                            <a:picLocks noChangeArrowheads="1" noChangeAspect="1"/>
                          </pic:cNvPicPr>
                        </pic:nvPicPr>
                        <pic:blipFill>
                          <a:blip r:embed="rId11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oxmxr"/>
          <w:p>
            <w:pPr>
              <w:pStyle w:val="Compact"/>
              <w:jc w:val="center"/>
            </w:pPr>
            <w:r>
              <w:drawing>
                <wp:inline>
                  <wp:extent cx="5600700" cy="3843033"/>
                  <wp:effectExtent b="0" l="0" r="0" t="0"/>
                  <wp:docPr descr="" title="" id="120" name="Picture"/>
                  <a:graphic>
                    <a:graphicData uri="http://schemas.openxmlformats.org/drawingml/2006/picture">
                      <pic:pic>
                        <pic:nvPicPr>
                          <pic:cNvPr descr="imagens/Figura%208.png" id="121" name="Picture"/>
                          <pic:cNvPicPr>
                            <a:picLocks noChangeArrowheads="1" noChangeAspect="1"/>
                          </pic:cNvPicPr>
                        </pic:nvPicPr>
                        <pic:blipFill>
                          <a:blip r:embed="rId11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fig-bar"/>
          <w:p>
            <w:pPr>
              <w:pStyle w:val="Compact"/>
              <w:jc w:val="center"/>
            </w:pPr>
            <w:r>
              <w:drawing>
                <wp:inline>
                  <wp:extent cx="5600700" cy="3843033"/>
                  <wp:effectExtent b="0" l="0" r="0" t="0"/>
                  <wp:docPr descr="" title="" id="124" name="Picture"/>
                  <a:graphic>
                    <a:graphicData uri="http://schemas.openxmlformats.org/drawingml/2006/picture">
                      <pic:pic>
                        <pic:nvPicPr>
                          <pic:cNvPr descr="imagens/Figure%209.png" id="125" name="Picture"/>
                          <pic:cNvPicPr>
                            <a:picLocks noChangeArrowheads="1" noChangeAspect="1"/>
                          </pic:cNvPicPr>
                        </pic:nvPicPr>
                        <pic:blipFill>
                          <a:blip r:embed="rId12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6"/>
        </w:tc>
      </w:tr>
    </w:tbl>
    <w:bookmarkEnd w:id="127"/>
    <w:bookmarkStart w:id="128" w:name="tables"/>
    <w:p>
      <w:pPr>
        <w:pStyle w:val="Ttulo2"/>
      </w:pPr>
      <w:r>
        <w:t xml:space="preserve">Tables</w:t>
      </w:r>
    </w:p>
    <w:bookmarkEnd w:id="128"/>
    <w:bookmarkEnd w:id="129"/>
    <w:bookmarkStart w:id="130" w:name="apendices"/>
    <w:p>
      <w:pPr>
        <w:pStyle w:val="Ttulo1"/>
      </w:pPr>
      <w:r>
        <w:t xml:space="preserve">Apendices</w:t>
      </w:r>
    </w:p>
    <w:bookmarkEnd w:id="130"/>
    <w:bookmarkStart w:id="13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C:\PROGRA~1\RStudio\RESOUR~1\app\bin\quarto\share\formats\docx\warning.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2"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4" Target="https://doi.org/10.1038/35002501" TargetMode="External" /><Relationship Type="http://schemas.openxmlformats.org/officeDocument/2006/relationships/hyperlink" Id="rId53" Target="https://doi.org/10.12957/tamoios.2020.51272"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56" Target="https://doi.org/10.1590/s2179-975x3023" TargetMode="External" /><Relationship Type="http://schemas.openxmlformats.org/officeDocument/2006/relationships/hyperlink" Id="rId75"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2"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4" Target="https://doi.org/10.1038/35002501" TargetMode="External" /><Relationship Type="http://schemas.openxmlformats.org/officeDocument/2006/relationships/hyperlink" Id="rId53" Target="https://doi.org/10.12957/tamoios.2020.51272"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56" Target="https://doi.org/10.1590/s2179-975x3023" TargetMode="External" /><Relationship Type="http://schemas.openxmlformats.org/officeDocument/2006/relationships/hyperlink" Id="rId75"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2026-05-25T22:14:19Z</dcterms:created>
  <dcterms:modified xsi:type="dcterms:W3CDTF">2026-05-25T22:14:19Z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