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3.png" ContentType="image/png"/>
  <Override PartName="/word/media/rId116.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08.png" ContentType="image/png"/>
  <Override PartName="/word/media/rId11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2026-06-17</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indicative of ecological health were sampled for each site based on four sets of variables: (a) site morphology, (b) water quality, (c) sediment composition, and (d) marginal habitat structure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(MXR)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CommentTok"/>
        </w:rPr>
        <w:t xml:space="preserve">#shell.exec(getwd())</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"D:/Elvio/OneDrive/MSS/_Bentos-2006/Bentos2006_Q"</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SourceCode"/>
      </w:pPr>
      <w:r>
        <w:rPr>
          <w:rStyle w:val="NormalTok"/>
        </w:rPr>
        <w:t xml:space="preserve">data </w:t>
      </w:r>
      <w:r>
        <w:rPr>
          <w:rStyle w:val="OtherTok"/>
        </w:rPr>
        <w:t xml:space="preserve">&lt;-</w:t>
      </w:r>
      <w:r>
        <w:rPr>
          <w:rStyle w:val="NormalTok"/>
        </w:rPr>
        <w:t xml:space="preserve"> mxr23</w:t>
      </w:r>
      <w:r>
        <w:br/>
      </w:r>
      <w:r>
        <w:rPr>
          <w:rStyle w:val="NormalTok"/>
        </w:rPr>
        <w:t xml:space="preserve">data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data[</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p>
    <w:p>
      <w:pPr>
        <w:pStyle w:val="FirstParagraph"/>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TextBody"/>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TextBody"/>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Heading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07" w:name="references"/>
    <w:p>
      <w:pPr>
        <w:pStyle w:val="Heading1"/>
      </w:pPr>
      <w:r>
        <w:t xml:space="preserve">References</w:t>
      </w:r>
    </w:p>
    <w:bookmarkStart w:id="106"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phy"/>
      </w:pPr>
      <w:r>
        <w:t xml:space="preserve">MMA. (2003).</w:t>
      </w:r>
      <w:r>
        <w:t xml:space="preserve"> </w:t>
      </w:r>
      <w:r>
        <w:rPr>
          <w:i/>
          <w:iCs/>
        </w:rPr>
        <w:t xml:space="preserve">Plano de manejo reserva biológica guaribas. Fase 2.</w:t>
      </w:r>
      <w:r>
        <w:t xml:space="preserve"> </w:t>
      </w:r>
      <w:hyperlink r:id="rId79">
        <w:r>
          <w:rPr>
            <w:rStyle w:val="Hyperlink"/>
          </w:rPr>
          <w:t xml:space="preserve">https://www.gov.br/icmbio/pt-br/assuntos/biodiversidade/unidade-de-conservacao/unidades-de-biomas/mata-atlantica/lista-de-ucs/rebio-guaribas</w:t>
        </w:r>
      </w:hyperlink>
    </w:p>
    <w:bookmarkEnd w:id="80"/>
    <w:bookmarkStart w:id="8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5"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95"/>
    <w:bookmarkStart w:id="97"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96">
        <w:r>
          <w:rPr>
            <w:rStyle w:val="Hyperlink"/>
          </w:rPr>
          <w:t xml:space="preserve">https://doi.org/10.1016/j.cbpc.2017.08.008</w:t>
        </w:r>
      </w:hyperlink>
    </w:p>
    <w:bookmarkEnd w:id="97"/>
    <w:bookmarkStart w:id="99"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98">
        <w:r>
          <w:rPr>
            <w:rStyle w:val="Hyperlink"/>
          </w:rPr>
          <w:t xml:space="preserve">https://doi.org/10.1016/S0027-5107(97)00265-0</w:t>
        </w:r>
      </w:hyperlink>
    </w:p>
    <w:bookmarkEnd w:id="99"/>
    <w:bookmarkStart w:id="101"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0">
        <w:r>
          <w:rPr>
            <w:rStyle w:val="Hyperlink"/>
          </w:rPr>
          <w:t xml:space="preserve">https://doi.org/10.1016/j.mrfmmm.2004.06.006</w:t>
        </w:r>
      </w:hyperlink>
    </w:p>
    <w:bookmarkEnd w:id="101"/>
    <w:bookmarkStart w:id="10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2"/>
    <w:bookmarkStart w:id="10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3"/>
    <w:bookmarkStart w:id="105"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04">
        <w:r>
          <w:rPr>
            <w:rStyle w:val="Hyperlink"/>
          </w:rPr>
          <w:t xml:space="preserve">https://doi.org/10.1016/j.cbpc.2005.12.009</w:t>
        </w:r>
      </w:hyperlink>
    </w:p>
    <w:bookmarkEnd w:id="105"/>
    <w:bookmarkEnd w:id="106"/>
    <w:bookmarkEnd w:id="107"/>
    <w:bookmarkStart w:id="151" w:name="figures-and-tables"/>
    <w:p>
      <w:pPr>
        <w:pStyle w:val="Heading1"/>
      </w:pPr>
      <w:r>
        <w:t xml:space="preserve">Figures and Tables</w:t>
      </w:r>
    </w:p>
    <w:bookmarkStart w:id="14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11" w:name="fig-mapa"/>
          <w:p>
            <w:pPr>
              <w:pStyle w:val="Compact"/>
              <w:jc w:val="center"/>
            </w:pPr>
            <w:r>
              <w:drawing>
                <wp:inline>
                  <wp:extent cx="5943600" cy="4202459"/>
                  <wp:effectExtent b="0" l="0" r="0" t="0"/>
                  <wp:docPr descr="" title="" id="109" name="Picture"/>
                  <a:graphic>
                    <a:graphicData uri="http://schemas.openxmlformats.org/drawingml/2006/picture">
                      <pic:pic>
                        <pic:nvPicPr>
                          <pic:cNvPr descr="imagens/Mapa%20Atualizado.png" id="110" name="Picture"/>
                          <pic:cNvPicPr>
                            <a:picLocks noChangeArrowheads="1" noChangeAspect="1"/>
                          </pic:cNvPicPr>
                        </pic:nvPicPr>
                        <pic:blipFill>
                          <a:blip r:embed="rId108"/>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(P1 - 06°43’06,58555’’ S, 35°10’54,70041’</w:t>
            </w:r>
            <w:r>
              <w:t xml:space="preserve">‘W -, P2 - 06°42’38,71927’</w:t>
            </w:r>
            <w:r>
              <w:t xml:space="preserve">‘S, 35°10’38,68013’</w:t>
            </w:r>
            <w:r>
              <w:t xml:space="preserve">‘W - and P3 - 06°43’06,58555’</w:t>
            </w:r>
            <w:r>
              <w:t xml:space="preserve">‘S, 35°10’54,70041’</w:t>
            </w:r>
            <w:r>
              <w:t xml:space="preserve">‘W) and surrounding REBIO Guaribas (P4 - 06°41’46,29119’</w:t>
            </w:r>
            <w:r>
              <w:t xml:space="preserve">‘S, 35°10’36,09933’</w:t>
            </w:r>
            <w:r>
              <w:t xml:space="preserve">‘W -, P5 - 06°40’56,47593’</w:t>
            </w:r>
            <w:r>
              <w:t xml:space="preserve">‘S, 35°10’27,84963’</w:t>
            </w:r>
            <w:r>
              <w:t xml:space="preserve">‘W - and P6 - 06°40’18,97010’</w:t>
            </w:r>
            <w:r>
              <w:t xml:space="preserve">‘S, 35°10’34,68148’</w:t>
            </w:r>
            <w:r>
              <w:t xml:space="preserve">’W). In total, 92 fish were collected inside the Conservation Unity and 97 outside it.</w:t>
            </w:r>
          </w:p>
          <w:bookmarkEnd w:id="11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fig-refsites"/>
          <w:p>
            <w:pPr>
              <w:pStyle w:val="Compact"/>
              <w:jc w:val="center"/>
            </w:pPr>
            <w:r>
              <w:drawing>
                <wp:inline>
                  <wp:extent cx="5943600" cy="4942787"/>
                  <wp:effectExtent b="0" l="0" r="0" t="0"/>
                  <wp:docPr descr="" title="" id="113" name="Picture"/>
                  <a:graphic>
                    <a:graphicData uri="http://schemas.openxmlformats.org/drawingml/2006/picture">
                      <pic:pic>
                        <pic:nvPicPr>
                          <pic:cNvPr descr="imagens/refsites.png" id="114" name="Picture"/>
                          <pic:cNvPicPr>
                            <a:picLocks noChangeArrowheads="1" noChangeAspect="1"/>
                          </pic:cNvPicPr>
                        </pic:nvPicPr>
                        <pic:blipFill>
                          <a:blip r:embed="rId112"/>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1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hab_PCA_fviz"/>
          <w:p>
            <w:pPr>
              <w:pStyle w:val="Compact"/>
              <w:jc w:val="center"/>
            </w:pPr>
            <w:r>
              <w:drawing>
                <wp:inline>
                  <wp:extent cx="5943600" cy="4862945"/>
                  <wp:effectExtent b="0" l="0" r="0" t="0"/>
                  <wp:docPr descr="" title="" id="117" name="Picture"/>
                  <a:graphic>
                    <a:graphicData uri="http://schemas.openxmlformats.org/drawingml/2006/picture">
                      <pic:pic>
                        <pic:nvPicPr>
                          <pic:cNvPr descr="fig-hab_PCA_fviz.png" id="118" name="Picture"/>
                          <pic:cNvPicPr>
                            <a:picLocks noChangeArrowheads="1" noChangeAspect="1"/>
                          </pic:cNvPicPr>
                        </pic:nvPicPr>
                        <pic:blipFill>
                          <a:blip r:embed="rId116"/>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1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boxtpinandout"/>
          <w:p>
            <w:pPr>
              <w:pStyle w:val="Compact"/>
              <w:jc w:val="center"/>
            </w:pPr>
            <w:r>
              <w:drawing>
                <wp:inline>
                  <wp:extent cx="5778393" cy="3964961"/>
                  <wp:effectExtent b="0" l="0" r="0" t="0"/>
                  <wp:docPr descr="" title="" id="121" name="Picture"/>
                  <a:graphic>
                    <a:graphicData uri="http://schemas.openxmlformats.org/drawingml/2006/picture">
                      <pic:pic>
                        <pic:nvPicPr>
                          <pic:cNvPr descr="imagens/Figura%203.png" id="122" name="Picture"/>
                          <pic:cNvPicPr>
                            <a:picLocks noChangeArrowheads="1" noChangeAspect="1"/>
                          </pic:cNvPicPr>
                        </pic:nvPicPr>
                        <pic:blipFill>
                          <a:blip r:embed="rId120"/>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2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fig-boxtpsites"/>
          <w:p>
            <w:pPr>
              <w:pStyle w:val="Compact"/>
              <w:jc w:val="center"/>
            </w:pPr>
            <w:r>
              <w:drawing>
                <wp:inline>
                  <wp:extent cx="5778393" cy="3964961"/>
                  <wp:effectExtent b="0" l="0" r="0" t="0"/>
                  <wp:docPr descr="" title="" id="125" name="Picture"/>
                  <a:graphic>
                    <a:graphicData uri="http://schemas.openxmlformats.org/drawingml/2006/picture">
                      <pic:pic>
                        <pic:nvPicPr>
                          <pic:cNvPr descr="imagens/Figura%204.png" id="126" name="Picture"/>
                          <pic:cNvPicPr>
                            <a:picLocks noChangeArrowheads="1" noChangeAspect="1"/>
                          </pic:cNvPicPr>
                        </pic:nvPicPr>
                        <pic:blipFill>
                          <a:blip r:embed="rId12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2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fig-mcsites"/>
          <w:p>
            <w:pPr>
              <w:pStyle w:val="Compact"/>
              <w:jc w:val="center"/>
            </w:pPr>
            <w:r>
              <w:drawing>
                <wp:inline>
                  <wp:extent cx="5778393" cy="3964961"/>
                  <wp:effectExtent b="0" l="0" r="0" t="0"/>
                  <wp:docPr descr="" title="" id="129" name="Picture"/>
                  <a:graphic>
                    <a:graphicData uri="http://schemas.openxmlformats.org/drawingml/2006/picture">
                      <pic:pic>
                        <pic:nvPicPr>
                          <pic:cNvPr descr="imagens/Figura%205.png" id="130" name="Picture"/>
                          <pic:cNvPicPr>
                            <a:picLocks noChangeArrowheads="1" noChangeAspect="1"/>
                          </pic:cNvPicPr>
                        </pic:nvPicPr>
                        <pic:blipFill>
                          <a:blip r:embed="rId128"/>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3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fig-boxmmcsites"/>
          <w:p>
            <w:pPr>
              <w:pStyle w:val="Compact"/>
              <w:jc w:val="center"/>
            </w:pPr>
            <w:r>
              <w:drawing>
                <wp:inline>
                  <wp:extent cx="5778393" cy="3964961"/>
                  <wp:effectExtent b="0" l="0" r="0" t="0"/>
                  <wp:docPr descr="" title="" id="133" name="Picture"/>
                  <a:graphic>
                    <a:graphicData uri="http://schemas.openxmlformats.org/drawingml/2006/picture">
                      <pic:pic>
                        <pic:nvPicPr>
                          <pic:cNvPr descr="imagens/Figura%206.png" id="134" name="Picture"/>
                          <pic:cNvPicPr>
                            <a:picLocks noChangeArrowheads="1" noChangeAspect="1"/>
                          </pic:cNvPicPr>
                        </pic:nvPicPr>
                        <pic:blipFill>
                          <a:blip r:embed="rId132"/>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3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fig-fluorescence"/>
          <w:p>
            <w:pPr>
              <w:pStyle w:val="Compact"/>
              <w:jc w:val="center"/>
            </w:pPr>
            <w:r>
              <w:drawing>
                <wp:inline>
                  <wp:extent cx="5778393" cy="3964961"/>
                  <wp:effectExtent b="0" l="0" r="0" t="0"/>
                  <wp:docPr descr="" title="" id="137" name="Picture"/>
                  <a:graphic>
                    <a:graphicData uri="http://schemas.openxmlformats.org/drawingml/2006/picture">
                      <pic:pic>
                        <pic:nvPicPr>
                          <pic:cNvPr descr="imagens/Figura%207.png" id="138" name="Picture"/>
                          <pic:cNvPicPr>
                            <a:picLocks noChangeArrowheads="1" noChangeAspect="1"/>
                          </pic:cNvPicPr>
                        </pic:nvPicPr>
                        <pic:blipFill>
                          <a:blip r:embed="rId136"/>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3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3" w:name="fig-boxmxr"/>
          <w:p>
            <w:pPr>
              <w:pStyle w:val="Compact"/>
              <w:jc w:val="center"/>
            </w:pPr>
            <w:r>
              <w:drawing>
                <wp:inline>
                  <wp:extent cx="5778393" cy="3964961"/>
                  <wp:effectExtent b="0" l="0" r="0" t="0"/>
                  <wp:docPr descr="" title="" id="141" name="Picture"/>
                  <a:graphic>
                    <a:graphicData uri="http://schemas.openxmlformats.org/drawingml/2006/picture">
                      <pic:pic>
                        <pic:nvPicPr>
                          <pic:cNvPr descr="imagens/Figura%208.png" id="142" name="Picture"/>
                          <pic:cNvPicPr>
                            <a:picLocks noChangeArrowheads="1" noChangeAspect="1"/>
                          </pic:cNvPicPr>
                        </pic:nvPicPr>
                        <pic:blipFill>
                          <a:blip r:embed="rId140"/>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4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7" w:name="fig-bar"/>
          <w:p>
            <w:pPr>
              <w:pStyle w:val="Compact"/>
              <w:jc w:val="center"/>
            </w:pPr>
            <w:r>
              <w:drawing>
                <wp:inline>
                  <wp:extent cx="5778393" cy="3964961"/>
                  <wp:effectExtent b="0" l="0" r="0" t="0"/>
                  <wp:docPr descr="" title="" id="145" name="Picture"/>
                  <a:graphic>
                    <a:graphicData uri="http://schemas.openxmlformats.org/drawingml/2006/picture">
                      <pic:pic>
                        <pic:nvPicPr>
                          <pic:cNvPr descr="imagens/Figure%209.png" id="146" name="Picture"/>
                          <pic:cNvPicPr>
                            <a:picLocks noChangeArrowheads="1" noChangeAspect="1"/>
                          </pic:cNvPicPr>
                        </pic:nvPicPr>
                        <pic:blipFill>
                          <a:blip r:embed="rId14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47"/>
        </w:tc>
      </w:tr>
    </w:tbl>
    <w:bookmarkEnd w:id="148"/>
    <w:bookmarkStart w:id="150"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49" w:name="tbl-abund"/>
          <w:p>
            <w:pPr>
              <w:jc w:val="center"/>
            </w:pPr>
            <w:pPr>
              <w:jc w:val="left"/>
              <w:spacing w:before="200"/>
              <w:pStyle w:val="ImageCaption"/>
            </w:pPr>
            <w:r>
              <w:t xml:space="preserve">Table 1: Table abundance.</w:t>
            </w:r>
          </w:p>
          <w:p>
            <w:pPr>
              <w:pStyle w:val="SourceCode"/>
              <w:jc w:val="center"/>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(openxlsx)</w:t>
            </w:r>
            <w:r>
              <w:br/>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br/>
            </w:r>
            <w:r>
              <w:rPr>
                <w:rStyle w:val="NormalTok"/>
              </w:rPr>
              <w:t xml:space="preserve">data </w:t>
            </w:r>
            <w:r>
              <w:rPr>
                <w:rStyle w:val="OtherTok"/>
              </w:rPr>
              <w:t xml:space="preserve">&lt;-</w:t>
            </w:r>
            <w:r>
              <w:rPr>
                <w:rStyle w:val="NormalTok"/>
              </w:rPr>
              <w:t xml:space="preserve"> mxr23</w:t>
            </w:r>
            <w:r>
              <w:br/>
            </w:r>
            <w:r>
              <w:rPr>
                <w:rStyle w:val="NormalTok"/>
              </w:rPr>
              <w:t xml:space="preserve">data </w:t>
            </w:r>
            <w:r>
              <w:rPr>
                <w:rStyle w:val="OtherTok"/>
              </w:rPr>
              <w:t xml:space="preserve">&lt;-</w:t>
            </w:r>
            <w:r>
              <w:rPr>
                <w:rStyle w:val="NormalTok"/>
              </w:rPr>
              <w:t xml:space="preserve"> data[</w:t>
            </w:r>
            <w:r>
              <w:rPr>
                <w:rStyle w:val="SpecialCharTok"/>
              </w:rPr>
              <w:t xml:space="preserve">!</w:t>
            </w:r>
            <w:r>
              <w:rPr>
                <w:rStyle w:val="FunctionTok"/>
              </w:rPr>
              <w:t xml:space="preserve">row.names</w:t>
            </w:r>
            <w:r>
              <w:rPr>
                <w:rStyle w:val="NormalTok"/>
              </w:rPr>
              <w:t xml:space="preserve">(data)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StringTok"/>
              </w:rPr>
              <w:t xml:space="preserve">"1-10-7"</w:t>
            </w:r>
            <w:r>
              <w:rPr>
                <w:rStyle w:val="NormalTok"/>
              </w:rPr>
              <w:t xml:space="preserve">), ]</w:t>
            </w:r>
            <w:r>
              <w:br/>
            </w:r>
            <w:r>
              <w:br/>
            </w:r>
            <w:r>
              <w:rPr>
                <w:rStyle w:val="NormalTok"/>
              </w:rPr>
              <w:t xml:space="preserve">data[</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br/>
            </w:r>
            <w:r>
              <w:rPr>
                <w:rStyle w:val="NormalTok"/>
              </w:rPr>
              <w:t xml:space="preserve">    </w:t>
            </w:r>
            <w:r>
              <w:rPr>
                <w:rStyle w:val="AttributeTok"/>
              </w:rPr>
              <w:t xml:space="preserve">values_from =</w:t>
            </w:r>
            <w:r>
              <w:rPr>
                <w:rStyle w:val="NormalTok"/>
              </w:rPr>
              <w:t xml:space="preserve"> Count, </w:t>
            </w:r>
            <w:r>
              <w:br/>
            </w:r>
            <w:r>
              <w:rPr>
                <w:rStyle w:val="NormalTok"/>
              </w:rPr>
              <w:t xml:space="preserve">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style =</w:t>
            </w:r>
            <w:r>
              <w:rPr>
                <w:rStyle w:val="NormalTok"/>
              </w:rPr>
              <w:t xml:space="preserve"> </w:t>
            </w:r>
            <w:r>
              <w:rPr>
                <w:rStyle w:val="StringTok"/>
              </w:rPr>
              <w:t xml:space="preserve">"italic"</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cells_body</w:t>
            </w:r>
            <w:r>
              <w:rPr>
                <w:rStyle w:val="NormalTok"/>
              </w:rPr>
              <w:t xml:space="preserve">(</w:t>
            </w:r>
            <w:r>
              <w:rPr>
                <w:rStyle w:val="AttributeTok"/>
              </w:rPr>
              <w:t xml:space="preserve">columns =</w:t>
            </w:r>
            <w:r>
              <w:rPr>
                <w:rStyle w:val="NormalTok"/>
              </w:rPr>
              <w:t xml:space="preserve"> Especie)</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weight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cells_column_labels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opt_horizontal_padding</w:t>
            </w:r>
            <w:r>
              <w:rPr>
                <w:rStyle w:val="NormalTok"/>
              </w:rPr>
              <w:t xml:space="preserve">(</w:t>
            </w:r>
            <w:r>
              <w:rPr>
                <w:rStyle w:val="AttributeTok"/>
              </w:rPr>
              <w:t xml:space="preserve">scale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opt_table_lines</w:t>
            </w:r>
            <w:r>
              <w:rPr>
                <w:rStyle w:val="NormalTok"/>
              </w:rPr>
              <w:t xml:space="preserve">(</w:t>
            </w:r>
            <w:r>
              <w:rPr>
                <w:rStyle w:val="StringTok"/>
              </w:rPr>
              <w:t xml:space="preserve">"default"</w:t>
            </w:r>
            <w:r>
              <w:rPr>
                <w:rStyle w:val="NormalTok"/>
              </w:rPr>
              <w:t xml:space="preserve">)</w:t>
            </w:r>
          </w:p>
          <w:bookmarkEnd w:id="149"/>
        </w:tc>
      </w:tr>
    </w:tbl>
    <w:bookmarkEnd w:id="150"/>
    <w:bookmarkEnd w:id="151"/>
    <w:bookmarkStart w:id="152" w:name="apendices"/>
    <w:p>
      <w:pPr>
        <w:pStyle w:val="Heading1"/>
      </w:pPr>
      <w:r>
        <w:t xml:space="preserve">Apendices</w:t>
      </w:r>
    </w:p>
    <w:bookmarkEnd w:id="152"/>
    <w:bookmarkStart w:id="15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C:\PROGRA~1\RStudio\RESOUR~1\app\bin\quarto\share\formats\docx\warning.png" id="155" name="Picture"/>
                          <pic:cNvPicPr>
                            <a:picLocks noChangeArrowheads="1" noChangeAspect="1"/>
                          </pic:cNvPicPr>
                        </pic:nvPicPr>
                        <pic:blipFill>
                          <a:blip r:embed="rId1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5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3" Target="media/rId153.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2026-06-17T14:51:22Z</dcterms:created>
  <dcterms:modified xsi:type="dcterms:W3CDTF">2026-06-17T14:51:22Z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2026-06-17</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