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7.png" ContentType="image/png"/>
  <Override PartName="/word/media/rId125.png" ContentType="image/png"/>
  <Override PartName="/word/media/rId121.png" ContentType="image/png"/>
  <Override PartName="/word/media/rId133.png" ContentType="image/png"/>
  <Override PartName="/word/media/rId129.png" ContentType="image/png"/>
  <Override PartName="/word/media/rId137.png" ContentType="image/png"/>
  <Override PartName="/word/media/rId113.png" ContentType="image/png"/>
  <Override PartName="/word/media/rId11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Linking fish physiological biomarkers to habitat integrity in the Atlantic Forest</w:t>
      </w:r>
    </w:p>
    <w:p>
      <w:pPr>
        <w:pStyle w:val="Subtitle"/>
      </w:pPr>
      <w:r>
        <w:t xml:space="preserve">Biological Conservation</w:t>
      </w:r>
      <w:r>
        <w:t xml:space="preserve"> </w:t>
      </w:r>
      <w:r>
        <w:t xml:space="preserve">OR</w:t>
      </w:r>
      <w:r>
        <w:t xml:space="preserve"> </w:t>
      </w:r>
      <w:r>
        <w:t xml:space="preserve">Neotropical Ichthyology</w:t>
      </w:r>
    </w:p>
    <w:p>
      <w:pPr>
        <w:pStyle w:val="Author"/>
      </w:pPr>
      <w:r>
        <w:t xml:space="preserve">Adamastor Coutinho Pinto</w:t>
      </w:r>
    </w:p>
    <w:p>
      <w:pPr>
        <w:pStyle w:val="Author"/>
      </w:pPr>
      <w:r>
        <w:t xml:space="preserve">Larissa Rafaela Caetano da Silva</w:t>
      </w:r>
    </w:p>
    <w:p>
      <w:pPr>
        <w:pStyle w:val="Author"/>
      </w:pPr>
      <w:r>
        <w:t xml:space="preserve">Mayara Mirelly da Silva Monteiro</w:t>
      </w:r>
    </w:p>
    <w:p>
      <w:pPr>
        <w:pStyle w:val="Author"/>
      </w:pPr>
      <w:r>
        <w:t xml:space="preserve">Alice da Silva Barros</w:t>
      </w:r>
    </w:p>
    <w:p>
      <w:pPr>
        <w:pStyle w:val="Author"/>
      </w:pPr>
      <w:r>
        <w:t xml:space="preserve">Enelise Marcelle Amado</w:t>
      </w:r>
    </w:p>
    <w:p>
      <w:pPr>
        <w:pStyle w:val="Author"/>
      </w:pPr>
      <w:r>
        <w:t xml:space="preserve">Elvio Sergio Figueredo Medeiros</w:t>
      </w:r>
    </w:p>
    <w:p>
      <w:pPr>
        <w:pStyle w:val="Date"/>
      </w:pPr>
      <w:r>
        <w:t xml:space="preserve">2026-08-08</w:t>
      </w:r>
    </w:p>
    <w:p>
      <w:pPr>
        <w:pStyle w:val="AbstractTitle"/>
      </w:pPr>
      <w:r>
        <w:t xml:space="preserve">Abstract</w:t>
      </w:r>
    </w:p>
    <w:p>
      <w:pPr>
        <w:pStyle w:val="Abstract"/>
      </w:pPr>
      <w:r>
        <w:t xml:space="preserve">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w:t>
      </w:r>
      <w:r>
        <w:t xml:space="preserve"> </w:t>
      </w:r>
      <w:r>
        <w:t xml:space="preserve">(Pereira et al., 2026)</w:t>
      </w:r>
      <w:r>
        <w:t xml:space="preserve">,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12"/>
    <w:bookmarkStart w:id="13"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 These categories were latter confirmed using environmental data.</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In order to quantitatively confirm the classification of site category types (I, II, III and IV), 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w:t>
      </w:r>
      <w:r>
        <w:t xml:space="preserve"> </w:t>
      </w:r>
      <w:r>
        <w:t xml:space="preserve">Maitland (1990)</w:t>
      </w:r>
      <w:r>
        <w:t xml:space="preserve">. Sediment composition and habitat physical structure were assessed following protocols adapted by</w:t>
      </w:r>
      <w:r>
        <w:t xml:space="preserve"> </w:t>
      </w:r>
      <w:r>
        <w:t xml:space="preserve">Medeiros et al. (2008)</w:t>
      </w:r>
      <w:r>
        <w:t xml:space="preserve"> </w:t>
      </w:r>
      <w:r>
        <w:t xml:space="preserve">from</w:t>
      </w:r>
      <w:r>
        <w:t xml:space="preserve"> </w:t>
      </w:r>
      <w:r>
        <w:t xml:space="preserve">Pusey et al. (2004)</w:t>
      </w:r>
      <w:r>
        <w:t xml:space="preserve"> </w:t>
      </w:r>
      <w:r>
        <w:t xml:space="preserve">and</w:t>
      </w:r>
      <w:r>
        <w:t xml:space="preserve"> </w:t>
      </w:r>
      <w:r>
        <w:t xml:space="preserve">Mugodo et al. (2006)</w:t>
      </w:r>
      <w: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was visually estimated. Habitat structure variables included macrophytes, marginal grasses, leaf litter, attached algae, filamentous algae, overhanging vegetation, submerged vegetation, small woody debris, large woody debris, and root masses.</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parameter related to the osmoregulatory function,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assessed for multivariate collinearity, excluding redundant variables and combining those that conveyed similar information to reduce data redundancy, following the approach described by</w:t>
      </w:r>
      <w:r>
        <w:t xml:space="preserve"> </w:t>
      </w:r>
      <w:r>
        <w:t xml:space="preserve">Legendre &amp; Legendre (1998)</w:t>
      </w:r>
      <w:r>
        <w:t xml:space="preserve">.</w:t>
      </w:r>
    </w:p>
    <w:p>
      <w:pPr>
        <w:pStyle w:val="SourceCode"/>
      </w:pPr>
      <w:r>
        <w:rPr>
          <w:rStyle w:val="CommentTok"/>
        </w:rPr>
        <w:t xml:space="preserve">#MXR23 - ORGANIZANDO DADOS----</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 </w:t>
      </w:r>
      <w:r>
        <w:rPr>
          <w:rStyle w:val="CommentTok"/>
        </w:rPr>
        <w:t xml:space="preserve">#startRow = 2</w:t>
      </w:r>
      <w:r>
        <w:br/>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###REMOVENDO COLUNAS ZERADAS DE HABITAT----</w:t>
      </w:r>
      <w:r>
        <w:br/>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 </w:t>
      </w:r>
      <w:r>
        <w:rPr>
          <w:rStyle w:val="CommentTok"/>
        </w:rPr>
        <w:t xml:space="preserve">#startRow = 2</w:t>
      </w:r>
      <w:r>
        <w:br/>
      </w:r>
      <w:r>
        <w:rPr>
          <w:rStyle w:val="NormalTok"/>
        </w:rPr>
        <w:t xml:space="preserve">t_grps</w:t>
      </w:r>
      <w:r>
        <w:br/>
      </w:r>
      <w:r>
        <w:br/>
      </w:r>
      <w:r>
        <w:br/>
      </w:r>
      <w:r>
        <w:rPr>
          <w:rStyle w:val="DocumentationTok"/>
        </w:rPr>
        <w:t xml:space="preserve">###SEPARANDO NUTRIENTES----</w:t>
      </w:r>
      <w:r>
        <w:br/>
      </w:r>
      <w:r>
        <w:br/>
      </w:r>
      <w:r>
        <w:rPr>
          <w:rStyle w:val="NormalTok"/>
        </w:rPr>
        <w:t xml:space="preserve">nutri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"^n</w:t>
      </w:r>
      <w:r>
        <w:rPr>
          <w:rStyle w:val="SpecialCharTok"/>
        </w:rPr>
        <w:t xml:space="preserve">\\</w:t>
      </w:r>
      <w:r>
        <w:rPr>
          <w:rStyle w:val="StringTok"/>
        </w:rPr>
        <w:t xml:space="preserve">."</w:t>
      </w:r>
      <w:r>
        <w:rPr>
          <w:rStyle w:val="NormalTok"/>
        </w:rPr>
        <w:t xml:space="preserve">, </w:t>
      </w:r>
      <w:r>
        <w:rPr>
          <w:rStyle w:val="FunctionTok"/>
        </w:rPr>
        <w:t xml:space="preserve">colnames</w:t>
      </w:r>
      <w:r>
        <w:rPr>
          <w:rStyle w:val="NormalTok"/>
        </w:rPr>
        <w:t xml:space="preserve">(m_part_cols),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nutri</w:t>
      </w:r>
      <w:r>
        <w:br/>
      </w:r>
      <w:r>
        <w:rPr>
          <w:rStyle w:val="NormalTok"/>
        </w:rPr>
        <w:t xml:space="preserve">nutrientes </w:t>
      </w:r>
      <w:r>
        <w:rPr>
          <w:rStyle w:val="OtherTok"/>
        </w:rPr>
        <w:t xml:space="preserve">&lt;-</w:t>
      </w:r>
      <w:r>
        <w:rPr>
          <w:rStyle w:val="NormalTok"/>
        </w:rPr>
        <w:t xml:space="preserve"> m_part_cols[, nutri,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NormalTok"/>
        </w:rPr>
        <w:t xml:space="preserve">m_hab </w:t>
      </w:r>
      <w:r>
        <w:rPr>
          <w:rStyle w:val="OtherTok"/>
        </w:rPr>
        <w:t xml:space="preserve">&lt;-</w:t>
      </w:r>
      <w:r>
        <w:rPr>
          <w:rStyle w:val="NormalTok"/>
        </w:rPr>
        <w:t xml:space="preserve"> m_part_cols[, </w:t>
      </w:r>
      <w:r>
        <w:rPr>
          <w:rStyle w:val="SpecialCharTok"/>
        </w:rPr>
        <w:t xml:space="preserve">!</w:t>
      </w:r>
      <w:r>
        <w:rPr>
          <w:rStyle w:val="FunctionTok"/>
        </w:rPr>
        <w:t xml:space="preserve">colnames</w:t>
      </w:r>
      <w:r>
        <w:rPr>
          <w:rStyle w:val="NormalTok"/>
        </w:rPr>
        <w:t xml:space="preserve">(m_part_cols) </w:t>
      </w:r>
      <w:r>
        <w:rPr>
          <w:rStyle w:val="SpecialCharTok"/>
        </w:rPr>
        <w:t xml:space="preserve">%in%</w:t>
      </w:r>
      <w:r>
        <w:rPr>
          <w:rStyle w:val="NormalTok"/>
        </w:rPr>
        <w:t xml:space="preserve"> nutri,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FunctionTok"/>
        </w:rPr>
        <w:t xml:space="preserve">colnames</w:t>
      </w:r>
      <w:r>
        <w:rPr>
          <w:rStyle w:val="NormalTok"/>
        </w:rPr>
        <w:t xml:space="preserve">(m_hab)</w:t>
      </w:r>
      <w:r>
        <w:br/>
      </w:r>
      <w:r>
        <w:br/>
      </w:r>
      <w:r>
        <w:rPr>
          <w:rStyle w:val="DocumentationTok"/>
        </w:rPr>
        <w:t xml:space="preserve">##SALVANDO MATRIZES FINAIS----</w:t>
      </w:r>
      <w:r>
        <w:br/>
      </w:r>
      <w:r>
        <w:br/>
      </w:r>
      <w:r>
        <w:rPr>
          <w:rStyle w:val="FunctionTok"/>
        </w:rPr>
        <w:t xml:space="preserve">write.table</w:t>
      </w:r>
      <w:r>
        <w:rPr>
          <w:rStyle w:val="NormalTok"/>
        </w:rPr>
        <w:t xml:space="preserve">(m_hab,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(nutrientes, </w:t>
      </w:r>
      <w:r>
        <w:rPr>
          <w:rStyle w:val="StringTok"/>
        </w:rPr>
        <w:t xml:space="preserve">"t_nutri.csv"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t_nutri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"t_nutri.csv"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##DELETANDO COLINEARES OU INDESEJADAS----</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"m.Depth_max_cm"</w:t>
      </w:r>
      <w:r>
        <w:rPr>
          <w:rStyle w:val="NormalTok"/>
        </w:rPr>
        <w:t xml:space="preserve">, </w:t>
      </w:r>
      <w:r>
        <w:rPr>
          <w:rStyle w:val="StringTok"/>
        </w:rPr>
        <w:t xml:space="preserve">"m.Depth_mar_cm"</w:t>
      </w:r>
      <w:r>
        <w:rPr>
          <w:rStyle w:val="NormalTok"/>
        </w:rPr>
        <w:t xml:space="preserve">)</w:t>
      </w:r>
      <w:r>
        <w:br/>
      </w:r>
      <w:r>
        <w:rPr>
          <w:rStyle w:val="CommentTok"/>
        </w:rPr>
        <w:t xml:space="preserve">#del_cols &lt;- grep("^n\\.", colnames(m_hab), value = TRUE)</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##SOMANDO REDUNDANTES----</w:t>
      </w:r>
      <w:r>
        <w:br/>
      </w:r>
      <w:r>
        <w:br/>
      </w:r>
      <w:r>
        <w:rPr>
          <w:rStyle w:val="NormalTok"/>
        </w:rPr>
        <w:t xml:space="preserve">m_hab_part</w:t>
      </w:r>
      <w:r>
        <w:rPr>
          <w:rStyle w:val="SpecialCharTok"/>
        </w:rPr>
        <w:t xml:space="preserve">$</w:t>
      </w:r>
      <w:r>
        <w:rPr>
          <w:rStyle w:val="NormalTok"/>
        </w:rPr>
        <w:t xml:space="preserve">h.Algae </w:t>
      </w:r>
      <w:r>
        <w:rPr>
          <w:rStyle w:val="OtherTok"/>
        </w:rPr>
        <w:t xml:space="preserve">&lt;-</w:t>
      </w:r>
      <w:r>
        <w:rPr>
          <w:rStyle w:val="NormalTok"/>
        </w:rPr>
        <w:t xml:space="preserve"> m_hab_part</w:t>
      </w:r>
      <w:r>
        <w:rPr>
          <w:rStyle w:val="SpecialCharTok"/>
        </w:rPr>
        <w:t xml:space="preserve">$</w:t>
      </w:r>
      <w:r>
        <w:rPr>
          <w:rStyle w:val="NormalTok"/>
        </w:rPr>
        <w:t xml:space="preserve">h.Algae_f </w:t>
      </w:r>
      <w:r>
        <w:rPr>
          <w:rStyle w:val="SpecialCharTok"/>
        </w:rPr>
        <w:t xml:space="preserve">+</w:t>
      </w:r>
      <w:r>
        <w:rPr>
          <w:rStyle w:val="NormalTok"/>
        </w:rPr>
        <w:t xml:space="preserve"> m_hab_part</w:t>
      </w:r>
      <w:r>
        <w:rPr>
          <w:rStyle w:val="SpecialCharTok"/>
        </w:rPr>
        <w:t xml:space="preserve">$</w:t>
      </w:r>
      <w:r>
        <w:rPr>
          <w:rStyle w:val="NormalTok"/>
        </w:rPr>
        <w:t xml:space="preserve">h.Algae_a</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"h.Algae_f"</w:t>
      </w:r>
      <w:r>
        <w:rPr>
          <w:rStyle w:val="NormalTok"/>
        </w:rPr>
        <w:t xml:space="preserve">, </w:t>
      </w:r>
      <w:r>
        <w:rPr>
          <w:rStyle w:val="StringTok"/>
        </w:rPr>
        <w:t xml:space="preserve">"h.Algae_a"</w:t>
      </w:r>
      <w:r>
        <w:rPr>
          <w:rStyle w:val="NormalTok"/>
        </w:rPr>
        <w:t xml:space="preserve">))]</w:t>
      </w:r>
      <w:r>
        <w:br/>
      </w:r>
      <w:r>
        <w:rPr>
          <w:rStyle w:val="NormalTok"/>
        </w:rPr>
        <w:t xml:space="preserve">m_hab_part</w:t>
      </w:r>
      <w:r>
        <w:rPr>
          <w:rStyle w:val="SpecialCharTok"/>
        </w:rPr>
        <w:t xml:space="preserve">$</w:t>
      </w:r>
      <w:r>
        <w:rPr>
          <w:rStyle w:val="NormalTok"/>
        </w:rPr>
        <w:t xml:space="preserve">h.Debris </w:t>
      </w:r>
      <w:r>
        <w:rPr>
          <w:rStyle w:val="OtherTok"/>
        </w:rPr>
        <w:t xml:space="preserve">&lt;-</w:t>
      </w:r>
      <w:r>
        <w:rPr>
          <w:rStyle w:val="NormalTok"/>
        </w:rPr>
        <w:t xml:space="preserve"> m_hab_part</w:t>
      </w:r>
      <w:r>
        <w:rPr>
          <w:rStyle w:val="SpecialCharTok"/>
        </w:rPr>
        <w:t xml:space="preserve">$</w:t>
      </w:r>
      <w:r>
        <w:rPr>
          <w:rStyle w:val="NormalTok"/>
        </w:rPr>
        <w:t xml:space="preserve">h.Debris_l </w:t>
      </w:r>
      <w:r>
        <w:rPr>
          <w:rStyle w:val="SpecialCharTok"/>
        </w:rPr>
        <w:t xml:space="preserve">+</w:t>
      </w:r>
      <w:r>
        <w:rPr>
          <w:rStyle w:val="NormalTok"/>
        </w:rPr>
        <w:t xml:space="preserve"> m_hab_part</w:t>
      </w:r>
      <w:r>
        <w:rPr>
          <w:rStyle w:val="SpecialCharTok"/>
        </w:rPr>
        <w:t xml:space="preserve">$</w:t>
      </w:r>
      <w:r>
        <w:rPr>
          <w:rStyle w:val="NormalTok"/>
        </w:rPr>
        <w:t xml:space="preserve">h.Debris_s</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"h.Debris_l"</w:t>
      </w:r>
      <w:r>
        <w:rPr>
          <w:rStyle w:val="NormalTok"/>
        </w:rPr>
        <w:t xml:space="preserve">, </w:t>
      </w:r>
      <w:r>
        <w:rPr>
          <w:rStyle w:val="StringTok"/>
        </w:rPr>
        <w:t xml:space="preserve">"h.Debris_s"</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m_hab_part</w:t>
      </w:r>
      <w:r>
        <w:br/>
      </w:r>
      <w:r>
        <w:rPr>
          <w:rStyle w:val="FunctionTok"/>
        </w:rPr>
        <w:t xml:space="preserve">sink</w:t>
      </w:r>
      <w:r>
        <w:rPr>
          <w:rStyle w:val="NormalTok"/>
        </w:rPr>
        <w:t xml:space="preserve">()</w:t>
      </w:r>
      <w:r>
        <w:br/>
      </w:r>
      <w:r>
        <w:br/>
      </w:r>
      <w:r>
        <w:rPr>
          <w:rStyle w:val="FunctionTok"/>
        </w:rPr>
        <w:t xml:space="preserve">write.table</w:t>
      </w:r>
      <w:r>
        <w:rPr>
          <w:rStyle w:val="NormalTok"/>
        </w:rPr>
        <w:t xml:space="preserve">(m_hab_part,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FunctionTok"/>
        </w:rPr>
        <w:t xml:space="preserve">colnames</w:t>
      </w:r>
      <w:r>
        <w:rPr>
          <w:rStyle w:val="NormalTok"/>
        </w:rPr>
        <w:t xml:space="preserve">(m_hab)</w:t>
      </w:r>
      <w:r>
        <w:br/>
      </w:r>
      <w:r>
        <w:rPr>
          <w:rStyle w:val="FunctionTok"/>
        </w:rPr>
        <w:t xml:space="preserve">library</w:t>
      </w:r>
      <w:r>
        <w:rPr>
          <w:rStyle w:val="NormalTok"/>
        </w:rPr>
        <w:t xml:space="preserve">(PerformanceAnalytics)</w:t>
      </w:r>
      <w:r>
        <w:br/>
      </w:r>
      <w:r>
        <w:rPr>
          <w:rStyle w:val="FunctionTok"/>
        </w:rPr>
        <w:t xml:space="preserve">chart.Correlation</w:t>
      </w:r>
      <w:r>
        <w:rPr>
          <w:rStyle w:val="NormalTok"/>
        </w:rPr>
        <w:t xml:space="preserve">(m_hab[, </w:t>
      </w:r>
      <w:r>
        <w:rPr>
          <w:rStyle w:val="FunctionTok"/>
        </w:rPr>
        <w:t xml:space="preserve">c</w:t>
      </w:r>
      <w:r>
        <w:rPr>
          <w:rStyle w:val="NormalTok"/>
        </w:rPr>
        <w:t xml:space="preserve">(</w:t>
      </w:r>
      <w:r>
        <w:rPr>
          <w:rStyle w:val="DecValTok"/>
        </w:rPr>
        <w:t xml:space="preserve">15</w:t>
      </w:r>
      <w:r>
        <w:rPr>
          <w:rStyle w:val="SpecialCharTok"/>
        </w:rPr>
        <w:t xml:space="preserve">:</w:t>
      </w:r>
      <w:r>
        <w:rPr>
          <w:rStyle w:val="DecValTok"/>
        </w:rPr>
        <w:t xml:space="preserve">24</w:t>
      </w:r>
      <w:r>
        <w:rPr>
          <w:rStyle w:val="NormalTok"/>
        </w:rPr>
        <w:t xml:space="preserve">)], </w:t>
      </w:r>
      <w:r>
        <w:rPr>
          <w:rStyle w:val="AttributeTok"/>
        </w:rPr>
        <w:t xml:space="preserve">histogram=</w:t>
      </w:r>
      <w:r>
        <w:rPr>
          <w:rStyle w:val="ConstantTok"/>
        </w:rPr>
        <w:t xml:space="preserve">TRUE</w:t>
      </w:r>
      <w:r>
        <w:rPr>
          <w:rStyle w:val="NormalTok"/>
        </w:rPr>
        <w:t xml:space="preserve">)</w:t>
      </w:r>
      <w:r>
        <w:br/>
      </w:r>
      <w:r>
        <w:rPr>
          <w:rStyle w:val="CommentTok"/>
        </w:rPr>
        <w:t xml:space="preserve"># ***p&lt;0.001, **p&lt;0.01, *p&lt;0.05, .p&lt;0.10</w:t>
      </w:r>
      <w:r>
        <w:br/>
      </w:r>
      <w:r>
        <w:br/>
      </w:r>
      <w:r>
        <w:rPr>
          <w:rStyle w:val="FunctionTok"/>
        </w:rPr>
        <w:t xml:space="preserve">library</w:t>
      </w:r>
      <w:r>
        <w:rPr>
          <w:rStyle w:val="NormalTok"/>
        </w:rPr>
        <w:t xml:space="preserve">(Hmisc)</w:t>
      </w:r>
      <w:r>
        <w:br/>
      </w:r>
      <w:r>
        <w:rPr>
          <w:rStyle w:val="NormalTok"/>
        </w:rPr>
        <w:t xml:space="preserve">mat </w:t>
      </w:r>
      <w:r>
        <w:rPr>
          <w:rStyle w:val="OtherTok"/>
        </w:rPr>
        <w:t xml:space="preserve">&lt;-</w:t>
      </w:r>
      <w:r>
        <w:rPr>
          <w:rStyle w:val="NormalTok"/>
        </w:rPr>
        <w:t xml:space="preserve"> </w:t>
      </w:r>
      <w:r>
        <w:rPr>
          <w:rStyle w:val="FunctionTok"/>
        </w:rPr>
        <w:t xml:space="preserve">as.matrix</w:t>
      </w:r>
      <w:r>
        <w:rPr>
          <w:rStyle w:val="NormalTok"/>
        </w:rPr>
        <w:t xml:space="preserve">(m_hab[, </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res </w:t>
      </w:r>
      <w:r>
        <w:rPr>
          <w:rStyle w:val="OtherTok"/>
        </w:rPr>
        <w:t xml:space="preserve">&lt;-</w:t>
      </w:r>
      <w:r>
        <w:rPr>
          <w:rStyle w:val="NormalTok"/>
        </w:rPr>
        <w:t xml:space="preserve"> </w:t>
      </w:r>
      <w:r>
        <w:rPr>
          <w:rStyle w:val="FunctionTok"/>
        </w:rPr>
        <w:t xml:space="preserve">rcorr</w:t>
      </w:r>
      <w:r>
        <w:rPr>
          <w:rStyle w:val="NormalTok"/>
        </w:rPr>
        <w:t xml:space="preserve">(mat,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cor_mat </w:t>
      </w:r>
      <w:r>
        <w:rPr>
          <w:rStyle w:val="OtherTok"/>
        </w:rPr>
        <w:t xml:space="preserve">&lt;-</w:t>
      </w:r>
      <w:r>
        <w:rPr>
          <w:rStyle w:val="NormalTok"/>
        </w:rPr>
        <w:t xml:space="preserve"> res</w:t>
      </w:r>
      <w:r>
        <w:rPr>
          <w:rStyle w:val="SpecialCharTok"/>
        </w:rPr>
        <w:t xml:space="preserve">$</w:t>
      </w:r>
      <w:r>
        <w:rPr>
          <w:rStyle w:val="NormalTok"/>
        </w:rPr>
        <w:t xml:space="preserve">r</w:t>
      </w:r>
      <w:r>
        <w:br/>
      </w:r>
      <w:r>
        <w:rPr>
          <w:rStyle w:val="NormalTok"/>
        </w:rPr>
        <w:t xml:space="preserve">p_mat   </w:t>
      </w:r>
      <w:r>
        <w:rPr>
          <w:rStyle w:val="OtherTok"/>
        </w:rPr>
        <w:t xml:space="preserve">&lt;-</w:t>
      </w:r>
      <w:r>
        <w:rPr>
          <w:rStyle w:val="NormalTok"/>
        </w:rPr>
        <w:t xml:space="preserve"> res</w:t>
      </w:r>
      <w:r>
        <w:rPr>
          <w:rStyle w:val="SpecialCharTok"/>
        </w:rPr>
        <w:t xml:space="preserve">$</w:t>
      </w:r>
      <w:r>
        <w:rPr>
          <w:rStyle w:val="NormalTok"/>
        </w:rPr>
        <w:t xml:space="preserve">P</w:t>
      </w:r>
      <w:r>
        <w:br/>
      </w:r>
      <w:r>
        <w:br/>
      </w:r>
      <w:r>
        <w:rPr>
          <w:rStyle w:val="NormalTok"/>
        </w:rPr>
        <w:t xml:space="preserve">stars </w:t>
      </w:r>
      <w:r>
        <w:rPr>
          <w:rStyle w:val="OtherTok"/>
        </w:rPr>
        <w:t xml:space="preserve">&lt;-</w:t>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0.01</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br/>
      </w:r>
      <w:r>
        <w:rPr>
          <w:rStyle w:val="NormalTok"/>
        </w:rPr>
        <w:t xml:space="preserve">cor_star </w:t>
      </w:r>
      <w:r>
        <w:rPr>
          <w:rStyle w:val="OtherTok"/>
        </w:rPr>
        <w:t xml:space="preserve">&lt;-</w:t>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(cor_mat, </w:t>
      </w:r>
      <w:r>
        <w:rPr>
          <w:rStyle w:val="DecValTok"/>
        </w:rPr>
        <w:t xml:space="preserve">2</w:t>
      </w:r>
      <w:r>
        <w:rPr>
          <w:rStyle w:val="NormalTok"/>
        </w:rPr>
        <w:t xml:space="preserve">), stars),</w:t>
      </w:r>
      <w:r>
        <w:br/>
      </w:r>
      <w:r>
        <w:rPr>
          <w:rStyle w:val="NormalTok"/>
        </w:rPr>
        <w:t xml:space="preserve">                   </w:t>
      </w:r>
      <w:r>
        <w:rPr>
          <w:rStyle w:val="ConstantTok"/>
        </w:rPr>
        <w:t xml:space="preserve">NA</w:t>
      </w:r>
      <w:r>
        <w:rPr>
          <w:rStyle w:val="NormalTok"/>
        </w:rPr>
        <w:t xml:space="preserve">)</w:t>
      </w:r>
      <w:r>
        <w:br/>
      </w:r>
      <w:r>
        <w:br/>
      </w:r>
      <w:r>
        <w:rPr>
          <w:rStyle w:val="NormalTok"/>
        </w:rPr>
        <w:t xml:space="preserve">cor_star </w:t>
      </w:r>
      <w:r>
        <w:rPr>
          <w:rStyle w:val="OtherTok"/>
        </w:rPr>
        <w:t xml:space="preserve">&lt;-</w:t>
      </w:r>
      <w:r>
        <w:rPr>
          <w:rStyle w:val="NormalTok"/>
        </w:rPr>
        <w:t xml:space="preserve"> </w:t>
      </w:r>
      <w:r>
        <w:rPr>
          <w:rStyle w:val="FunctionTok"/>
        </w:rPr>
        <w:t xml:space="preserve">matrix</w:t>
      </w:r>
      <w:r>
        <w:rPr>
          <w:rStyle w:val="NormalTok"/>
        </w:rPr>
        <w:t xml:space="preserve">(</w:t>
      </w:r>
      <w:r>
        <w:br/>
      </w:r>
      <w:r>
        <w:rPr>
          <w:rStyle w:val="NormalTok"/>
        </w:rPr>
        <w:t xml:space="preserve">  cor_star,</w:t>
      </w:r>
      <w:r>
        <w:br/>
      </w:r>
      <w:r>
        <w:rPr>
          <w:rStyle w:val="NormalTok"/>
        </w:rPr>
        <w:t xml:space="preserve">  </w:t>
      </w:r>
      <w:r>
        <w:rPr>
          <w:rStyle w:val="AttributeTok"/>
        </w:rPr>
        <w:t xml:space="preserve">nrow =</w:t>
      </w:r>
      <w:r>
        <w:rPr>
          <w:rStyle w:val="NormalTok"/>
        </w:rPr>
        <w:t xml:space="preserve"> </w:t>
      </w:r>
      <w:r>
        <w:rPr>
          <w:rStyle w:val="FunctionTok"/>
        </w:rPr>
        <w:t xml:space="preserve">nrow</w:t>
      </w:r>
      <w:r>
        <w:rPr>
          <w:rStyle w:val="NormalTok"/>
        </w:rPr>
        <w:t xml:space="preserve">(cor_mat),</w:t>
      </w:r>
      <w:r>
        <w:br/>
      </w:r>
      <w:r>
        <w:rPr>
          <w:rStyle w:val="NormalTok"/>
        </w:rPr>
        <w:t xml:space="preserve">  </w:t>
      </w:r>
      <w:r>
        <w:rPr>
          <w:rStyle w:val="AttributeTok"/>
        </w:rPr>
        <w:t xml:space="preserve">dimnames =</w:t>
      </w:r>
      <w:r>
        <w:rPr>
          <w:rStyle w:val="NormalTok"/>
        </w:rPr>
        <w:t xml:space="preserve"> </w:t>
      </w:r>
      <w:r>
        <w:rPr>
          <w:rStyle w:val="FunctionTok"/>
        </w:rPr>
        <w:t xml:space="preserve">dimnames</w:t>
      </w:r>
      <w:r>
        <w:rPr>
          <w:rStyle w:val="NormalTok"/>
        </w:rPr>
        <w:t xml:space="preserve">(cor_mat)</w:t>
      </w:r>
      <w:r>
        <w:br/>
      </w:r>
      <w:r>
        <w:rPr>
          <w:rStyle w:val="NormalTok"/>
        </w:rPr>
        <w:t xml:space="preserve">)</w:t>
      </w:r>
      <w:r>
        <w:br/>
      </w:r>
      <w:r>
        <w:br/>
      </w:r>
      <w:r>
        <w:rPr>
          <w:rStyle w:val="NormalTok"/>
        </w:rPr>
        <w:t xml:space="preserve">cor_star[</w:t>
      </w:r>
      <w:r>
        <w:rPr>
          <w:rStyle w:val="FunctionTok"/>
        </w:rPr>
        <w:t xml:space="preserve">upper.tri</w:t>
      </w:r>
      <w:r>
        <w:rPr>
          <w:rStyle w:val="NormalTok"/>
        </w:rPr>
        <w:t xml:space="preserve">(cor_star,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cor_star </w:t>
      </w:r>
      <w:r>
        <w:rPr>
          <w:rStyle w:val="OtherTok"/>
        </w:rPr>
        <w:t xml:space="preserve">&lt;-</w:t>
      </w:r>
      <w:r>
        <w:rPr>
          <w:rStyle w:val="NormalTok"/>
        </w:rPr>
        <w:t xml:space="preserve"> </w:t>
      </w:r>
      <w:r>
        <w:rPr>
          <w:rStyle w:val="FunctionTok"/>
        </w:rPr>
        <w:t xml:space="preserve">noquote</w:t>
      </w:r>
      <w:r>
        <w:rPr>
          <w:rStyle w:val="NormalTok"/>
        </w:rPr>
        <w:t xml:space="preserve">(cor_star)</w:t>
      </w:r>
      <w:r>
        <w:br/>
      </w:r>
      <w:r>
        <w:rPr>
          <w:rStyle w:val="FunctionTok"/>
        </w:rPr>
        <w:t xml:space="preserve">print</w:t>
      </w:r>
      <w:r>
        <w:rPr>
          <w:rStyle w:val="NormalTok"/>
        </w:rPr>
        <w:t xml:space="preserve">(cor_star, </w:t>
      </w:r>
      <w:r>
        <w:rPr>
          <w:rStyle w:val="AttributeTok"/>
        </w:rPr>
        <w:t xml:space="preserve">na.print =</w:t>
      </w:r>
      <w:r>
        <w:rPr>
          <w:rStyle w:val="NormalTok"/>
        </w:rPr>
        <w:t xml:space="preserve"> </w:t>
      </w:r>
      <w:r>
        <w:rPr>
          <w:rStyle w:val="StringTok"/>
        </w:rPr>
        <w:t xml:space="preserve">""</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br/>
      </w:r>
      <w:r>
        <w:rPr>
          <w:rStyle w:val="DocumentationTok"/>
        </w:rPr>
        <w:t xml:space="preserve">###RELATIVIZAÇÕES E TRANSFORMAÇÕES----</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(tidyverse)</w:t>
      </w:r>
      <w:r>
        <w:br/>
      </w:r>
      <w:r>
        <w:br/>
      </w:r>
      <w:r>
        <w:rPr>
          <w:rStyle w:val="CommentTok"/>
        </w:rPr>
        <w:t xml:space="preserve"># Selecionando variáveis que começam com "w" ou "m"</w:t>
      </w:r>
      <w:r>
        <w:br/>
      </w:r>
      <w:r>
        <w:rPr>
          <w:rStyle w:val="NormalTok"/>
        </w:rPr>
        <w:t xml:space="preserve">m_wm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"^(w|m)"</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Selecionando variáveis que começam com "s" ou "h"</w:t>
      </w:r>
      <w:r>
        <w:br/>
      </w:r>
      <w:r>
        <w:rPr>
          <w:rStyle w:val="NormalTok"/>
        </w:rPr>
        <w:t xml:space="preserve">m_sh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"^(s|h)"</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Removendo os dois primeiros caracteres dos nomes das colunas</w:t>
      </w:r>
      <w:r>
        <w:br/>
      </w:r>
      <w:r>
        <w:rPr>
          <w:rStyle w:val="FunctionTok"/>
        </w:rPr>
        <w:t xml:space="preserve">colnames</w:t>
      </w:r>
      <w:r>
        <w:rPr>
          <w:rStyle w:val="NormalTok"/>
        </w:rPr>
        <w:t xml:space="preserve">(m_wm)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(m_wm))</w:t>
      </w:r>
      <w:r>
        <w:br/>
      </w:r>
      <w:r>
        <w:rPr>
          <w:rStyle w:val="FunctionTok"/>
        </w:rPr>
        <w:t xml:space="preserve">colnames</w:t>
      </w:r>
      <w:r>
        <w:rPr>
          <w:rStyle w:val="NormalTok"/>
        </w:rPr>
        <w:t xml:space="preserve">(m_sh)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(m_sh))</w:t>
      </w:r>
      <w:r>
        <w:br/>
      </w:r>
      <w:r>
        <w:br/>
      </w:r>
      <w:r>
        <w:rPr>
          <w:rStyle w:val="CommentTok"/>
        </w:rPr>
        <w:t xml:space="preserve"># Transformações</w:t>
      </w:r>
      <w:r>
        <w:br/>
      </w:r>
      <w:r>
        <w:rPr>
          <w:rStyle w:val="NormalTok"/>
        </w:rPr>
        <w:t xml:space="preserve">m_wm </w:t>
      </w:r>
      <w:r>
        <w:rPr>
          <w:rStyle w:val="OtherTok"/>
        </w:rPr>
        <w:t xml:space="preserve">&lt;-</w:t>
      </w:r>
      <w:r>
        <w:rPr>
          <w:rStyle w:val="NormalTok"/>
        </w:rPr>
        <w:t xml:space="preserve"> </w:t>
      </w:r>
      <w:r>
        <w:rPr>
          <w:rStyle w:val="FunctionTok"/>
        </w:rPr>
        <w:t xml:space="preserve">sqrt</w:t>
      </w:r>
      <w:r>
        <w:rPr>
          <w:rStyle w:val="NormalTok"/>
        </w:rPr>
        <w:t xml:space="preserve">(m_wm)</w:t>
      </w:r>
      <w:r>
        <w:br/>
      </w:r>
      <w:r>
        <w:rPr>
          <w:rStyle w:val="NormalTok"/>
        </w:rPr>
        <w:t xml:space="preserve">m_sh </w:t>
      </w:r>
      <w:r>
        <w:rPr>
          <w:rStyle w:val="OtherTok"/>
        </w:rPr>
        <w:t xml:space="preserve">&lt;-</w:t>
      </w:r>
      <w:r>
        <w:rPr>
          <w:rStyle w:val="NormalTok"/>
        </w:rPr>
        <w:t xml:space="preserve"> </w:t>
      </w:r>
      <w:r>
        <w:rPr>
          <w:rStyle w:val="FunctionTok"/>
        </w:rPr>
        <w:t xml:space="preserve">asin</w:t>
      </w:r>
      <w:r>
        <w:rPr>
          <w:rStyle w:val="NormalTok"/>
        </w:rPr>
        <w:t xml:space="preserve">(</w:t>
      </w:r>
      <w:r>
        <w:rPr>
          <w:rStyle w:val="FunctionTok"/>
        </w:rPr>
        <w:t xml:space="preserve">sqrt</w:t>
      </w:r>
      <w:r>
        <w:rPr>
          <w:rStyle w:val="NormalTok"/>
        </w:rPr>
        <w:t xml:space="preserve">(</w:t>
      </w:r>
      <w:r>
        <w:rPr>
          <w:rStyle w:val="FunctionTok"/>
        </w:rPr>
        <w:t xml:space="preserve">decostand</w:t>
      </w:r>
      <w:r>
        <w:rPr>
          <w:rStyle w:val="NormalTok"/>
        </w:rPr>
        <w:t xml:space="preserve">(m_sh, </w:t>
      </w:r>
      <w:r>
        <w:rPr>
          <w:rStyle w:val="AttributeTok"/>
        </w:rPr>
        <w:t xml:space="preserve">method =</w:t>
      </w:r>
      <w:r>
        <w:rPr>
          <w:rStyle w:val="NormalTok"/>
        </w:rPr>
        <w:t xml:space="preserve"> </w:t>
      </w:r>
      <w:r>
        <w:rPr>
          <w:rStyle w:val="StringTok"/>
        </w:rPr>
        <w:t xml:space="preserve">"total"</w:t>
      </w:r>
      <w:r>
        <w:rPr>
          <w:rStyle w:val="NormalTok"/>
        </w:rPr>
        <w:t xml:space="preserve">, </w:t>
      </w:r>
      <w:r>
        <w:rPr>
          <w:rStyle w:val="AttributeTok"/>
        </w:rPr>
        <w:t xml:space="preserve">MARGIN =</w:t>
      </w:r>
      <w:r>
        <w:rPr>
          <w:rStyle w:val="NormalTok"/>
        </w:rPr>
        <w:t xml:space="preserve"> </w:t>
      </w:r>
      <w:r>
        <w:rPr>
          <w:rStyle w:val="DecValTok"/>
        </w:rPr>
        <w:t xml:space="preserve">2</w:t>
      </w:r>
      <w:r>
        <w:rPr>
          <w:rStyle w:val="NormalTok"/>
        </w:rPr>
        <w:t xml:space="preserve">)))</w:t>
      </w:r>
      <w:r>
        <w:br/>
      </w:r>
      <w:r>
        <w:br/>
      </w:r>
      <w:r>
        <w:rPr>
          <w:rStyle w:val="CommentTok"/>
        </w:rPr>
        <w:t xml:space="preserve"># Juntando tudo em uma única tabela</w:t>
      </w:r>
      <w:r>
        <w:br/>
      </w:r>
      <w:r>
        <w:rPr>
          <w:rStyle w:val="NormalTok"/>
        </w:rPr>
        <w:t xml:space="preserve">hab_trns </w:t>
      </w:r>
      <w:r>
        <w:rPr>
          <w:rStyle w:val="OtherTok"/>
        </w:rPr>
        <w:t xml:space="preserve">&lt;-</w:t>
      </w:r>
      <w:r>
        <w:rPr>
          <w:rStyle w:val="NormalTok"/>
        </w:rPr>
        <w:t xml:space="preserve"> </w:t>
      </w:r>
      <w:r>
        <w:rPr>
          <w:rStyle w:val="FunctionTok"/>
        </w:rPr>
        <w:t xml:space="preserve">cbind</w:t>
      </w:r>
      <w:r>
        <w:rPr>
          <w:rStyle w:val="NormalTok"/>
        </w:rPr>
        <w:t xml:space="preserve">(m_sh, m_wm)</w:t>
      </w:r>
      <w:r>
        <w:br/>
      </w:r>
      <w:r>
        <w:br/>
      </w:r>
      <w:r>
        <w:rPr>
          <w:rStyle w:val="CommentTok"/>
        </w:rPr>
        <w:t xml:space="preserve"># Salvado m_hab_trns</w:t>
      </w:r>
      <w:r>
        <w:br/>
      </w:r>
      <w:r>
        <w:rPr>
          <w:rStyle w:val="FunctionTok"/>
        </w:rPr>
        <w:t xml:space="preserve">write.table</w:t>
      </w:r>
      <w:r>
        <w:rPr>
          <w:rStyle w:val="NormalTok"/>
        </w:rPr>
        <w:t xml:space="preserve">(hab_trns,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All biomarker results were compared with those from Site 1, which served as the reference site for this study. Site 1 was located deep within the protected area, distant from anthropogenic influences, and met the criteria for a Type I site. After ascertaining the non-normality of the study biomarkers, comparisons were performed using one-sided Wilcoxon rank-sum tests to evaluate the hypothesis that biomarker values at each site were significantly greater than the mean observed at the reference site</w:t>
      </w:r>
      <w:r>
        <w:t xml:space="preserve"> </w:t>
      </w:r>
      <w:r>
        <w:t xml:space="preserve">(Zar, 2010)</w:t>
      </w:r>
      <w:r>
        <w:t xml:space="preserve">. Different fish species were pooled withing sites. All statistical analyses were conducted in the R statistical environment using RStudio</w:t>
      </w:r>
      <w:r>
        <w:t xml:space="preserve"> </w:t>
      </w:r>
      <w:r>
        <w:t xml:space="preserve">(R Core Team, 2017; R Studio Team, 2022)</w:t>
      </w:r>
      <w:r>
        <w:t xml:space="preserve">.</w:t>
      </w:r>
    </w:p>
    <w:bookmarkEnd w:id="13"/>
    <w:bookmarkStart w:id="14" w:name="results"/>
    <w:p>
      <w:pPr>
        <w:pStyle w:val="Heading1"/>
      </w:pPr>
      <w:r>
        <w:t xml:space="preserve">3. Results</w:t>
      </w:r>
    </w:p>
    <w:p>
      <w:pPr>
        <w:pStyle w:val="FirstParagraph"/>
      </w:pPr>
      <w:r>
        <w:rPr>
          <w:b/>
          <w:bCs/>
        </w:rPr>
        <w:t xml:space="preserve">Environmental variables and nutrient concentration.</w:t>
      </w:r>
      <w:r>
        <w:t xml:space="preserve"> </w:t>
      </w:r>
      <w:r>
        <w:t xml:space="preserve">Water velocity ranged from 0 to 0.293 m/s, with the highest values recorded at site 5. Width varied from 1.2 to 14.6 m, while average depth ranged from 13.7 to 44.2 cm. Dissolved oxygen ranged from 5.4 to 8.1 mg/L, and temperature from 25.2 to 27.8 °C. Conductivity varied between 129.0 and 163.3 μS/cm, whereas pH ranged from 5.5 to 7.0. Turbidity was generally low, although higher values were observed at sites 5 and 6, reaching 17.5 and 29.6 NTU, respectively. Elevation ranged from 41.5 to 112.8 m a.s.l., while slope varied between 1.0 and 3.0. Mud and sand were the main substrate components across all sampled sites, with average cover ranging from 30 to 100% and from 0 to 70%, respectively. Habitat structure varied along the stream course. The reference site (site 1) was characterized by high contributions of overhanging vegetation (90%) and exclusively muddy substrates. Site 2 exhibited similar characteristics, whereas site 3 showed reduced habitat complexity. Sites 4–6 displayed greater variation in habitat composition. The habitat structures contributing most overall were overhanging vegetation, debris, and root masses, although these contributions varied among sites. Aquatic macrophytes and littoral grass were particularly abundant at site 4, contributing on average 35.8% and 39.2%, respectively, whereas root masses represented the dominant habitat structure at site 5 (76.7%). Sand cover increased downstream, reaching 70% at site 6, where overhanging vegetation was markedly reduced (</w:t>
      </w:r>
      <w:hyperlink w:anchor="tbl-hab_gttable">
        <w:r>
          <w:rPr>
            <w:rStyle w:val="Hyperlink"/>
          </w:rPr>
          <w:t xml:space="preserve">Table 1</w:t>
        </w:r>
      </w:hyperlink>
      <w:r>
        <w:t xml:space="preserve">).</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"A1:G25"</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(PCA) described the overall environmental structure of the sampling sites and identified the main variables responsible for their spatial differentiation in terms of physicochemical characteristics, channel morphology, substrate composition, and marginal habitat structure</w:t>
      </w:r>
      <w:r>
        <w:t xml:space="preserve"> </w:t>
      </w:r>
      <w:hyperlink w:anchor="fig-hab_PCA_fviz">
        <w:r>
          <w:rPr>
            <w:rStyle w:val="Hyperlink"/>
          </w:rPr>
          <w:t xml:space="preserve">Figure 3</w:t>
        </w:r>
      </w:hyperlink>
      <w:r>
        <w:t xml:space="preserve">. The first two principal components explained 57% of the total variance, with the first axis accounting for 31% and the second axis for 26%. The first axis represented a gradient separating sites I and II from site IV. Sites I and II were associated with higher dissolved oxygen concentrations, higher altitude, muddy substrates, and overlying vegetation, while site IV was characterized by greater channel width, average depth, vegetation cover, sandy substrate, and higher turbidity. The second axis reflected the differences in habitat structure and aquatic vegetation. The upper portion of the ordination was associated with algae, macrophytes, and channel width, while the lower portion was related to submerged vegetation, root mass, water velocity, turbidity, and sandy substrates. Site III occupied an intermediate position along the first axis but was clearly distinguished along the second axis by its association with submerged vegetation, root mass, and higher water velocity. Overall, PCA indicated a marked environmental gradient between the sampling sites, with site IV differing from the upstream sites mainly due to channel morphology and substrate characteristics, while the local habitat structure and aquatic vegetation explained the separation of site III from the other sites.</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30</w:t>
      </w:r>
      <w:r>
        <w:rPr>
          <w:rStyle w:val="NormalTok"/>
        </w:rPr>
        <w:t xml:space="preserve">))</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NormalTok"/>
        </w:rPr>
        <w:t xml:space="preserve">t_grps </w:t>
      </w:r>
      <w:r>
        <w:rPr>
          <w:rStyle w:val="OtherTok"/>
        </w:rPr>
        <w:t xml:space="preserve">&lt;-</w:t>
      </w:r>
      <w:r>
        <w:rPr>
          <w:rStyle w:val="NormalTok"/>
        </w:rPr>
        <w:t xml:space="preserve"> t_grps[</w:t>
      </w:r>
      <w:r>
        <w:rPr>
          <w:rStyle w:val="FunctionTok"/>
        </w:rPr>
        <w:t xml:space="preserve">rownames</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w:t>
      </w:r>
      <w:r>
        <w:br/>
      </w:r>
      <w:r>
        <w:rPr>
          <w:rStyle w:val="NormalTok"/>
        </w:rPr>
        <w:t xml:space="preserve">  pca,</w:t>
      </w:r>
      <w:r>
        <w:br/>
      </w:r>
      <w:r>
        <w:rPr>
          <w:rStyle w:val="NormalTok"/>
        </w:rPr>
        <w:t xml:space="preserve">  </w:t>
      </w:r>
      <w:r>
        <w:rPr>
          <w:rStyle w:val="AttributeTok"/>
        </w:rPr>
        <w:t xml:space="preserve">habillage =</w:t>
      </w:r>
      <w:r>
        <w:rPr>
          <w:rStyle w:val="NormalTok"/>
        </w:rPr>
        <w:t xml:space="preserve"> my.cont.var,</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br/>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FILTRANDO AS VARIÁVEIS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w:t>
      </w:r>
      <w:r>
        <w:rPr>
          <w:rStyle w:val="DecValTok"/>
        </w:rPr>
        <w:t xml:space="preserve">1</w:t>
      </w:r>
      <w:r>
        <w:rPr>
          <w:rStyle w:val="NormalTok"/>
        </w:rPr>
        <w:t xml:space="preserve">,any)</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coord[vars_to_keep,,drop</w:t>
      </w:r>
      <w:r>
        <w:rPr>
          <w:rStyle w:val="OtherTok"/>
        </w:rPr>
        <w:t xml:space="preserve">=</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cos2[vars_to_keep,,drop</w:t>
      </w:r>
      <w:r>
        <w:rPr>
          <w:rStyle w:val="OtherTok"/>
        </w:rPr>
        <w:t xml:space="preserve">=</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contrib[vars_to_keep,,drop</w:t>
      </w:r>
      <w:r>
        <w:rPr>
          <w:rStyle w:val="OtherTok"/>
        </w:rPr>
        <w:t xml:space="preserve">=</w:t>
      </w:r>
      <w:r>
        <w:rPr>
          <w:rStyle w:val="ConstantTok"/>
        </w:rPr>
        <w:t xml:space="preserve">FALSE</w:t>
      </w:r>
      <w:r>
        <w:rPr>
          <w:rStyle w:val="NormalTok"/>
        </w:rPr>
        <w:t xml:space="preserve">]</w:t>
      </w:r>
      <w:r>
        <w:br/>
      </w:r>
      <w:r>
        <w:br/>
      </w:r>
      <w:r>
        <w:rPr>
          <w:rStyle w:val="DocumentationTok"/>
        </w:rPr>
        <w:t xml:space="preserve">### AJUSTE MANUAL DAS COORDENADAS DOS VETORES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NormalTok"/>
        </w:rPr>
        <w:t xml:space="preserve">var_coords</w:t>
      </w:r>
      <w:r>
        <w:rPr>
          <w:rStyle w:val="SpecialCharTok"/>
        </w:rPr>
        <w:t xml:space="preserve">$</w:t>
      </w:r>
      <w:r>
        <w:rPr>
          <w:rStyle w:val="NormalTok"/>
        </w:rPr>
        <w:t xml:space="preserve">Dim</w:t>
      </w:r>
      <w:r>
        <w:rPr>
          <w:rStyle w:val="FloatTok"/>
        </w:rPr>
        <w:t xml:space="preserve">.1</w:t>
      </w:r>
      <w:r>
        <w:rPr>
          <w:rStyle w:val="NormalTok"/>
        </w:rPr>
        <w:t xml:space="preserve"> </w:t>
      </w:r>
      <w:r>
        <w:rPr>
          <w:rStyle w:val="OtherTok"/>
        </w:rPr>
        <w:t xml:space="preserve">&lt;-</w:t>
      </w:r>
      <w:r>
        <w:rPr>
          <w:rStyle w:val="NormalTok"/>
        </w:rPr>
        <w:t xml:space="preserve"> var_coords</w:t>
      </w:r>
      <w:r>
        <w:rPr>
          <w:rStyle w:val="SpecialCharTok"/>
        </w:rPr>
        <w:t xml:space="preserve">$</w:t>
      </w:r>
      <w:r>
        <w:rPr>
          <w:rStyle w:val="NormalTok"/>
        </w:rPr>
        <w:t xml:space="preserve">Dim</w:t>
      </w:r>
      <w:r>
        <w:rPr>
          <w:rStyle w:val="FloatTok"/>
        </w:rPr>
        <w:t xml:space="preserve">.1</w:t>
      </w:r>
      <w:r>
        <w:rPr>
          <w:rStyle w:val="SpecialCharTok"/>
        </w:rPr>
        <w:t xml:space="preserve">*</w:t>
      </w:r>
      <w:r>
        <w:rPr>
          <w:rStyle w:val="FloatTok"/>
        </w:rPr>
        <w:t xml:space="preserve">4.2</w:t>
      </w:r>
      <w:r>
        <w:br/>
      </w:r>
      <w:r>
        <w:rPr>
          <w:rStyle w:val="NormalTok"/>
        </w:rPr>
        <w:t xml:space="preserve">var_coords</w:t>
      </w:r>
      <w:r>
        <w:rPr>
          <w:rStyle w:val="SpecialCharTok"/>
        </w:rPr>
        <w:t xml:space="preserve">$</w:t>
      </w:r>
      <w:r>
        <w:rPr>
          <w:rStyle w:val="NormalTok"/>
        </w:rPr>
        <w:t xml:space="preserve">Dim</w:t>
      </w:r>
      <w:r>
        <w:rPr>
          <w:rStyle w:val="FloatTok"/>
        </w:rPr>
        <w:t xml:space="preserve">.2</w:t>
      </w:r>
      <w:r>
        <w:rPr>
          <w:rStyle w:val="NormalTok"/>
        </w:rPr>
        <w:t xml:space="preserve"> </w:t>
      </w:r>
      <w:r>
        <w:rPr>
          <w:rStyle w:val="OtherTok"/>
        </w:rPr>
        <w:t xml:space="preserve">&lt;-</w:t>
      </w:r>
      <w:r>
        <w:rPr>
          <w:rStyle w:val="NormalTok"/>
        </w:rPr>
        <w:t xml:space="preserve"> var_coords</w:t>
      </w:r>
      <w:r>
        <w:rPr>
          <w:rStyle w:val="SpecialCharTok"/>
        </w:rPr>
        <w:t xml:space="preserve">$</w:t>
      </w:r>
      <w:r>
        <w:rPr>
          <w:rStyle w:val="NormalTok"/>
        </w:rPr>
        <w:t xml:space="preserve">Dim</w:t>
      </w:r>
      <w:r>
        <w:rPr>
          <w:rStyle w:val="FloatTok"/>
        </w:rPr>
        <w:t xml:space="preserve">.2</w:t>
      </w:r>
      <w:r>
        <w:rPr>
          <w:rStyle w:val="SpecialCharTok"/>
        </w:rPr>
        <w:t xml:space="preserve">*</w:t>
      </w:r>
      <w:r>
        <w:rPr>
          <w:rStyle w:val="FloatTok"/>
        </w:rPr>
        <w:t xml:space="preserve">4.2</w:t>
      </w:r>
      <w:r>
        <w:br/>
      </w:r>
      <w:r>
        <w:br/>
      </w:r>
      <w:r>
        <w:rPr>
          <w:rStyle w:val="DocumentationTok"/>
        </w:rPr>
        <w:t xml:space="preserve">## Caso queira editar manualmente</w:t>
      </w:r>
      <w:r>
        <w:br/>
      </w:r>
      <w:r>
        <w:rPr>
          <w:rStyle w:val="CommentTok"/>
        </w:rPr>
        <w:t xml:space="preserve">#fix(var_coords)</w:t>
      </w:r>
      <w:r>
        <w:br/>
      </w:r>
      <w:r>
        <w:rPr>
          <w:rStyle w:val="CommentTok"/>
        </w:rPr>
        <w:t xml:space="preserve">#write.table(var_coords,"coords_var.txt")</w:t>
      </w:r>
      <w:r>
        <w:br/>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NormalTok"/>
        </w:rPr>
        <w:t xml:space="preserve">                         </w:t>
      </w:r>
      <w:r>
        <w:rPr>
          <w:rStyle w:val="AttributeTok"/>
        </w:rPr>
        <w:t xml:space="preserve">header=</w:t>
      </w:r>
      <w:r>
        <w:rPr>
          <w:rStyle w:val="ConstantTok"/>
        </w:rPr>
        <w:t xml:space="preserve">TRUE</w:t>
      </w:r>
      <w:r>
        <w:rPr>
          <w:rStyle w:val="NormalTok"/>
        </w:rPr>
        <w:t xml:space="preserve">,</w:t>
      </w:r>
      <w:r>
        <w:br/>
      </w:r>
      <w:r>
        <w:rPr>
          <w:rStyle w:val="NormalTok"/>
        </w:rPr>
        <w:t xml:space="preserve">                         </w:t>
      </w:r>
      <w:r>
        <w:rPr>
          <w:rStyle w:val="AttributeTok"/>
        </w:rPr>
        <w:t xml:space="preserve">row.names=</w:t>
      </w:r>
      <w:r>
        <w:rPr>
          <w:rStyle w:val="DecValTok"/>
        </w:rPr>
        <w:t xml:space="preserve">1</w:t>
      </w:r>
      <w:r>
        <w:rPr>
          <w:rStyle w:val="NormalTok"/>
        </w:rPr>
        <w:t xml:space="preserve">)</w:t>
      </w:r>
      <w:r>
        <w:br/>
      </w:r>
      <w:r>
        <w:br/>
      </w:r>
      <w:r>
        <w:rPr>
          <w:rStyle w:val="DocumentationTok"/>
        </w:rPr>
        <w:t xml:space="preserve">### AJUSTE MANUAL DOS INDIVÍDUOS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(pca_filt</w:t>
      </w:r>
      <w:r>
        <w:rPr>
          <w:rStyle w:val="SpecialCharTok"/>
        </w:rPr>
        <w:t xml:space="preserve">$</w:t>
      </w:r>
      <w:r>
        <w:rPr>
          <w:rStyle w:val="NormalTok"/>
        </w:rPr>
        <w:t xml:space="preserve">ind</w:t>
      </w:r>
      <w:r>
        <w:rPr>
          <w:rStyle w:val="SpecialCharTok"/>
        </w:rPr>
        <w:t xml:space="preserve">$</w:t>
      </w:r>
      <w:r>
        <w:rPr>
          <w:rStyle w:val="NormalTok"/>
        </w:rPr>
        <w:t xml:space="preserve">coord)</w:t>
      </w:r>
      <w:r>
        <w:br/>
      </w:r>
      <w:r>
        <w:br/>
      </w:r>
      <w:r>
        <w:rPr>
          <w:rStyle w:val="DocumentationTok"/>
        </w:rPr>
        <w:t xml:space="preserve">## Caso queira editar manualmente</w:t>
      </w:r>
      <w:r>
        <w:br/>
      </w:r>
      <w:r>
        <w:rPr>
          <w:rStyle w:val="CommentTok"/>
        </w:rPr>
        <w:t xml:space="preserve">#fix(ind_coords)</w:t>
      </w:r>
      <w:r>
        <w:br/>
      </w:r>
      <w:r>
        <w:rPr>
          <w:rStyle w:val="CommentTok"/>
        </w:rPr>
        <w:t xml:space="preserve">#write.table(ind_coords,"coords_ind.txt")</w:t>
      </w:r>
      <w:r>
        <w:br/>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NormalTok"/>
        </w:rPr>
        <w:t xml:space="preserve">                         </w:t>
      </w:r>
      <w:r>
        <w:rPr>
          <w:rStyle w:val="AttributeTok"/>
        </w:rPr>
        <w:t xml:space="preserve">header=</w:t>
      </w:r>
      <w:r>
        <w:rPr>
          <w:rStyle w:val="ConstantTok"/>
        </w:rPr>
        <w:t xml:space="preserve">TRUE</w:t>
      </w:r>
      <w:r>
        <w:rPr>
          <w:rStyle w:val="NormalTok"/>
        </w:rPr>
        <w:t xml:space="preserve">,</w:t>
      </w:r>
      <w:r>
        <w:br/>
      </w:r>
      <w:r>
        <w:rPr>
          <w:rStyle w:val="NormalTok"/>
        </w:rPr>
        <w:t xml:space="preserve">                         </w:t>
      </w:r>
      <w:r>
        <w:rPr>
          <w:rStyle w:val="AttributeTok"/>
        </w:rPr>
        <w:t xml:space="preserve">row.names=</w:t>
      </w:r>
      <w:r>
        <w:rPr>
          <w:rStyle w:val="DecValTok"/>
        </w:rPr>
        <w:t xml:space="preserve">1</w:t>
      </w:r>
      <w:r>
        <w:rPr>
          <w:rStyle w:val="NormalTok"/>
        </w:rPr>
        <w:t xml:space="preserve">)</w:t>
      </w:r>
      <w:r>
        <w:br/>
      </w:r>
      <w:r>
        <w:br/>
      </w:r>
      <w:r>
        <w:rPr>
          <w:rStyle w:val="DocumentationTok"/>
        </w:rPr>
        <w:t xml:space="preserve">############################################################</w:t>
      </w:r>
      <w:r>
        <w:br/>
      </w:r>
      <w:r>
        <w:rPr>
          <w:rStyle w:val="DocumentationTok"/>
        </w:rPr>
        <w:t xml:space="preserve">### GRÁFICO FINAL</w:t>
      </w:r>
      <w:r>
        <w:br/>
      </w:r>
      <w:r>
        <w:rPr>
          <w:rStyle w:val="Documentation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#png("fig-hab_PCA_fviz.png", width=11, height=9, units="in", res=400)</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ind_coords,</w:t>
      </w:r>
      <w:r>
        <w:br/>
      </w:r>
      <w:r>
        <w:rPr>
          <w:rStyle w:val="NormalTok"/>
        </w:rPr>
        <w:t xml:space="preserve">    </w:t>
      </w:r>
      <w:r>
        <w:rPr>
          <w:rStyle w:val="FunctionTok"/>
        </w:rPr>
        <w:t xml:space="preserve">aes</w:t>
      </w:r>
      <w:r>
        <w:rPr>
          <w:rStyle w:val="NormalTok"/>
        </w:rPr>
        <w:t xml:space="preserve">(Dim</w:t>
      </w:r>
      <w:r>
        <w:rPr>
          <w:rStyle w:val="FloatTok"/>
        </w:rPr>
        <w:t xml:space="preserve">.1</w:t>
      </w:r>
      <w:r>
        <w:rPr>
          <w:rStyle w:val="NormalTok"/>
        </w:rPr>
        <w:t xml:space="preserve">, Dim</w:t>
      </w:r>
      <w:r>
        <w:rPr>
          <w:rStyle w:val="FloatTok"/>
        </w:rPr>
        <w:t xml:space="preserve">.2</w:t>
      </w:r>
      <w:r>
        <w:rPr>
          <w:rStyle w:val="NormalTok"/>
        </w:rPr>
        <w:t xml:space="preserve">, </w:t>
      </w:r>
      <w:r>
        <w:rPr>
          <w:rStyle w:val="AttributeTok"/>
        </w:rPr>
        <w:t xml:space="preserve">shape =</w:t>
      </w:r>
      <w:r>
        <w:rPr>
          <w:rStyle w:val="NormalTok"/>
        </w:rPr>
        <w:t xml:space="preserve"> t_grps</w:t>
      </w:r>
      <w:r>
        <w:rPr>
          <w:rStyle w:val="SpecialCharTok"/>
        </w:rPr>
        <w:t xml:space="preserve">$</w:t>
      </w:r>
      <w:r>
        <w:rPr>
          <w:rStyle w:val="NormalTok"/>
        </w:rPr>
        <w:t xml:space="preserve">Ref_site),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"black"</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var_coords,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Dim</w:t>
      </w:r>
      <w:r>
        <w:rPr>
          <w:rStyle w:val="FloatTok"/>
        </w:rPr>
        <w:t xml:space="preserve">.1</w:t>
      </w:r>
      <w:r>
        <w:rPr>
          <w:rStyle w:val="NormalTok"/>
        </w:rPr>
        <w:t xml:space="preserve">,</w:t>
      </w:r>
      <w:r>
        <w:br/>
      </w:r>
      <w:r>
        <w:rPr>
          <w:rStyle w:val="NormalTok"/>
        </w:rPr>
        <w:t xml:space="preserve">        </w:t>
      </w:r>
      <w:r>
        <w:rPr>
          <w:rStyle w:val="AttributeTok"/>
        </w:rPr>
        <w:t xml:space="preserve">yend =</w:t>
      </w:r>
      <w:r>
        <w:rPr>
          <w:rStyle w:val="NormalTok"/>
        </w:rPr>
        <w:t xml:space="preserve"> Dim</w:t>
      </w:r>
      <w:r>
        <w:rPr>
          <w:rStyle w:val="FloatTok"/>
        </w:rPr>
        <w:t xml:space="preserve">.2</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0.25</w:t>
      </w:r>
      <w:r>
        <w:rPr>
          <w:rStyle w:val="NormalTok"/>
        </w:rPr>
        <w:t xml:space="preserve">,</w:t>
      </w:r>
      <w:r>
        <w:rPr>
          <w:rStyle w:val="StringTok"/>
        </w:rPr>
        <w:t xml:space="preserve">"cm"</w:t>
      </w:r>
      <w:r>
        <w:rPr>
          <w:rStyle w:val="NormalTok"/>
        </w:rPr>
        <w:t xml:space="preserve">))</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transform</w:t>
      </w:r>
      <w:r>
        <w:rPr>
          <w:rStyle w:val="NormalTok"/>
        </w:rPr>
        <w:t xml:space="preserve">(</w:t>
      </w:r>
      <w:r>
        <w:br/>
      </w:r>
      <w:r>
        <w:rPr>
          <w:rStyle w:val="NormalTok"/>
        </w:rPr>
        <w:t xml:space="preserve">      var_coords,</w:t>
      </w:r>
      <w:r>
        <w:br/>
      </w:r>
      <w:r>
        <w:rPr>
          <w:rStyle w:val="NormalTok"/>
        </w:rPr>
        <w:t xml:space="preserve">      </w:t>
      </w:r>
      <w:r>
        <w:rPr>
          <w:rStyle w:val="AttributeTok"/>
        </w:rPr>
        <w:t xml:space="preserve">nudge_y =</w:t>
      </w:r>
      <w:r>
        <w:rPr>
          <w:rStyle w:val="NormalTok"/>
        </w:rPr>
        <w:t xml:space="preserve"> </w:t>
      </w:r>
      <w:r>
        <w:rPr>
          <w:rStyle w:val="FunctionTok"/>
        </w:rPr>
        <w:t xml:space="preserve">ifelse</w:t>
      </w:r>
      <w:r>
        <w:rPr>
          <w:rStyle w:val="NormalTok"/>
        </w:rPr>
        <w:t xml:space="preserve">(Dim</w:t>
      </w:r>
      <w:r>
        <w:rPr>
          <w:rStyle w:val="FloatTok"/>
        </w:rPr>
        <w:t xml:space="preserve">.2</w:t>
      </w:r>
      <w:r>
        <w:rPr>
          <w:rStyle w:val="NormalTok"/>
        </w:rPr>
        <w:t xml:space="preserve"> </w:t>
      </w:r>
      <w:r>
        <w:rPr>
          <w:rStyle w:val="SpecialCharTok"/>
        </w:rPr>
        <w:t xml:space="preserve">&gt;=</w:t>
      </w:r>
      <w:r>
        <w:rPr>
          <w:rStyle w:val="NormalTok"/>
        </w:rPr>
        <w:t xml:space="preserve"> </w:t>
      </w:r>
      <w:r>
        <w:rPr>
          <w:rStyle w:val="DecValTok"/>
        </w:rPr>
        <w:t xml:space="preserve">0</w:t>
      </w:r>
      <w:r>
        <w:rPr>
          <w:rStyle w:val="NormalTok"/>
        </w:rPr>
        <w:t xml:space="preserve">, </w:t>
      </w:r>
      <w:r>
        <w:rPr>
          <w:rStyle w:val="FloatTok"/>
        </w:rPr>
        <w:t xml:space="preserve">0.25</w:t>
      </w:r>
      <w:r>
        <w:rPr>
          <w:rStyle w:val="NormalTok"/>
        </w:rPr>
        <w:t xml:space="preserve">, </w:t>
      </w:r>
      <w:r>
        <w:rPr>
          <w:rStyle w:val="SpecialCharTok"/>
        </w:rPr>
        <w:t xml:space="preserve">-</w:t>
      </w:r>
      <w:r>
        <w:rPr>
          <w:rStyle w:val="FloatTok"/>
        </w:rPr>
        <w:t xml:space="preserve">0.25</w:t>
      </w:r>
      <w:r>
        <w:rPr>
          <w:rStyle w:val="Normal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Dim</w:t>
      </w:r>
      <w:r>
        <w:rPr>
          <w:rStyle w:val="FloatTok"/>
        </w:rPr>
        <w:t xml:space="preserve">.1</w:t>
      </w:r>
      <w:r>
        <w:rPr>
          <w:rStyle w:val="NormalTok"/>
        </w:rPr>
        <w:t xml:space="preserve">,</w:t>
      </w:r>
      <w:r>
        <w:br/>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SpecialCharTok"/>
        </w:rPr>
        <w:t xml:space="preserve">+</w:t>
      </w:r>
      <w:r>
        <w:rPr>
          <w:rStyle w:val="NormalTok"/>
        </w:rPr>
        <w:t xml:space="preserve"> nudge_y,</w:t>
      </w:r>
      <w:r>
        <w:br/>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nudge_x =</w:t>
      </w:r>
      <w:r>
        <w:rPr>
          <w:rStyle w:val="NormalTok"/>
        </w:rPr>
        <w:t xml:space="preserve"> </w:t>
      </w:r>
      <w:r>
        <w:rPr>
          <w:rStyle w:val="FloatTok"/>
        </w:rPr>
        <w:t xml:space="preserve">0.19</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16</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17</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"Dim1 ("</w:t>
      </w:r>
      <w:r>
        <w:rPr>
          <w:rStyle w:val="NormalTok"/>
        </w:rPr>
        <w:t xml:space="preserve">, </w:t>
      </w:r>
      <w:r>
        <w:rPr>
          <w:rStyle w:val="FunctionTok"/>
        </w:rPr>
        <w:t xml:space="preserve">round</w:t>
      </w:r>
      <w:r>
        <w:rPr>
          <w:rStyle w:val="NormalTok"/>
        </w:rPr>
        <w:t xml:space="preserve">(pca</w:t>
      </w:r>
      <w:r>
        <w:rPr>
          <w:rStyle w:val="SpecialCharTok"/>
        </w:rPr>
        <w:t xml:space="preserve">$</w:t>
      </w:r>
      <w:r>
        <w:rPr>
          <w:rStyle w:val="NormalTok"/>
        </w:rPr>
        <w:t xml:space="preserve">eig[</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"Dim2 ("</w:t>
      </w:r>
      <w:r>
        <w:rPr>
          <w:rStyle w:val="NormalTok"/>
        </w:rPr>
        <w:t xml:space="preserve">, </w:t>
      </w:r>
      <w:r>
        <w:rPr>
          <w:rStyle w:val="FunctionTok"/>
        </w:rPr>
        <w:t xml:space="preserve">round</w:t>
      </w:r>
      <w:r>
        <w:rPr>
          <w:rStyle w:val="NormalTok"/>
        </w:rPr>
        <w:t xml:space="preserve">(pca</w:t>
      </w:r>
      <w:r>
        <w:rPr>
          <w:rStyle w:val="SpecialCharTok"/>
        </w:rPr>
        <w:t xml:space="preserve">$</w:t>
      </w:r>
      <w:r>
        <w:rPr>
          <w:rStyle w:val="NormalTok"/>
        </w:rPr>
        <w:t xml:space="preserve">eig[</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"Sites"</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coord_equal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#dev.off()</w:t>
      </w:r>
    </w:p>
    <w:p>
      <w:pPr>
        <w:pStyle w:val="FirstParagraph"/>
      </w:pPr>
      <w:r>
        <w:t xml:space="preserve">Averaged nutrient concentrations varied among sampling sites (</w:t>
      </w:r>
      <w:hyperlink w:anchor="tbl-nutri_gttable">
        <w:r>
          <w:rPr>
            <w:rStyle w:val="Hyperlink"/>
          </w:rPr>
          <w:t xml:space="preserve">Table 2</w:t>
        </w:r>
      </w:hyperlink>
      <w:r>
        <w:t xml:space="preserve">). Ammonia concentrations ranged from 54.8 µg L⁻¹ at the reference site (Site 1) to 243.7 µg L⁻¹ at Site 6, the highest value recorded during the study. Elevated ammonia concentrations were also observed at Sites 4 (81.6 µg L⁻¹) and 5 (80.8 µg L⁻¹), whereas Sites 1–3 exhibited comparatively lower concentrations (54.8–72.0 µg L⁻¹). Nitrite concentrations were zero at all sampling sites. Nitrate concentrations ranged from 5.5 to 18.8 µg L⁻¹, with the highest values recorded at Sites 4 and 5. Orthophosphate was detected only at Site 3 (1.0 µg L⁻¹), whereas total phosphorus ranged from undetectable levels at Site 1 to 50.1 µg L⁻¹ at Site 3, with relatively high concentrations also recorded at Site 6 (38.7 µg L⁻¹).</w:t>
      </w:r>
    </w:p>
    <w:p>
      <w:pPr>
        <w:pStyle w:val="SourceCode"/>
      </w:pPr>
      <w:r>
        <w:rPr>
          <w:rStyle w:val="CommentTok"/>
        </w:rPr>
        <w:t xml:space="preserve">#TABELA DE NUTRI----</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t_nutri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"t_nutri.csv"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NormalTok"/>
        </w:rPr>
        <w:t xml:space="preserve">nutri </w:t>
      </w:r>
      <w:r>
        <w:rPr>
          <w:rStyle w:val="OtherTok"/>
        </w:rPr>
        <w:t xml:space="preserve">&lt;-</w:t>
      </w:r>
      <w:r>
        <w:rPr>
          <w:rStyle w:val="NormalTok"/>
        </w:rPr>
        <w:t xml:space="preserve"> t_nutri</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t_grps </w:t>
      </w:r>
      <w:r>
        <w:rPr>
          <w:rStyle w:val="OtherTok"/>
        </w:rPr>
        <w:t xml:space="preserve">&lt;-</w:t>
      </w:r>
      <w:r>
        <w:rPr>
          <w:rStyle w:val="NormalTok"/>
        </w:rPr>
        <w:t xml:space="preserve"> t_grps[</w:t>
      </w:r>
      <w:r>
        <w:rPr>
          <w:rStyle w:val="FunctionTok"/>
        </w:rPr>
        <w:t xml:space="preserve">seq_len</w:t>
      </w:r>
      <w:r>
        <w:rPr>
          <w:rStyle w:val="NormalTok"/>
        </w:rPr>
        <w:t xml:space="preserve">(</w:t>
      </w:r>
      <w:r>
        <w:rPr>
          <w:rStyle w:val="FunctionTok"/>
        </w:rPr>
        <w:t xml:space="preserve">nrow</w:t>
      </w:r>
      <w:r>
        <w:rPr>
          <w:rStyle w:val="NormalTok"/>
        </w:rPr>
        <w:t xml:space="preserve">(nutri)),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m_trab </w:t>
      </w:r>
      <w:r>
        <w:rPr>
          <w:rStyle w:val="OtherTok"/>
        </w:rPr>
        <w:t xml:space="preserve">&lt;-</w:t>
      </w:r>
      <w:r>
        <w:rPr>
          <w:rStyle w:val="NormalTok"/>
        </w:rPr>
        <w:t xml:space="preserve"> nutri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FunctionTok"/>
        </w:rPr>
        <w:t xml:space="preserve">colnames</w:t>
      </w:r>
      <w:r>
        <w:rPr>
          <w:rStyle w:val="NormalTok"/>
        </w:rPr>
        <w:t xml:space="preserve">(m_trab)</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"Ammonia.NH3.ug.L"</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"m_wide_nutri.txt"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m_wide_nutri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"m_wide_nutri.txt"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nutrientes.xlsx",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nutrientes.xlsx"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m_wide_nutri)</w:t>
      </w:r>
      <w:r>
        <w:br/>
      </w:r>
      <w:r>
        <w:rPr>
          <w:rStyle w:val="FunctionTok"/>
        </w:rPr>
        <w:t xml:space="preserve">saveWorkbook</w:t>
      </w:r>
      <w:r>
        <w:rPr>
          <w:rStyle w:val="NormalTok"/>
        </w:rPr>
        <w:t xml:space="preserve">(wb, </w:t>
      </w:r>
      <w:r>
        <w:rPr>
          <w:rStyle w:val="StringTok"/>
        </w:rPr>
        <w:t xml:space="preserve">"tabela de nutrientes.xlsx"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nutri_gttable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nutrientes.xlsx"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"A1:G6"</w:t>
      </w:r>
      <w:r>
        <w:rPr>
          <w:rStyle w:val="NormalTok"/>
        </w:rPr>
        <w:t xml:space="preserve">) </w:t>
      </w:r>
      <w:r>
        <w:rPr>
          <w:rStyle w:val="CommentTok"/>
        </w:rPr>
        <w:t xml:space="preserve">#ajustar para o tamanho da tabela final </w:t>
      </w:r>
      <w:r>
        <w:br/>
      </w:r>
      <w:r>
        <w:rPr>
          <w:rStyle w:val="NormalTok"/>
        </w:rPr>
        <w:t xml:space="preserve">nutri_gttable</w:t>
      </w:r>
      <w:r>
        <w:br/>
      </w:r>
      <w:r>
        <w:rPr>
          <w:rStyle w:val="FunctionTok"/>
        </w:rPr>
        <w:t xml:space="preserve">library</w:t>
      </w:r>
      <w:r>
        <w:rPr>
          <w:rStyle w:val="NormalTok"/>
        </w:rPr>
        <w:t xml:space="preserve">(gt)</w:t>
      </w:r>
      <w:r>
        <w:br/>
      </w:r>
      <w:r>
        <w:rPr>
          <w:rStyle w:val="NormalTok"/>
        </w:rPr>
        <w:t xml:space="preserve">nutri_gttable </w:t>
      </w:r>
      <w:r>
        <w:rPr>
          <w:rStyle w:val="OtherTok"/>
        </w:rPr>
        <w:t xml:space="preserve">&lt;-</w:t>
      </w:r>
      <w:r>
        <w:rPr>
          <w:rStyle w:val="NormalTok"/>
        </w:rPr>
        <w:t xml:space="preserve"> </w:t>
      </w:r>
      <w:r>
        <w:rPr>
          <w:rStyle w:val="FunctionTok"/>
        </w:rPr>
        <w:t xml:space="preserve">gt</w:t>
      </w:r>
      <w:r>
        <w:rPr>
          <w:rStyle w:val="NormalTok"/>
        </w:rPr>
        <w:t xml:space="preserve">(nutri_gttable)</w:t>
      </w:r>
      <w:r>
        <w:br/>
      </w:r>
      <w:r>
        <w:rPr>
          <w:rStyle w:val="NormalTok"/>
        </w:rPr>
        <w:t xml:space="preserve">nutri_gttable </w:t>
      </w:r>
      <w:r>
        <w:rPr>
          <w:rStyle w:val="OtherTok"/>
        </w:rPr>
        <w:t xml:space="preserve">&lt;-</w:t>
      </w:r>
      <w:r>
        <w:rPr>
          <w:rStyle w:val="NormalTok"/>
        </w:rPr>
        <w:t xml:space="preserve"> </w:t>
      </w:r>
      <w:r>
        <w:rPr>
          <w:rStyle w:val="FunctionTok"/>
        </w:rPr>
        <w:t xml:space="preserve">sub_missing</w:t>
      </w:r>
      <w:r>
        <w:rPr>
          <w:rStyle w:val="NormalTok"/>
        </w:rPr>
        <w:t xml:space="preserve">(nutri_gttable,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nutri_gttable</w:t>
      </w:r>
      <w:r>
        <w:br/>
      </w:r>
      <w:r>
        <w:rPr>
          <w:rStyle w:val="FunctionTok"/>
        </w:rPr>
        <w:t xml:space="preserve">gtsave</w:t>
      </w:r>
      <w:r>
        <w:rPr>
          <w:rStyle w:val="NormalTok"/>
        </w:rPr>
        <w:t xml:space="preserve">(nutri_gttable, </w:t>
      </w:r>
      <w:r>
        <w:rPr>
          <w:rStyle w:val="StringTok"/>
        </w:rPr>
        <w:t xml:space="preserve">"gt-nutri_gttable_xlsx.html"</w:t>
      </w:r>
      <w:r>
        <w:rPr>
          <w:rStyle w:val="NormalTok"/>
        </w:rPr>
        <w:t xml:space="preserve">)</w:t>
      </w:r>
      <w:r>
        <w:br/>
      </w:r>
      <w:r>
        <w:rPr>
          <w:rStyle w:val="FunctionTok"/>
        </w:rPr>
        <w:t xml:space="preserve">saveRDS</w:t>
      </w:r>
      <w:r>
        <w:rPr>
          <w:rStyle w:val="NormalTok"/>
        </w:rPr>
        <w:t xml:space="preserve">(nutri_gttable, </w:t>
      </w:r>
      <w:r>
        <w:rPr>
          <w:rStyle w:val="StringTok"/>
        </w:rPr>
        <w:t xml:space="preserve">"gt-nutri_gttable_xlsx.rds"</w:t>
      </w:r>
      <w:r>
        <w:rPr>
          <w:rStyle w:val="NormalTok"/>
        </w:rPr>
        <w:t xml:space="preserve">)</w:t>
      </w:r>
    </w:p>
    <w:p>
      <w:pPr>
        <w:pStyle w:val="FirstParagraph"/>
      </w:pPr>
      <w:r>
        <w:rPr>
          <w:b/>
          <w:bCs/>
        </w:rPr>
        <w:t xml:space="preserve">Fish community.</w:t>
      </w:r>
      <w:r>
        <w:t xml:space="preserve"> </w:t>
      </w:r>
      <w:r>
        <w:t xml:space="preserve">A total of six fish species were collected under a standardized sampling effort, so species representation reflected their natural abundances in the study area. Among the families recorded, Characidae was the richest, comprising five species (</w:t>
      </w:r>
      <w:r>
        <w:rPr>
          <w:i/>
          <w:iCs/>
        </w:rPr>
        <w:t xml:space="preserve">Astyanax bimaculatus</w:t>
      </w:r>
      <w:r>
        <w:t xml:space="preserve">,</w:t>
      </w:r>
      <w:r>
        <w:t xml:space="preserve"> </w:t>
      </w:r>
      <w:r>
        <w:rPr>
          <w:i/>
          <w:iCs/>
        </w:rPr>
        <w:t xml:space="preserve">Astyanax fasciatus</w:t>
      </w:r>
      <w:r>
        <w:t xml:space="preserve">,</w:t>
      </w:r>
      <w:r>
        <w:t xml:space="preserve"> </w:t>
      </w:r>
      <w:r>
        <w:rPr>
          <w:i/>
          <w:iCs/>
        </w:rPr>
        <w:t xml:space="preserve">Hemigrammus marginatus</w:t>
      </w:r>
      <w:r>
        <w:t xml:space="preserve">,</w:t>
      </w:r>
      <w:r>
        <w:t xml:space="preserve"> </w:t>
      </w:r>
      <w:r>
        <w:rPr>
          <w:i/>
          <w:iCs/>
        </w:rPr>
        <w:t xml:space="preserve">Hemigrammus rodwayi</w:t>
      </w:r>
      <w:r>
        <w:t xml:space="preserve">, and</w:t>
      </w:r>
      <w:r>
        <w:t xml:space="preserve"> </w:t>
      </w:r>
      <w:r>
        <w:rPr>
          <w:i/>
          <w:iCs/>
        </w:rPr>
        <w:t xml:space="preserve">Hemigrammus unilineatus</w:t>
      </w:r>
      <w:r>
        <w:t xml:space="preserve">), whereas Crenuchidae was represented by a single species,</w:t>
      </w:r>
      <w:r>
        <w:t xml:space="preserve"> </w:t>
      </w:r>
      <w:r>
        <w:rPr>
          <w:i/>
          <w:iCs/>
        </w:rPr>
        <w:t xml:space="preserve">Characidium bimaculatum</w:t>
      </w:r>
      <w:r>
        <w:t xml:space="preserve">, from which only one specimen was collected.</w:t>
      </w:r>
      <w:r>
        <w:t xml:space="preserve"> </w:t>
      </w:r>
      <w:r>
        <w:rPr>
          <w:i/>
          <w:iCs/>
        </w:rPr>
        <w:t xml:space="preserve">Hemigrammus unilineatus</w:t>
      </w:r>
      <w:r>
        <w:t xml:space="preserve"> </w:t>
      </w:r>
      <w:r>
        <w:t xml:space="preserve">was the most abundant species, representing 66.3% of all individuals analyzed, followed by</w:t>
      </w:r>
      <w:r>
        <w:t xml:space="preserve"> </w:t>
      </w:r>
      <w:r>
        <w:rPr>
          <w:i/>
          <w:iCs/>
        </w:rPr>
        <w:t xml:space="preserve">Astyanax fasciatus</w:t>
      </w:r>
      <w:r>
        <w:t xml:space="preserve"> </w:t>
      </w:r>
      <w:r>
        <w:t xml:space="preserve">(14.8%) and</w:t>
      </w:r>
      <w:r>
        <w:t xml:space="preserve"> </w:t>
      </w:r>
      <w:r>
        <w:rPr>
          <w:i/>
          <w:iCs/>
        </w:rPr>
        <w:t xml:space="preserve">Hemigrammus rodwayi</w:t>
      </w:r>
      <w:r>
        <w:t xml:space="preserve"> </w:t>
      </w:r>
      <w:r>
        <w:t xml:space="preserve">(11.2%).</w:t>
      </w:r>
      <w:r>
        <w:t xml:space="preserve"> </w:t>
      </w:r>
      <w:r>
        <w:rPr>
          <w:i/>
          <w:iCs/>
        </w:rPr>
        <w:t xml:space="preserve">Astyanax bimaculatus</w:t>
      </w:r>
      <w:r>
        <w:t xml:space="preserve"> </w:t>
      </w:r>
      <w:r>
        <w:t xml:space="preserve">accounted for 4.6% of the specimens, whereas</w:t>
      </w:r>
      <w:r>
        <w:t xml:space="preserve"> </w:t>
      </w:r>
      <w:r>
        <w:rPr>
          <w:i/>
          <w:iCs/>
        </w:rPr>
        <w:t xml:space="preserve">Hemigrammus marginatus</w:t>
      </w:r>
      <w:r>
        <w:t xml:space="preserve"> </w:t>
      </w:r>
      <w:r>
        <w:t xml:space="preserve">and</w:t>
      </w:r>
      <w:r>
        <w:t xml:space="preserve"> </w:t>
      </w:r>
      <w:r>
        <w:rPr>
          <w:i/>
          <w:iCs/>
        </w:rPr>
        <w:t xml:space="preserve">Characidium bimaculatum</w:t>
      </w:r>
      <w:r>
        <w:t xml:space="preserve"> </w:t>
      </w:r>
      <w:r>
        <w:t xml:space="preserve">represented only 2.5%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and 78 were used for total plasma protein and moisture content analyses (</w:t>
      </w:r>
      <w:hyperlink w:anchor="fig-counts">
        <w:r>
          <w:rPr>
            <w:rStyle w:val="Hyperlink"/>
          </w:rPr>
          <w:t xml:space="preserve">Figure 4</w:t>
        </w:r>
      </w:hyperlink>
      <w:r>
        <w:t xml:space="preserve">). Given its low count,</w:t>
      </w:r>
      <w:r>
        <w:t xml:space="preserve"> </w:t>
      </w:r>
      <w:r>
        <w:rPr>
          <w:i/>
          <w:iCs/>
        </w:rPr>
        <w:t xml:space="preserve">Characidium bimaculatum</w:t>
      </w:r>
      <w:r>
        <w:t xml:space="preserve"> </w:t>
      </w:r>
      <w:r>
        <w:t xml:space="preserve">was removed from all biomarker analyses.</w:t>
      </w:r>
    </w:p>
    <w:p>
      <w:pPr>
        <w:pStyle w:val="SourceCode"/>
      </w:pP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rPr>
          <w:rStyle w:val="NormalTok"/>
        </w:rPr>
        <w:t xml:space="preserve">mxr23</w:t>
      </w:r>
      <w:r>
        <w:rPr>
          <w:rStyle w:val="CommentTok"/>
        </w:rPr>
        <w:t xml:space="preserve">#[1:5,1:5] mostra apenas as linhas e colunas de 1 a 5.</w:t>
      </w:r>
      <w:r>
        <w:br/>
      </w:r>
      <w:r>
        <w:br/>
      </w:r>
      <w:r>
        <w:rPr>
          <w:rStyle w:val="DocumentationTok"/>
        </w:rPr>
        <w:t xml:space="preserve">###### ARRUMANDO OS DADOS #####</w:t>
      </w:r>
      <w:r>
        <w:br/>
      </w:r>
      <w:r>
        <w:br/>
      </w:r>
      <w:r>
        <w:rPr>
          <w:rStyle w:val="NormalTok"/>
        </w:rPr>
        <w:t xml:space="preserve">mxr23_part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mxr23_part[</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mxr23_part </w:t>
      </w:r>
      <w:r>
        <w:rPr>
          <w:rStyle w:val="OtherTok"/>
        </w:rPr>
        <w:t xml:space="preserve">&lt;-</w:t>
      </w:r>
      <w:r>
        <w:rPr>
          <w:rStyle w:val="NormalTok"/>
        </w:rPr>
        <w:t xml:space="preserve"> mxr23_part[mxr23_part</w:t>
      </w:r>
      <w:r>
        <w:rPr>
          <w:rStyle w:val="SpecialCharTok"/>
        </w:rPr>
        <w:t xml:space="preserve">$</w:t>
      </w:r>
      <w:r>
        <w:rPr>
          <w:rStyle w:val="NormalTok"/>
        </w:rPr>
        <w:t xml:space="preserve">Especie </w:t>
      </w:r>
      <w:r>
        <w:rPr>
          <w:rStyle w:val="SpecialCharTok"/>
        </w:rPr>
        <w:t xml:space="preserve">!=</w:t>
      </w:r>
      <w:r>
        <w:rPr>
          <w:rStyle w:val="NormalTok"/>
        </w:rPr>
        <w:t xml:space="preserve"> </w:t>
      </w:r>
      <w:r>
        <w:rPr>
          <w:rStyle w:val="StringTok"/>
        </w:rPr>
        <w:t xml:space="preserve">"Characidium bimaculatum"</w:t>
      </w:r>
      <w:r>
        <w:rPr>
          <w:rStyle w:val="NormalTok"/>
        </w:rPr>
        <w:t xml:space="preserve">, ]</w:t>
      </w:r>
      <w:r>
        <w:br/>
      </w:r>
      <w:r>
        <w:br/>
      </w:r>
      <w:r>
        <w:rPr>
          <w:rStyle w:val="FunctionTok"/>
        </w:rPr>
        <w:t xml:space="preserve">write.table</w:t>
      </w:r>
      <w:r>
        <w:rPr>
          <w:rStyle w:val="NormalTok"/>
        </w:rPr>
        <w:t xml:space="preserve">(mxr23_part, </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RESUMO DOS DADOS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 RESUMO SPP POR UA #####</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r>
        <w:br/>
      </w:r>
      <w:r>
        <w:br/>
      </w:r>
      <w:r>
        <w:rPr>
          <w:rStyle w:val="DocumentationTok"/>
        </w:rPr>
        <w:t xml:space="preserve">##### GRÁFICO POR N #####</w:t>
      </w:r>
      <w:r>
        <w:br/>
      </w:r>
      <w:r>
        <w:br/>
      </w:r>
      <w:r>
        <w:rPr>
          <w:rStyle w:val="CommentTok"/>
        </w:rPr>
        <w:t xml:space="preserve"># Filtrar por Amostra_tipo "xx"</w:t>
      </w:r>
      <w:r>
        <w:br/>
      </w:r>
      <w:r>
        <w:rPr>
          <w:rStyle w:val="NormalTok"/>
        </w:rPr>
        <w:t xml:space="preserve">filtered_Amostra_tipo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(Amostra_tipo </w:t>
      </w:r>
      <w:r>
        <w:rPr>
          <w:rStyle w:val="SpecialCharTok"/>
        </w:rPr>
        <w:t xml:space="preserve">!=</w:t>
      </w:r>
      <w:r>
        <w:rPr>
          <w:rStyle w:val="NormalTok"/>
        </w:rPr>
        <w:t xml:space="preserve"> </w:t>
      </w:r>
      <w:r>
        <w:rPr>
          <w:rStyle w:val="StringTok"/>
        </w:rPr>
        <w:t xml:space="preserve">"xx"</w:t>
      </w:r>
      <w:r>
        <w:rPr>
          <w:rStyle w:val="NormalTok"/>
        </w:rPr>
        <w:t xml:space="preserve">)</w:t>
      </w:r>
      <w:r>
        <w:br/>
      </w:r>
      <w:r>
        <w:rPr>
          <w:rStyle w:val="NormalTok"/>
        </w:rPr>
        <w:t xml:space="preserve">data </w:t>
      </w:r>
      <w:r>
        <w:rPr>
          <w:rStyle w:val="OtherTok"/>
        </w:rPr>
        <w:t xml:space="preserve">&lt;-</w:t>
      </w:r>
      <w:r>
        <w:rPr>
          <w:rStyle w:val="NormalTok"/>
        </w:rPr>
        <w:t xml:space="preserve"> filtered_Amostra_tipo</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Plot the counts</w:t>
      </w:r>
      <w:r>
        <w:br/>
      </w:r>
      <w:r>
        <w:rPr>
          <w:rStyle w:val="FunctionTok"/>
        </w:rPr>
        <w:t xml:space="preserve">library</w:t>
      </w:r>
      <w:r>
        <w:rPr>
          <w:rStyle w:val="NormalTok"/>
        </w:rPr>
        <w:t xml:space="preserve">(ggplot2)</w:t>
      </w:r>
      <w:r>
        <w:br/>
      </w:r>
      <w:r>
        <w:br/>
      </w:r>
      <w:r>
        <w:rPr>
          <w:rStyle w:val="NormalTok"/>
        </w:rPr>
        <w:t xml:space="preserve">counts </w:t>
      </w:r>
      <w:r>
        <w:rPr>
          <w:rStyle w:val="OtherTok"/>
        </w:rPr>
        <w:t xml:space="preserve">&lt;-</w:t>
      </w:r>
      <w:r>
        <w:rPr>
          <w:rStyle w:val="NormalTok"/>
        </w:rPr>
        <w:t xml:space="preserve"> </w:t>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Count,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scale_x_discrete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"rd"</w:t>
      </w:r>
      <w:r>
        <w:rPr>
          <w:rStyle w:val="NormalTok"/>
        </w:rPr>
        <w:t xml:space="preserve"> </w:t>
      </w:r>
      <w:r>
        <w:rPr>
          <w:rStyle w:val="OtherTok"/>
        </w:rPr>
        <w:t xml:space="preserve">=</w:t>
      </w:r>
      <w:r>
        <w:rPr>
          <w:rStyle w:val="NormalTok"/>
        </w:rPr>
        <w:t xml:space="preserve"> </w:t>
      </w:r>
      <w:r>
        <w:rPr>
          <w:rStyle w:val="StringTok"/>
        </w:rPr>
        <w:t xml:space="preserve">"MXR"</w:t>
      </w:r>
      <w:r>
        <w:rPr>
          <w:rStyle w:val="NormalTok"/>
        </w:rPr>
        <w:t xml:space="preserve">,</w:t>
      </w:r>
      <w:r>
        <w:br/>
      </w:r>
      <w:r>
        <w:rPr>
          <w:rStyle w:val="NormalTok"/>
        </w:rPr>
        <w:t xml:space="preserve">      </w:t>
      </w:r>
      <w:r>
        <w:rPr>
          <w:rStyle w:val="StringTok"/>
        </w:rPr>
        <w:t xml:space="preserve">"th"</w:t>
      </w:r>
      <w:r>
        <w:rPr>
          <w:rStyle w:val="NormalTok"/>
        </w:rPr>
        <w:t xml:space="preserve"> </w:t>
      </w:r>
      <w:r>
        <w:rPr>
          <w:rStyle w:val="OtherTok"/>
        </w:rPr>
        <w:t xml:space="preserve">=</w:t>
      </w:r>
      <w:r>
        <w:rPr>
          <w:rStyle w:val="NormalTok"/>
        </w:rPr>
        <w:t xml:space="preserve"> </w:t>
      </w:r>
      <w:r>
        <w:rPr>
          <w:rStyle w:val="StringTok"/>
        </w:rPr>
        <w:t xml:space="preserve">"Moisture"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"Sample use"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counts</w:t>
      </w:r>
      <w:r>
        <w:br/>
      </w:r>
      <w:r>
        <w:rPr>
          <w:rStyle w:val="FunctionTok"/>
        </w:rPr>
        <w:t xml:space="preserve">ggsave</w:t>
      </w:r>
      <w:r>
        <w:rPr>
          <w:rStyle w:val="NormalTok"/>
        </w:rPr>
        <w:t xml:space="preserve">(counts,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"fig-counts.png"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 with species on the x-axis</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Count,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rPr>
          <w:b/>
          <w:bCs/>
        </w:rPr>
        <w:t xml:space="preserve">Plasmatic protein dosage.</w:t>
      </w:r>
      <w:r>
        <w:t xml:space="preserve"> </w:t>
      </w:r>
      <w:r>
        <w:t xml:space="preserve">The number of plasmatic protein dosages (n=44) was smaller than the total number of fish collected for this part of the analysis (n=78), because of the difficulty on collecting blood from smaller specimens and the need to collect a minimum amount of plasma (</w:t>
      </w:r>
      <w:hyperlink w:anchor="fig-prot_tots">
        <w:r>
          <w:rPr>
            <w:rStyle w:val="Hyperlink"/>
          </w:rPr>
          <w:t xml:space="preserve">Figure 5</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Proteinas_Totais_mg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"th"</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prot_tots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"Plasmatic protein dosage (mg)"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prot_tots</w:t>
      </w:r>
      <w:r>
        <w:br/>
      </w:r>
      <w:r>
        <w:rPr>
          <w:rStyle w:val="FunctionTok"/>
        </w:rPr>
        <w:t xml:space="preserve">ggsave</w:t>
      </w:r>
      <w:r>
        <w:rPr>
          <w:rStyle w:val="NormalTok"/>
        </w:rPr>
        <w:t xml:space="preserve">(prot_tots,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"fig-prot_tots.png"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DocumentationTok"/>
        </w:rPr>
        <w:t xml:space="preserve">##### GRÁFICO POR ESPÉCIE #####</w:t>
      </w:r>
      <w:r>
        <w:br/>
      </w:r>
      <w:r>
        <w:br/>
      </w:r>
      <w:r>
        <w:rPr>
          <w:rStyle w:val="CommentTok"/>
        </w:rPr>
        <w:t xml:space="preserve"># Filter out the species Astyanax bimaculatus and Astyanax fasciatus</w:t>
      </w:r>
      <w:r>
        <w:br/>
      </w:r>
      <w:r>
        <w:br/>
      </w:r>
      <w:r>
        <w:rPr>
          <w:rStyle w:val="NormalTok"/>
        </w:rPr>
        <w:t xml:space="preserve">filtered_data </w:t>
      </w:r>
      <w:r>
        <w:rPr>
          <w:rStyle w:val="OtherTok"/>
        </w:rPr>
        <w:t xml:space="preserve">&lt;-</w:t>
      </w:r>
      <w:r>
        <w:rPr>
          <w:rStyle w:val="NormalTok"/>
        </w:rPr>
        <w:t xml:space="preserve"> data</w:t>
      </w:r>
      <w:r>
        <w:br/>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"Astyanax bimaculatus"</w:t>
      </w:r>
      <w:r>
        <w:rPr>
          <w:rStyle w:val="NormalTok"/>
        </w:rPr>
        <w:t xml:space="preserve">,</w:t>
      </w:r>
      <w:r>
        <w:br/>
      </w:r>
      <w:r>
        <w:rPr>
          <w:rStyle w:val="NormalTok"/>
        </w:rPr>
        <w:t xml:space="preserve">                        </w:t>
      </w:r>
      <w:r>
        <w:rPr>
          <w:rStyle w:val="StringTok"/>
        </w:rPr>
        <w:t xml:space="preserve">"Astyanax fasciatus"</w:t>
      </w:r>
      <w:r>
        <w:rPr>
          <w:rStyle w:val="NormalTok"/>
        </w:rPr>
        <w:t xml:space="preserve">,</w:t>
      </w:r>
      <w:r>
        <w:br/>
      </w:r>
      <w:r>
        <w:rPr>
          <w:rStyle w:val="NormalTok"/>
        </w:rPr>
        <w:t xml:space="preserve">                        </w:t>
      </w:r>
      <w:r>
        <w:rPr>
          <w:rStyle w:val="StringTok"/>
        </w:rPr>
        <w:t xml:space="preserve">"Characidium bimaculatum"</w:t>
      </w:r>
      <w:r>
        <w:rPr>
          <w:rStyle w:val="NormalTok"/>
        </w:rPr>
        <w:t xml:space="preserve">)) </w:t>
      </w:r>
      <w:r>
        <w:rPr>
          <w:rStyle w:val="CommentTok"/>
        </w:rPr>
        <w:t xml:space="preserve">#EXCLUI USANDO O "!"</w:t>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"Hemigrammus unilineatus"</w:t>
      </w:r>
      <w:r>
        <w:rPr>
          <w:rStyle w:val="NormalTok"/>
        </w:rPr>
        <w:t xml:space="preserve">)) </w:t>
      </w:r>
      <w:r>
        <w:rPr>
          <w:rStyle w:val="CommentTok"/>
        </w:rPr>
        <w:t xml:space="preserve">#ESCOLHE</w:t>
      </w:r>
      <w:r>
        <w:br/>
      </w:r>
      <w:r>
        <w:br/>
      </w:r>
      <w:r>
        <w:rPr>
          <w:rStyle w:val="CommentTok"/>
        </w:rPr>
        <w:t xml:space="preserve"># Calculate the average for each combination of Amostra_tipo, Especie, and Site</w:t>
      </w:r>
      <w:r>
        <w:br/>
      </w:r>
      <w:r>
        <w:rPr>
          <w:rStyle w:val="NormalTok"/>
        </w:rPr>
        <w:t xml:space="preserve">average </w:t>
      </w:r>
      <w:r>
        <w:rPr>
          <w:rStyle w:val="OtherTok"/>
        </w:rPr>
        <w:t xml:space="preserve">&lt;-</w:t>
      </w:r>
      <w:r>
        <w:rPr>
          <w:rStyle w:val="NormalTok"/>
        </w:rPr>
        <w:t xml:space="preserve"> filtered_data </w:t>
      </w:r>
      <w:r>
        <w:rPr>
          <w:rStyle w:val="SpecialCharTok"/>
        </w:rPr>
        <w:t xml:space="preserve">%&gt;%</w:t>
      </w:r>
      <w:r>
        <w:br/>
      </w:r>
      <w:r>
        <w:rPr>
          <w:rStyle w:val="NormalTok"/>
        </w:rPr>
        <w:t xml:space="preserve">  </w:t>
      </w:r>
      <w:r>
        <w:rPr>
          <w:rStyle w:val="FunctionTok"/>
        </w:rPr>
        <w:t xml:space="preserve">group_by</w:t>
      </w:r>
      <w:r>
        <w:rPr>
          <w:rStyle w:val="NormalTok"/>
        </w:rPr>
        <w:t xml:space="preserve">(Site, Amostra_tipo, Especie)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 with Amostra_tipo on the x-axis</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Average,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tringTok"/>
        </w:rPr>
        <w:t xml:space="preserve">"per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CORRELAÇÕES #####</w:t>
      </w:r>
      <w:r>
        <w:br/>
      </w:r>
      <w:r>
        <w:br/>
      </w:r>
      <w:r>
        <w:rPr>
          <w:rStyle w:val="NormalTok"/>
        </w:rPr>
        <w:t xml:space="preserve">data </w:t>
      </w:r>
      <w:r>
        <w:rPr>
          <w:rStyle w:val="OtherTok"/>
        </w:rPr>
        <w:t xml:space="preserve">&lt;-</w:t>
      </w:r>
      <w:r>
        <w:rPr>
          <w:rStyle w:val="NormalTok"/>
        </w:rPr>
        <w:t xml:space="preserve"> filtered_data</w:t>
      </w:r>
      <w:r>
        <w:br/>
      </w:r>
      <w:r>
        <w:br/>
      </w:r>
      <w:r>
        <w:rPr>
          <w:rStyle w:val="FunctionTok"/>
        </w:rPr>
        <w:t xml:space="preserve">colnames</w:t>
      </w:r>
      <w:r>
        <w:rPr>
          <w:rStyle w:val="NormalTok"/>
        </w:rPr>
        <w:t xml:space="preserve">(data)</w:t>
      </w:r>
      <w:r>
        <w:br/>
      </w:r>
      <w:r>
        <w:rPr>
          <w:rStyle w:val="NormalTok"/>
        </w:rPr>
        <w:t xml:space="preserve">cor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(Ponto, Ref_site, Compr.total_mm, Compr.padrao_mm, Altura_mm,</w:t>
      </w:r>
      <w:r>
        <w:br/>
      </w:r>
      <w:r>
        <w:rPr>
          <w:rStyle w:val="NormalTok"/>
        </w:rPr>
        <w:t xml:space="preserve">  Peso_g, RPC, Rodamina_rfu_mg, TH_branquia_p, TH_musculo_p,</w:t>
      </w:r>
      <w:r>
        <w:br/>
      </w:r>
      <w:r>
        <w:rPr>
          <w:rStyle w:val="NormalTok"/>
        </w:rPr>
        <w:t xml:space="preserve">  Proteinas_Totais_mg)</w:t>
      </w:r>
      <w:r>
        <w:br/>
      </w:r>
      <w:r>
        <w:rPr>
          <w:rStyle w:val="FunctionTok"/>
        </w:rPr>
        <w:t xml:space="preserve">str</w:t>
      </w:r>
      <w:r>
        <w:rPr>
          <w:rStyle w:val="NormalTok"/>
        </w:rPr>
        <w:t xml:space="preserve">(cor)</w:t>
      </w:r>
      <w:r>
        <w:br/>
      </w:r>
      <w:r>
        <w:rPr>
          <w:rStyle w:val="NormalTok"/>
        </w:rPr>
        <w:t xml:space="preserve">cor[] </w:t>
      </w:r>
      <w:r>
        <w:rPr>
          <w:rStyle w:val="OtherTok"/>
        </w:rPr>
        <w:t xml:space="preserve">&lt;-</w:t>
      </w:r>
      <w:r>
        <w:rPr>
          <w:rStyle w:val="NormalTok"/>
        </w:rPr>
        <w:t xml:space="preserve"> </w:t>
      </w:r>
      <w:r>
        <w:rPr>
          <w:rStyle w:val="FunctionTok"/>
        </w:rPr>
        <w:t xml:space="preserve">lapply</w:t>
      </w:r>
      <w:r>
        <w:rPr>
          <w:rStyle w:val="NormalTok"/>
        </w:rPr>
        <w:t xml:space="preserve">(cor,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br/>
      </w:r>
      <w:r>
        <w:rPr>
          <w:rStyle w:val="FunctionTok"/>
        </w:rPr>
        <w:t xml:space="preserve">plot</w:t>
      </w:r>
      <w:r>
        <w:rPr>
          <w:rStyle w:val="NormalTok"/>
        </w:rPr>
        <w:t xml:space="preserve">(cor)</w:t>
      </w:r>
      <w:r>
        <w:br/>
      </w:r>
      <w:r>
        <w:rPr>
          <w:rStyle w:val="FunctionTok"/>
        </w:rPr>
        <w:t xml:space="preserve">plot</w:t>
      </w:r>
      <w:r>
        <w:rPr>
          <w:rStyle w:val="NormalTok"/>
        </w:rPr>
        <w:t xml:space="preserve">(cor[,</w:t>
      </w:r>
      <w:r>
        <w:rPr>
          <w:rStyle w:val="DecValTok"/>
        </w:rPr>
        <w:t xml:space="preserve">3</w:t>
      </w:r>
      <w:r>
        <w:rPr>
          <w:rStyle w:val="SpecialCharTok"/>
        </w:rPr>
        <w:t xml:space="preserve">:</w:t>
      </w:r>
      <w:r>
        <w:rPr>
          <w:rStyle w:val="DecValTok"/>
        </w:rPr>
        <w:t xml:space="preserve">7</w:t>
      </w:r>
      <w:r>
        <w:rPr>
          <w:rStyle w:val="NormalTok"/>
        </w:rPr>
        <w:t xml:space="preserve">])</w:t>
      </w:r>
      <w:r>
        <w:br/>
      </w:r>
      <w:r>
        <w:br/>
      </w:r>
      <w:r>
        <w:rPr>
          <w:rStyle w:val="FunctionTok"/>
        </w:rPr>
        <w:t xml:space="preserve">cor</w:t>
      </w:r>
      <w:r>
        <w:rPr>
          <w:rStyle w:val="NormalTok"/>
        </w:rPr>
        <w:t xml:space="preserve">(cor,</w:t>
      </w:r>
      <w:r>
        <w:rPr>
          <w:rStyle w:val="AttributeTok"/>
        </w:rPr>
        <w:t xml:space="preserve">method=</w:t>
      </w:r>
      <w:r>
        <w:rPr>
          <w:rStyle w:val="StringTok"/>
        </w:rPr>
        <w:t xml:space="preserve">"pearson"</w:t>
      </w:r>
      <w:r>
        <w:rPr>
          <w:rStyle w:val="NormalTok"/>
        </w:rPr>
        <w:t xml:space="preserve">)</w:t>
      </w:r>
      <w:r>
        <w:br/>
      </w:r>
      <w:r>
        <w:rPr>
          <w:rStyle w:val="FunctionTok"/>
        </w:rPr>
        <w:t xml:space="preserve">cor</w:t>
      </w:r>
      <w:r>
        <w:rPr>
          <w:rStyle w:val="NormalTok"/>
        </w:rPr>
        <w:t xml:space="preserve">(cor[,</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method=</w:t>
      </w:r>
      <w:r>
        <w:rPr>
          <w:rStyle w:val="StringTok"/>
        </w:rPr>
        <w:t xml:space="preserve">"spearman"</w:t>
      </w:r>
      <w:r>
        <w:rPr>
          <w:rStyle w:val="NormalTok"/>
        </w:rPr>
        <w:t xml:space="preserve">)</w:t>
      </w:r>
      <w:r>
        <w:br/>
      </w:r>
      <w:r>
        <w:br/>
      </w:r>
      <w:r>
        <w:rPr>
          <w:rStyle w:val="FunctionTok"/>
        </w:rPr>
        <w:t xml:space="preserve">library</w:t>
      </w:r>
      <w:r>
        <w:rPr>
          <w:rStyle w:val="NormalTok"/>
        </w:rPr>
        <w:t xml:space="preserve">(psych)</w:t>
      </w:r>
      <w:r>
        <w:br/>
      </w:r>
      <w:r>
        <w:rPr>
          <w:rStyle w:val="FunctionTok"/>
        </w:rPr>
        <w:t xml:space="preserve">pairs.panels</w:t>
      </w:r>
      <w:r>
        <w:rPr>
          <w:rStyle w:val="NormalTok"/>
        </w:rPr>
        <w:t xml:space="preserve">(cor[,</w:t>
      </w:r>
      <w:r>
        <w:rPr>
          <w:rStyle w:val="DecValTok"/>
        </w:rPr>
        <w:t xml:space="preserve">8</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rPr>
          <w:rStyle w:val="NormalTok"/>
        </w:rPr>
        <w:t xml:space="preserve">cor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cor.test</w:t>
      </w:r>
      <w:r>
        <w:rPr>
          <w:rStyle w:val="NormalTok"/>
        </w:rPr>
        <w:t xml:space="preserve">(RPC, Peso_g,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with</w:t>
      </w:r>
      <w:r>
        <w:rPr>
          <w:rStyle w:val="NormalTok"/>
        </w:rPr>
        <w:t xml:space="preserve">(cor, </w:t>
      </w:r>
      <w:r>
        <w:rPr>
          <w:rStyle w:val="FunctionTok"/>
        </w:rPr>
        <w:t xml:space="preserve">plot</w:t>
      </w:r>
      <w:r>
        <w:rPr>
          <w:rStyle w:val="NormalTok"/>
        </w:rPr>
        <w:t xml:space="preserve">(</w:t>
      </w:r>
      <w:r>
        <w:rPr>
          <w:rStyle w:val="FunctionTok"/>
        </w:rPr>
        <w:t xml:space="preserve">scale</w:t>
      </w:r>
      <w:r>
        <w:rPr>
          <w:rStyle w:val="NormalTok"/>
        </w:rPr>
        <w:t xml:space="preserve">(RPC), </w:t>
      </w:r>
      <w:r>
        <w:rPr>
          <w:rStyle w:val="FunctionTok"/>
        </w:rPr>
        <w:t xml:space="preserve">scale</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Peso_g))</w:t>
      </w:r>
      <w:r>
        <w:br/>
      </w:r>
      <w:r>
        <w:br/>
      </w:r>
      <w:r>
        <w:rPr>
          <w:rStyle w:val="FunctionTok"/>
        </w:rPr>
        <w:t xml:space="preserve">plot</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(m_part</w:t>
      </w:r>
      <w:r>
        <w:rPr>
          <w:rStyle w:val="SpecialCharTok"/>
        </w:rPr>
        <w:t xml:space="preserve">$</w:t>
      </w:r>
      <w:r>
        <w:rPr>
          <w:rStyle w:val="StringTok"/>
        </w:rPr>
        <w:t xml:space="preserve">"Overh_veg"</w:t>
      </w:r>
      <w:r>
        <w:rPr>
          <w:rStyle w:val="NormalTok"/>
        </w:rPr>
        <w:t xml:space="preserve">))</w:t>
      </w:r>
      <w:r>
        <w:br/>
      </w:r>
      <w:r>
        <w:rPr>
          <w:rStyle w:val="CommentTok"/>
        </w:rPr>
        <w:t xml:space="preserve">#plot((m_trns$"m.elev" - mean(m_trns$"m.elev")) / sd(m_trns$"m.elev"))</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(RPC)) </w:t>
      </w:r>
      <w:r>
        <w:rPr>
          <w:rStyle w:val="SpecialCharTok"/>
        </w:rPr>
        <w:t xml:space="preserve">/</w:t>
      </w:r>
      <w:r>
        <w:rPr>
          <w:rStyle w:val="NormalTok"/>
        </w:rPr>
        <w:t xml:space="preserve"> </w:t>
      </w:r>
      <w:r>
        <w:rPr>
          <w:rStyle w:val="FunctionTok"/>
        </w:rPr>
        <w:t xml:space="preserve">sd</w:t>
      </w:r>
      <w:r>
        <w:rPr>
          <w:rStyle w:val="NormalTok"/>
        </w:rPr>
        <w:t xml:space="preserve">(RPC),</w:t>
      </w:r>
      <w:r>
        <w:br/>
      </w:r>
      <w:r>
        <w:rPr>
          <w:rStyle w:val="NormalTok"/>
        </w:rPr>
        <w:t xml:space="preserve">                  (Peso_g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p>
    <w:p>
      <w:pPr>
        <w:pStyle w:val="FirstParagraph"/>
      </w:pPr>
      <w:r>
        <w:t xml:space="preserve">Plasma total protein concentrations differed between sampling sites when compared with the reference site (Site 1). Mean protein concentrations were significantly higher at the sites 4, 5 and 6 (91.25 ± 5.68, 74.22 ± 3.31 and 74.79 ± 6.55 mg, respectively) than the reference site (33.53 ± 0.32 mg; Wilcoxon rank-sum test, p &lt; 0.02). In contrast, no significant increase was observed at Sites 2 and 3 (29.41 ± 1.59 and 33.75 ± 0.80 mg, respectively; p &gt; 0.4). The highest mean protein concentration was recorded at Site 4, representing an approximately 2.7-fold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#sink("t-tests_prot_tots.txt",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FALSE)</w:t>
      </w:r>
      <w:r>
        <w:br/>
      </w:r>
      <w:r>
        <w:rPr>
          <w:rStyle w:val="NormalTok"/>
        </w:rPr>
        <w:t xml:space="preserve">results_w</w:t>
      </w:r>
      <w:r>
        <w:br/>
      </w:r>
      <w:r>
        <w:rPr>
          <w:rStyle w:val="CommentTok"/>
        </w:rPr>
        <w:t xml:space="preserve">#sink()</w:t>
      </w:r>
    </w:p>
    <w:p>
      <w:pPr>
        <w:pStyle w:val="FirstParagraph"/>
      </w:pPr>
      <w:r>
        <w:rPr>
          <w:b/>
          <w:bCs/>
        </w:rPr>
        <w:t xml:space="preserve">Moisture content.</w:t>
      </w:r>
      <w:r>
        <w:t xml:space="preserve"> </w:t>
      </w:r>
      <w:r>
        <w:t xml:space="preserve">Gill and muscle tissues moisture content showed similar results, with gill moisture concentrations being significantly higher than those observed at the reference site (Site 1; 82.82 ± 1.75%) at Sites 5 and 6 (mean values of 90.13 ± 1.19% and 93.89 ± 0.98%, Wilcoxon rank-sum test; p &lt; 0.004). No significant increases were detected at Sites 2, 3, or 4 (84.35 ± 1.60%, 85.63 ± 1.94%, and 82.84 ± 0.75%, respectively; p &gt; 0.1 in all cases).</w:t>
      </w:r>
    </w:p>
    <w:p>
      <w:pPr>
        <w:pStyle w:val="TextBody"/>
      </w:pPr>
      <w:r>
        <w:t xml:space="preserve">The muscle moisture concentrations at the reference site averaged 80.31 ± 1.48%. Significantly higher values were observed at Sites 4, 5 and 6, where mean moisture concentrations reached 82.38 ± 0.62% and 84.29 ± 0.88%, 86.02 ± 2.49%, respectively (Wilcoxon rank-sum test; p ≤ 0.04). In contrast, moisture concentrations at Sites 2 and 3 (80.11 ± 0.66% and 80.58 ± 0.94%) did not differ significantly from those at the reference site (p &gt; 0.39) (</w:t>
      </w:r>
      <w:hyperlink w:anchor="fig-prot_th">
        <w:r>
          <w:rPr>
            <w:rStyle w:val="Hyperlink"/>
          </w:rPr>
          <w:t xml:space="preserve">Figure 6</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TH_branquia_p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TH_branquia_p))</w:t>
      </w:r>
      <w:r>
        <w:br/>
      </w:r>
      <w:r>
        <w:rPr>
          <w:rStyle w:val="NormalTok"/>
        </w:rPr>
        <w:t xml:space="preserve">data</w:t>
      </w:r>
      <w:r>
        <w:rPr>
          <w:rStyle w:val="SpecialCharTok"/>
        </w:rPr>
        <w:t xml:space="preserve">$</w:t>
      </w:r>
      <w:r>
        <w:rPr>
          <w:rStyle w:val="NormalTok"/>
        </w:rPr>
        <w:t xml:space="preserve">TH_musculo_p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TH_musculo_p))</w:t>
      </w:r>
      <w:r>
        <w:br/>
      </w:r>
      <w:r>
        <w:rPr>
          <w:rStyle w:val="FunctionTok"/>
        </w:rPr>
        <w:t xml:space="preserve">str</w:t>
      </w:r>
      <w:r>
        <w:rPr>
          <w:rStyle w:val="NormalTok"/>
        </w:rPr>
        <w:t xml:space="preserve">(data)</w:t>
      </w:r>
      <w:r>
        <w:br/>
      </w:r>
      <w:r>
        <w:br/>
      </w:r>
      <w:r>
        <w:rPr>
          <w:rStyle w:val="CommentTok"/>
        </w:rPr>
        <w:t xml:space="preserve"># Long format</w:t>
      </w:r>
      <w:r>
        <w:br/>
      </w:r>
      <w:r>
        <w:rPr>
          <w:rStyle w:val="NormalTok"/>
        </w:rPr>
        <w:t xml:space="preserve">th_data </w:t>
      </w:r>
      <w:r>
        <w:rPr>
          <w:rStyle w:val="OtherTok"/>
        </w:rPr>
        <w:t xml:space="preserve">&lt;-</w:t>
      </w:r>
      <w:r>
        <w:rPr>
          <w:rStyle w:val="NormalTok"/>
        </w:rPr>
        <w:t xml:space="preserve"> </w:t>
      </w:r>
      <w:r>
        <w:rPr>
          <w:rStyle w:val="FunctionTok"/>
        </w:rPr>
        <w:t xml:space="preserve">pivot_longer</w:t>
      </w:r>
      <w:r>
        <w:rPr>
          <w:rStyle w:val="NormalTok"/>
        </w:rPr>
        <w:t xml:space="preserve">(</w:t>
      </w:r>
      <w:r>
        <w:br/>
      </w:r>
      <w:r>
        <w:rPr>
          <w:rStyle w:val="NormalTok"/>
        </w:rPr>
        <w:t xml:space="preserve">  data,</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(TH_branquia_p, TH_musculo_p),</w:t>
      </w:r>
      <w:r>
        <w:br/>
      </w:r>
      <w:r>
        <w:rPr>
          <w:rStyle w:val="NormalTok"/>
        </w:rPr>
        <w:t xml:space="preserve">  </w:t>
      </w:r>
      <w:r>
        <w:rPr>
          <w:rStyle w:val="AttributeTok"/>
        </w:rPr>
        <w:t xml:space="preserve">names_to =</w:t>
      </w:r>
      <w:r>
        <w:rPr>
          <w:rStyle w:val="NormalTok"/>
        </w:rPr>
        <w:t xml:space="preserve"> </w:t>
      </w:r>
      <w:r>
        <w:rPr>
          <w:rStyle w:val="StringTok"/>
        </w:rPr>
        <w:t xml:space="preserve">"Tecido"</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"TH"</w:t>
      </w:r>
      <w:r>
        <w:br/>
      </w:r>
      <w:r>
        <w:rPr>
          <w:rStyle w:val="NormalTok"/>
        </w:rPr>
        <w:t xml:space="preserve">)</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(th_data, Site, Especie, Tecido),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(TH)),</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n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CommentTok"/>
        </w:rPr>
        <w:t xml:space="preserve"># Remove groups with no observations</w:t>
      </w:r>
      <w:r>
        <w:br/>
      </w:r>
      <w:r>
        <w:rPr>
          <w:rStyle w:val="NormalTok"/>
        </w:rPr>
        <w:t xml:space="preserve">average </w:t>
      </w:r>
      <w:r>
        <w:rPr>
          <w:rStyle w:val="OtherTok"/>
        </w:rPr>
        <w:t xml:space="preserve">&lt;-</w:t>
      </w:r>
      <w:r>
        <w:rPr>
          <w:rStyle w:val="NormalTok"/>
        </w:rPr>
        <w:t xml:space="preserve"> average[average</w:t>
      </w:r>
      <w:r>
        <w:rPr>
          <w:rStyle w:val="SpecialCharTok"/>
        </w:rPr>
        <w:t xml:space="preserve">$</w:t>
      </w:r>
      <w:r>
        <w:rPr>
          <w:rStyle w:val="NormalTok"/>
        </w:rPr>
        <w:t xml:space="preserve">n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DocumentationTok"/>
        </w:rPr>
        <w:t xml:space="preserve">##### PLOT FINAL #####</w:t>
      </w:r>
      <w:r>
        <w:br/>
      </w:r>
      <w:r>
        <w:br/>
      </w:r>
      <w:r>
        <w:rPr>
          <w:rStyle w:val="NormalTok"/>
        </w:rPr>
        <w:t xml:space="preserve">prot_th </w:t>
      </w:r>
      <w:r>
        <w:rPr>
          <w:rStyle w:val="OtherTok"/>
        </w:rPr>
        <w:t xml:space="preserve">&lt;-</w:t>
      </w:r>
      <w:r>
        <w:br/>
      </w:r>
      <w:r>
        <w:rPr>
          <w:rStyle w:val="NormalTok"/>
        </w:rPr>
        <w:t xml:space="preserve">  </w:t>
      </w:r>
      <w:r>
        <w:rPr>
          <w:rStyle w:val="FunctionTok"/>
        </w:rPr>
        <w:t xml:space="preserve">ggplot</w:t>
      </w:r>
      <w:r>
        <w:rPr>
          <w:rStyle w:val="NormalTok"/>
        </w:rPr>
        <w:t xml:space="preserve">(</w:t>
      </w:r>
      <w:r>
        <w:br/>
      </w:r>
      <w:r>
        <w:rPr>
          <w:rStyle w:val="NormalTok"/>
        </w:rPr>
        <w:t xml:space="preserve">    average,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Especie,</w:t>
      </w:r>
      <w:r>
        <w:br/>
      </w:r>
      <w:r>
        <w:rPr>
          <w:rStyle w:val="NormalTok"/>
        </w:rPr>
        <w:t xml:space="preserve">      </w:t>
      </w:r>
      <w:r>
        <w:rPr>
          <w:rStyle w:val="AttributeTok"/>
        </w:rPr>
        <w:t xml:space="preserve">y =</w:t>
      </w:r>
      <w:r>
        <w:rPr>
          <w:rStyle w:val="NormalTok"/>
        </w:rPr>
        <w:t xml:space="preserve"> Average,</w:t>
      </w:r>
      <w:r>
        <w:br/>
      </w:r>
      <w:r>
        <w:rPr>
          <w:rStyle w:val="NormalTok"/>
        </w:rPr>
        <w:t xml:space="preserve">      </w:t>
      </w:r>
      <w:r>
        <w:rPr>
          <w:rStyle w:val="AttributeTok"/>
        </w:rPr>
        <w:t xml:space="preserve">fill =</w:t>
      </w:r>
      <w:r>
        <w:rPr>
          <w:rStyle w:val="NormalTok"/>
        </w:rPr>
        <w:t xml:space="preserve"> Tecido</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geom_col</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OtherTok"/>
        </w:rPr>
        <w:t xml:space="preserve">=</w:t>
      </w:r>
      <w:r>
        <w:rPr>
          <w:rStyle w:val="NormalTok"/>
        </w:rPr>
        <w:t xml:space="preserve"> </w:t>
      </w:r>
      <w:r>
        <w:rPr>
          <w:rStyle w:val="StringTok"/>
        </w:rPr>
        <w:t xml:space="preserve">"Gill"</w:t>
      </w:r>
      <w:r>
        <w:rPr>
          <w:rStyle w:val="NormalTok"/>
        </w:rPr>
        <w:t xml:space="preserve">,</w:t>
      </w:r>
      <w:r>
        <w:br/>
      </w:r>
      <w:r>
        <w:rPr>
          <w:rStyle w:val="NormalTok"/>
        </w:rPr>
        <w:t xml:space="preserve">      </w:t>
      </w:r>
      <w:r>
        <w:rPr>
          <w:rStyle w:val="StringTok"/>
        </w:rPr>
        <w:t xml:space="preserve">"TH_musculo_p"</w:t>
      </w:r>
      <w:r>
        <w:rPr>
          <w:rStyle w:val="NormalTok"/>
        </w:rPr>
        <w:t xml:space="preserve"> </w:t>
      </w:r>
      <w:r>
        <w:rPr>
          <w:rStyle w:val="OtherTok"/>
        </w:rPr>
        <w:t xml:space="preserve">=</w:t>
      </w:r>
      <w:r>
        <w:rPr>
          <w:rStyle w:val="NormalTok"/>
        </w:rPr>
        <w:t xml:space="preserve"> </w:t>
      </w:r>
      <w:r>
        <w:rPr>
          <w:rStyle w:val="StringTok"/>
        </w:rPr>
        <w:t xml:space="preserve">"Muscle"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"Moisture concentration (%)"</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"Tissue"</w:t>
      </w:r>
      <w:r>
        <w:br/>
      </w:r>
      <w:r>
        <w:rPr>
          <w:rStyle w:val="NormalTok"/>
        </w:rPr>
        <w:t xml:space="preserve">  )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element_rect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"grey85"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"grey85"</w:t>
      </w:r>
      <w:r>
        <w:br/>
      </w:r>
      <w:r>
        <w:rPr>
          <w:rStyle w:val="NormalTok"/>
        </w:rPr>
        <w:t xml:space="preserve">    )</w:t>
      </w:r>
      <w:r>
        <w:br/>
      </w:r>
      <w:r>
        <w:rPr>
          <w:rStyle w:val="NormalTok"/>
        </w:rPr>
        <w:t xml:space="preserve">  )</w:t>
      </w:r>
      <w:r>
        <w:br/>
      </w:r>
      <w:r>
        <w:rPr>
          <w:rStyle w:val="NormalTok"/>
        </w:rPr>
        <w:t xml:space="preserve">prot_th</w:t>
      </w:r>
      <w:r>
        <w:br/>
      </w:r>
      <w:r>
        <w:rPr>
          <w:rStyle w:val="FunctionTok"/>
        </w:rPr>
        <w:t xml:space="preserve">ggsave</w:t>
      </w:r>
      <w:r>
        <w:rPr>
          <w:rStyle w:val="NormalTok"/>
        </w:rPr>
        <w:t xml:space="preserve">(prot_th,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"fig-prot_th.png"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NormalTok"/>
        </w:rPr>
        <w:t xml:space="preserve">var </w:t>
      </w:r>
      <w:r>
        <w:rPr>
          <w:rStyle w:val="OtherTok"/>
        </w:rPr>
        <w:t xml:space="preserve">&lt;-</w:t>
      </w:r>
      <w:r>
        <w:rPr>
          <w:rStyle w:val="NormalTok"/>
        </w:rPr>
        <w:t xml:space="preserve"> </w:t>
      </w:r>
      <w:r>
        <w:rPr>
          <w:rStyle w:val="StringTok"/>
        </w:rPr>
        <w:t xml:space="preserve">"TH_musculo_p"</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#sink("t-tests_prot_th.txt",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p>
      <w:pPr>
        <w:pStyle w:val="FirstParagraph"/>
      </w:pPr>
      <w:r>
        <w:rPr>
          <w:b/>
          <w:bCs/>
        </w:rPr>
        <w:t xml:space="preserve">MXR phenotype activity.</w:t>
      </w:r>
      <w:r>
        <w:t xml:space="preserve"> </w:t>
      </w:r>
      <w:r>
        <w:t xml:space="preserve">Rhodamine B concentrations differed among sampling sites relative to the reference site (Site 1), which exhibited a mean concentration of 38,396.35 ± 4,749.86 RFU mg⁻¹. Significantly higher concentrations were observed at Sites 4, 5 and 6, with mean values of 73,113.69 ± 5,311.65, 67,116.05 ± 7,023.54 and 62,929.41 ± 6,196.21 RFU mg⁻¹, respectively (Wilcoxon rank-sum test; p &lt; 0.01). In contrast, Rhodamine B concentrations at Sites 2 and 3 (16,978.11 ± 2,139.98 and 20,973.12 ± 2,373.55 RFU mg⁻¹, respectively) were actually significantly lower than those observed at the reference site (two-sided Wilcoxon rank-sum test; p &lt; 0.01). The highest mean concentration was recorded at Site 4, corresponding to an approximately 1.9-fold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Rodamina_rfu_mg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"rd"</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rodam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"Rhodamine B concentration (RFU/mg tissue)"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rodam</w:t>
      </w:r>
      <w:r>
        <w:br/>
      </w:r>
      <w:r>
        <w:rPr>
          <w:rStyle w:val="FunctionTok"/>
        </w:rPr>
        <w:t xml:space="preserve">ggsave</w:t>
      </w:r>
      <w:r>
        <w:rPr>
          <w:rStyle w:val="NormalTok"/>
        </w:rPr>
        <w:t xml:space="preserve">(rodam,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"fig-rodam.png"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#sink("t-tests_rodam.txt",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bookmarkEnd w:id="14"/>
    <w:bookmarkStart w:id="15" w:name="discussion"/>
    <w:p>
      <w:pPr>
        <w:pStyle w:val="Heading1"/>
      </w:pPr>
      <w:r>
        <w:t xml:space="preserve">4. Discussion</w:t>
      </w:r>
    </w:p>
    <w:p>
      <w:pPr>
        <w:pStyle w:val="FirstParagraph"/>
      </w:pPr>
      <w:r>
        <w:t xml:space="preserve">The present study evaluated whether biomarkers of physiological stress in headwater stream fish could detect environmental disturbances occurring within and around a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p>
      <w:pPr>
        <w:pStyle w:val="TextBody"/>
      </w:pPr>
      <w:r>
        <w:t xml:space="preserve">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rPr>
          <w:b/>
          <w:bCs/>
        </w:rPr>
        <w:t xml:space="preserve">Biomarkers</w:t>
      </w:r>
      <w:r>
        <w:t xml:space="preserve">. 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 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w:t>
      </w:r>
      <w:r>
        <w:t xml:space="preserve"> </w:t>
      </w:r>
      <w:r>
        <w:rPr>
          <w:i/>
          <w:iCs/>
        </w:rPr>
        <w:t xml:space="preserve">The abiotic data from every sampling site water was measured and reunited in Tab. 1. The abnormal proportion of ammonia indicates the presence of effluents in the water outside the Reserva Biológica Guaribas, and, as discussed by</w:t>
      </w:r>
      <w:r>
        <w:rPr>
          <w:i/>
          <w:iCs/>
        </w:rPr>
        <w:t xml:space="preserve"> </w:t>
      </w:r>
      <w:r>
        <w:rPr>
          <w:i/>
          <w:iCs/>
        </w:rPr>
        <w:t xml:space="preserve">(Piedras et al., 2006)</w:t>
      </w:r>
      <w:r>
        <w:rPr>
          <w:i/>
          <w:iCs/>
        </w:rP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r>
        <w:t xml:space="preserve"> </w:t>
      </w:r>
      <w:r>
        <w:t xml:space="preserve">The elevated ammonia concentrations observed at Sites 4–6, particularly at Site 6, may indicate inputs of domestic or agricultural effluents into the aquatic environment. According to</w:t>
      </w:r>
      <w:r>
        <w:t xml:space="preserve"> </w:t>
      </w:r>
      <w:r>
        <w:t xml:space="preserve">Piedras et al. (2006)</w:t>
      </w:r>
      <w:r>
        <w:t xml:space="preserve">, increased environmental ammonia can lead to metabolic ammonia retention and toxic effects in fish, although toxicity depends on interactions with other environmental variables such as temperature, pH, and salinity. The strong negative correlation between dissolved oxygen and ammonia concentration observed in the present study further suggests that sites with greater organic inputs may be experiencing water quality degradation.</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fig-bar, highlighting the total protein as one that proved itself as an excellent biomarker to detect pollutants in the aquatic environment.</w:t>
      </w:r>
    </w:p>
    <w:p>
      <w:pPr>
        <w:pStyle w:val="TextBody"/>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15"/>
    <w:bookmarkStart w:id="16" w:name="conclusions"/>
    <w:p>
      <w:pPr>
        <w:pStyle w:val="Heading1"/>
      </w:pPr>
      <w:r>
        <w:t xml:space="preserve">Conclusions</w:t>
      </w:r>
    </w:p>
    <w:bookmarkEnd w:id="16"/>
    <w:bookmarkStart w:id="17" w:name="acknowledgements"/>
    <w:p>
      <w:pPr>
        <w:pStyle w:val="Heading1"/>
      </w:pPr>
      <w:r>
        <w:t xml:space="preserve">Acknowledgements</w:t>
      </w:r>
    </w:p>
    <w:p>
      <w:pPr>
        <w:pStyle w:val="FirstParagraph"/>
      </w:pPr>
      <w:r>
        <w:t xml:space="preserve">We are grateful to Thainá da Silva Oliveira (Programa de Iniciação Cientifica, PIBIC-UEPB) for assistance with laboratory activities; and to Ellen Gomes da Silva (Programa de Iniciação Cientifica, PIBIC-UEPB)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17"/>
    <w:bookmarkStart w:id="18"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Investigation, Formal analysis, Writing – original draft.</w:t>
      </w:r>
    </w:p>
    <w:p>
      <w:pPr>
        <w:pStyle w:val="TextBody"/>
      </w:pPr>
      <w:r>
        <w:t xml:space="preserve">Larissa Rafaela Caetano da Silva: Data curation, Formal analysis.</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Enelise Marcelle Amado: Data curation, Methodology,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18"/>
    <w:bookmarkStart w:id="19"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19"/>
    <w:bookmarkStart w:id="20"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The authors carefully reviewed and revised all AI-generated suggestions and take full responsibility for the accuracy and content of the final manuscript</w:t>
      </w:r>
      <w:r>
        <w:t xml:space="preserve"> </w:t>
      </w:r>
      <w:r>
        <w:t xml:space="preserve">(CNPq, 2026)</w:t>
      </w:r>
      <w:r>
        <w:t xml:space="preserve">.</w:t>
      </w:r>
    </w:p>
    <w:bookmarkEnd w:id="20"/>
    <w:bookmarkStart w:id="112" w:name="references"/>
    <w:p>
      <w:pPr>
        <w:pStyle w:val="Heading1"/>
      </w:pPr>
      <w:r>
        <w:t xml:space="preserve">References</w:t>
      </w:r>
    </w:p>
    <w:bookmarkStart w:id="111" w:name="refs"/>
    <w:bookmarkStart w:id="22"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1">
        <w:r>
          <w:rPr>
            <w:rStyle w:val="Hyperlink"/>
          </w:rPr>
          <w:t xml:space="preserve">https://doi.org/10.5772/24540</w:t>
        </w:r>
      </w:hyperlink>
    </w:p>
    <w:bookmarkEnd w:id="22"/>
    <w:bookmarkStart w:id="24"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23">
        <w:r>
          <w:rPr>
            <w:rStyle w:val="Hyperlink"/>
          </w:rPr>
          <w:t xml:space="preserve">https://doi.org/10.1002/wer.1221</w:t>
        </w:r>
      </w:hyperlink>
    </w:p>
    <w:bookmarkEnd w:id="24"/>
    <w:bookmarkStart w:id="26" w:name="ref-apha1998"/>
    <w:p>
      <w:pPr>
        <w:pStyle w:val="Bibliography"/>
      </w:pPr>
      <w:r>
        <w:t xml:space="preserve">APHA. (1998).</w:t>
      </w:r>
      <w:r>
        <w:t xml:space="preserve"> </w:t>
      </w:r>
      <w:r>
        <w:rPr>
          <w:i/>
          <w:iCs/>
        </w:rPr>
        <w:t xml:space="preserve">Standard methods for the examination of water and wastewater</w:t>
      </w:r>
      <w:r>
        <w:t xml:space="preserve">.</w:t>
      </w:r>
      <w:r>
        <w:t xml:space="preserve"> </w:t>
      </w:r>
      <w:hyperlink r:id="rId25">
        <w:r>
          <w:rPr>
            <w:rStyle w:val="Hyperlink"/>
          </w:rPr>
          <w:t xml:space="preserve">https://www.standardmethods.org/</w:t>
        </w:r>
      </w:hyperlink>
    </w:p>
    <w:bookmarkEnd w:id="26"/>
    <w:bookmarkStart w:id="27"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27"/>
    <w:bookmarkStart w:id="29"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28">
        <w:r>
          <w:rPr>
            <w:rStyle w:val="Hyperlink"/>
          </w:rPr>
          <w:t xml:space="preserve">https://doi.org/10.14393/SN-v34-2022-60335</w:t>
        </w:r>
      </w:hyperlink>
    </w:p>
    <w:bookmarkEnd w:id="29"/>
    <w:bookmarkStart w:id="31"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0">
        <w:r>
          <w:rPr>
            <w:rStyle w:val="Hyperlink"/>
          </w:rPr>
          <w:t xml:space="preserve">https://doi.org/10.1007/s10669-011-9380-3</w:t>
        </w:r>
      </w:hyperlink>
    </w:p>
    <w:bookmarkEnd w:id="31"/>
    <w:bookmarkStart w:id="33"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32">
        <w:r>
          <w:rPr>
            <w:rStyle w:val="Hyperlink"/>
          </w:rPr>
          <w:t xml:space="preserve">https://doi.org/10.1016/S0166-445X(00)00088-6</w:t>
        </w:r>
      </w:hyperlink>
    </w:p>
    <w:bookmarkEnd w:id="33"/>
    <w:bookmarkStart w:id="34"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4"/>
    <w:bookmarkStart w:id="36"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35">
        <w:r>
          <w:rPr>
            <w:rStyle w:val="Hyperlink"/>
          </w:rPr>
          <w:t xml:space="preserve">https://www.planalto.gov.br/ccivil_03/leis/l9985.htm</w:t>
        </w:r>
      </w:hyperlink>
    </w:p>
    <w:bookmarkEnd w:id="36"/>
    <w:bookmarkStart w:id="38"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37">
        <w:r>
          <w:rPr>
            <w:rStyle w:val="Hyperlink"/>
          </w:rPr>
          <w:t xml:space="preserve">https://doi.org/10.1016/j.envpol.2009.05.055</w:t>
        </w:r>
      </w:hyperlink>
    </w:p>
    <w:bookmarkEnd w:id="38"/>
    <w:bookmarkStart w:id="40"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39">
        <w:r>
          <w:rPr>
            <w:rStyle w:val="Hyperlink"/>
          </w:rPr>
          <w:t xml:space="preserve">http://memoria2.cnpq.br/web/guest/view/-/journal_content/56_INSTANCE_0oED/10157/23142775</w:t>
        </w:r>
      </w:hyperlink>
    </w:p>
    <w:bookmarkEnd w:id="40"/>
    <w:bookmarkStart w:id="42"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1">
        <w:r>
          <w:rPr>
            <w:rStyle w:val="Hyperlink"/>
          </w:rPr>
          <w:t xml:space="preserve">https://doi.org/10.1038/s41598-020-78563-0</w:t>
        </w:r>
      </w:hyperlink>
    </w:p>
    <w:bookmarkEnd w:id="42"/>
    <w:bookmarkStart w:id="44"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3">
        <w:r>
          <w:rPr>
            <w:rStyle w:val="Hyperlink"/>
          </w:rPr>
          <w:t xml:space="preserve">https://credit.niso.org/</w:t>
        </w:r>
      </w:hyperlink>
    </w:p>
    <w:bookmarkEnd w:id="44"/>
    <w:bookmarkStart w:id="46"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5">
        <w:r>
          <w:rPr>
            <w:rStyle w:val="Hyperlink"/>
          </w:rPr>
          <w:t xml:space="preserve">https://doi.org/10.1016/j.ecoenv.2018.09.111</w:t>
        </w:r>
      </w:hyperlink>
    </w:p>
    <w:bookmarkEnd w:id="46"/>
    <w:bookmarkStart w:id="48"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47">
        <w:r>
          <w:rPr>
            <w:rStyle w:val="Hyperlink"/>
          </w:rPr>
          <w:t xml:space="preserve">https://doi.org/10.1016/B978-0-12-813747-5.00004-7</w:t>
        </w:r>
      </w:hyperlink>
    </w:p>
    <w:bookmarkEnd w:id="48"/>
    <w:bookmarkStart w:id="49"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49"/>
    <w:bookmarkStart w:id="51"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0">
        <w:r>
          <w:rPr>
            <w:rStyle w:val="Hyperlink"/>
          </w:rPr>
          <w:t xml:space="preserve">https://doi.org/10.15560/13.5.581</w:t>
        </w:r>
      </w:hyperlink>
    </w:p>
    <w:bookmarkEnd w:id="51"/>
    <w:bookmarkStart w:id="53"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52">
        <w:r>
          <w:rPr>
            <w:rStyle w:val="Hyperlink"/>
          </w:rPr>
          <w:t xml:space="preserve">https://doi.org/10.1007/s13530-020-00042-w</w:t>
        </w:r>
      </w:hyperlink>
    </w:p>
    <w:bookmarkEnd w:id="53"/>
    <w:bookmarkStart w:id="55"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54">
        <w:r>
          <w:rPr>
            <w:rStyle w:val="Hyperlink"/>
          </w:rPr>
          <w:t xml:space="preserve">https://doi.org/10.1016/B978-0-12-813747-5.00008-4</w:t>
        </w:r>
      </w:hyperlink>
    </w:p>
    <w:bookmarkEnd w:id="55"/>
    <w:bookmarkStart w:id="57"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56">
        <w:r>
          <w:rPr>
            <w:rStyle w:val="Hyperlink"/>
          </w:rPr>
          <w:t xml:space="preserve">https://doi.org/10.1007/978-3-319-58374-7_11</w:t>
        </w:r>
      </w:hyperlink>
    </w:p>
    <w:bookmarkEnd w:id="57"/>
    <w:bookmarkStart w:id="59"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58">
        <w:r>
          <w:rPr>
            <w:rStyle w:val="Hyperlink"/>
          </w:rPr>
          <w:t xml:space="preserve">https://doi.org/10.1023/A:1026560922731</w:t>
        </w:r>
      </w:hyperlink>
    </w:p>
    <w:bookmarkEnd w:id="59"/>
    <w:bookmarkStart w:id="60"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0"/>
    <w:bookmarkStart w:id="61" w:name="ref-legendre1998"/>
    <w:p>
      <w:pPr>
        <w:pStyle w:val="Bibliography"/>
      </w:pPr>
      <w:r>
        <w:t xml:space="preserve">Legendre, P., &amp; Legendre, L. (1998).</w:t>
      </w:r>
      <w:r>
        <w:t xml:space="preserve"> </w:t>
      </w:r>
      <w:r>
        <w:rPr>
          <w:i/>
          <w:iCs/>
        </w:rPr>
        <w:t xml:space="preserve">Numerical ecology</w:t>
      </w:r>
      <w:r>
        <w:t xml:space="preserve"> </w:t>
      </w:r>
      <w:r>
        <w:t xml:space="preserve">(2nd English ed).</w:t>
      </w:r>
    </w:p>
    <w:bookmarkEnd w:id="61"/>
    <w:bookmarkStart w:id="63"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2">
        <w:r>
          <w:rPr>
            <w:rStyle w:val="Hyperlink"/>
          </w:rPr>
          <w:t xml:space="preserve">https://doi.org/10.1002/jez.2320</w:t>
        </w:r>
      </w:hyperlink>
    </w:p>
    <w:bookmarkEnd w:id="63"/>
    <w:bookmarkStart w:id="64" w:name="ref-mackereth1978"/>
    <w:p>
      <w:pPr>
        <w:pStyle w:val="Bibliography"/>
      </w:pPr>
      <w:r>
        <w:t xml:space="preserve">Mackereth, F. J. H., Heron, J., &amp; Talling, J. F. (1978). Water analysis: Some revised methods for limnologists.(scientific publication n. 36) freshwater biological association.</w:t>
      </w:r>
      <w:r>
        <w:t xml:space="preserve"> </w:t>
      </w:r>
      <w:r>
        <w:rPr>
          <w:i/>
          <w:iCs/>
        </w:rPr>
        <w:t xml:space="preserve">Cumbria and Dorset, England</w:t>
      </w:r>
      <w:r>
        <w:t xml:space="preserve">.</w:t>
      </w:r>
    </w:p>
    <w:bookmarkEnd w:id="64"/>
    <w:bookmarkStart w:id="66"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65">
        <w:r>
          <w:rPr>
            <w:rStyle w:val="Hyperlink"/>
          </w:rPr>
          <w:t xml:space="preserve">https://doi.org/10.1007/978-1-4613-0501-9_5</w:t>
        </w:r>
      </w:hyperlink>
    </w:p>
    <w:bookmarkEnd w:id="66"/>
    <w:bookmarkStart w:id="68"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67">
        <w:r>
          <w:rPr>
            <w:rStyle w:val="Hyperlink"/>
          </w:rPr>
          <w:t xml:space="preserve">https://doi.org/10.1007/978-3-030-55322-7</w:t>
        </w:r>
      </w:hyperlink>
    </w:p>
    <w:bookmarkEnd w:id="68"/>
    <w:bookmarkStart w:id="70"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69">
        <w:r>
          <w:rPr>
            <w:rStyle w:val="Hyperlink"/>
          </w:rPr>
          <w:t xml:space="preserve">https://doi.org/10.1007/978-3-030-55322-7_1</w:t>
        </w:r>
      </w:hyperlink>
    </w:p>
    <w:bookmarkEnd w:id="70"/>
    <w:bookmarkStart w:id="72"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1">
        <w:r>
          <w:rPr>
            <w:rStyle w:val="Hyperlink"/>
          </w:rPr>
          <w:t xml:space="preserve">https://doi.org/10.12957/tamoios.2020.51272</w:t>
        </w:r>
      </w:hyperlink>
    </w:p>
    <w:bookmarkEnd w:id="72"/>
    <w:bookmarkStart w:id="73"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73"/>
    <w:bookmarkStart w:id="75"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74">
        <w:r>
          <w:rPr>
            <w:rStyle w:val="Hyperlink"/>
          </w:rPr>
          <w:t xml:space="preserve">https://doi.org/10.1590/S1519-69842010000200004</w:t>
        </w:r>
      </w:hyperlink>
    </w:p>
    <w:bookmarkEnd w:id="75"/>
    <w:bookmarkStart w:id="76"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76"/>
    <w:bookmarkStart w:id="77"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77"/>
    <w:bookmarkStart w:id="79" w:name="ref-mma2003"/>
    <w:p>
      <w:pPr>
        <w:pStyle w:val="Bibliography"/>
      </w:pPr>
      <w:r>
        <w:t xml:space="preserve">MMA. (2003).</w:t>
      </w:r>
      <w:r>
        <w:t xml:space="preserve"> </w:t>
      </w:r>
      <w:r>
        <w:rPr>
          <w:i/>
          <w:iCs/>
        </w:rPr>
        <w:t xml:space="preserve">Plano de manejo reserva biológica guaribas. Fase 2.</w:t>
      </w:r>
      <w:r>
        <w:t xml:space="preserve"> </w:t>
      </w:r>
      <w:hyperlink r:id="rId78">
        <w:r>
          <w:rPr>
            <w:rStyle w:val="Hyperlink"/>
          </w:rPr>
          <w:t xml:space="preserve">https://bit.ly/4gtUh3i</w:t>
        </w:r>
      </w:hyperlink>
    </w:p>
    <w:bookmarkEnd w:id="79"/>
    <w:bookmarkStart w:id="81"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0">
        <w:r>
          <w:rPr>
            <w:rStyle w:val="Hyperlink"/>
          </w:rPr>
          <w:t xml:space="preserve">https://encurtador.com.br/kLle</w:t>
        </w:r>
      </w:hyperlink>
    </w:p>
    <w:bookmarkEnd w:id="81"/>
    <w:bookmarkStart w:id="83"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2">
        <w:r>
          <w:rPr>
            <w:rStyle w:val="Hyperlink"/>
          </w:rPr>
          <w:t xml:space="preserve">https://doi.org/10.1007/s10750-006-0252-7</w:t>
        </w:r>
      </w:hyperlink>
    </w:p>
    <w:bookmarkEnd w:id="83"/>
    <w:bookmarkStart w:id="85"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84">
        <w:r>
          <w:rPr>
            <w:rStyle w:val="Hyperlink"/>
          </w:rPr>
          <w:t xml:space="preserve">https://doi.org/10.1038/35002501</w:t>
        </w:r>
      </w:hyperlink>
    </w:p>
    <w:bookmarkEnd w:id="85"/>
    <w:bookmarkStart w:id="87"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86">
        <w:r>
          <w:rPr>
            <w:rStyle w:val="Hyperlink"/>
          </w:rPr>
          <w:t xml:space="preserve">https://doi.org/10.1590/1982-0224-2019-0130</w:t>
        </w:r>
      </w:hyperlink>
    </w:p>
    <w:bookmarkEnd w:id="87"/>
    <w:bookmarkStart w:id="89"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88">
        <w:r>
          <w:rPr>
            <w:rStyle w:val="Hyperlink"/>
          </w:rPr>
          <w:t xml:space="preserve">https://doi.org/10.1007/978-3-030-55322-7_10</w:t>
        </w:r>
      </w:hyperlink>
    </w:p>
    <w:bookmarkEnd w:id="89"/>
    <w:bookmarkStart w:id="90"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0"/>
    <w:bookmarkStart w:id="92" w:name="ref-pereira2026"/>
    <w:p>
      <w:pPr>
        <w:pStyle w:val="Bibliography"/>
      </w:pPr>
      <w:r>
        <w:t xml:space="preserve">Pereira, K. M. G., Cordeiro, N. G., Suzuki, L. P. Z. L., &amp; Berg, E. van den. (2026). How important are small fragments for restoration in the central portion of the atlantic forest?</w:t>
      </w:r>
      <w:r>
        <w:t xml:space="preserve"> </w:t>
      </w:r>
      <w:r>
        <w:rPr>
          <w:i/>
          <w:iCs/>
        </w:rPr>
        <w:t xml:space="preserve">Biological Conservation</w:t>
      </w:r>
      <w:r>
        <w:t xml:space="preserve">,</w:t>
      </w:r>
      <w:r>
        <w:t xml:space="preserve"> </w:t>
      </w:r>
      <w:r>
        <w:rPr>
          <w:i/>
          <w:iCs/>
        </w:rPr>
        <w:t xml:space="preserve">321</w:t>
      </w:r>
      <w:r>
        <w:t xml:space="preserve">, Article 111958. https://doi.org/</w:t>
      </w:r>
      <w:hyperlink r:id="rId91">
        <w:r>
          <w:rPr>
            <w:rStyle w:val="Hyperlink"/>
          </w:rPr>
          <w:t xml:space="preserve">https://doi.org/10.1016/j.biocon.2026.111958</w:t>
        </w:r>
      </w:hyperlink>
    </w:p>
    <w:bookmarkEnd w:id="92"/>
    <w:bookmarkStart w:id="94"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93">
        <w:r>
          <w:rPr>
            <w:rStyle w:val="Hyperlink"/>
          </w:rPr>
          <w:t xml:space="preserve">https://doi.org/10.1590/S1413-70542006000500027</w:t>
        </w:r>
      </w:hyperlink>
    </w:p>
    <w:bookmarkEnd w:id="94"/>
    <w:bookmarkStart w:id="95"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95"/>
    <w:bookmarkStart w:id="97"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96">
        <w:r>
          <w:rPr>
            <w:rStyle w:val="Hyperlink"/>
          </w:rPr>
          <w:t xml:space="preserve">https://www.R-project.org/</w:t>
        </w:r>
      </w:hyperlink>
    </w:p>
    <w:bookmarkEnd w:id="97"/>
    <w:bookmarkStart w:id="99" w:name="ref-rstudioteam2022"/>
    <w:p>
      <w:pPr>
        <w:pStyle w:val="Bibliography"/>
      </w:pPr>
      <w:r>
        <w:t xml:space="preserve">R Studio Team. (2022).</w:t>
      </w:r>
      <w:r>
        <w:t xml:space="preserve"> </w:t>
      </w:r>
      <w:r>
        <w:rPr>
          <w:i/>
          <w:iCs/>
        </w:rPr>
        <w:t xml:space="preserve">RStudio: Integrated development environment for r</w:t>
      </w:r>
      <w:r>
        <w:t xml:space="preserve">. RStudio, PBC.</w:t>
      </w:r>
      <w:r>
        <w:t xml:space="preserve"> </w:t>
      </w:r>
      <w:hyperlink r:id="rId98">
        <w:r>
          <w:rPr>
            <w:rStyle w:val="Hyperlink"/>
          </w:rPr>
          <w:t xml:space="preserve">https://posit.co/products/open-source/rstudio/</w:t>
        </w:r>
      </w:hyperlink>
    </w:p>
    <w:bookmarkEnd w:id="99"/>
    <w:bookmarkStart w:id="100"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100"/>
    <w:bookmarkStart w:id="102"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101">
        <w:r>
          <w:rPr>
            <w:rStyle w:val="Hyperlink"/>
          </w:rPr>
          <w:t xml:space="preserve">https://doi.org/10.1016/j.cbpc.2017.08.008</w:t>
        </w:r>
      </w:hyperlink>
    </w:p>
    <w:bookmarkEnd w:id="102"/>
    <w:bookmarkStart w:id="104"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103">
        <w:r>
          <w:rPr>
            <w:rStyle w:val="Hyperlink"/>
          </w:rPr>
          <w:t xml:space="preserve">https://doi.org/10.1016/S0027-5107(97)00265-0</w:t>
        </w:r>
      </w:hyperlink>
    </w:p>
    <w:bookmarkEnd w:id="104"/>
    <w:bookmarkStart w:id="106"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05">
        <w:r>
          <w:rPr>
            <w:rStyle w:val="Hyperlink"/>
          </w:rPr>
          <w:t xml:space="preserve">https://doi.org/10.1016/j.mrfmmm.2004.06.006</w:t>
        </w:r>
      </w:hyperlink>
    </w:p>
    <w:bookmarkEnd w:id="106"/>
    <w:bookmarkStart w:id="107"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07"/>
    <w:bookmarkStart w:id="109"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08">
        <w:r>
          <w:rPr>
            <w:rStyle w:val="Hyperlink"/>
          </w:rPr>
          <w:t xml:space="preserve">https://doi.org/10.1016/j.cbpc.2005.12.009</w:t>
        </w:r>
      </w:hyperlink>
    </w:p>
    <w:bookmarkEnd w:id="109"/>
    <w:bookmarkStart w:id="110"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10"/>
    <w:bookmarkEnd w:id="111"/>
    <w:bookmarkEnd w:id="112"/>
    <w:bookmarkStart w:id="145"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 Site 1 is the reference site for this study.</w:t>
      </w:r>
    </w:p>
    <w:p>
      <w:pPr>
        <w:pStyle w:val="TextBody"/>
      </w:pPr>
      <w:hyperlink w:anchor="fig-refsites">
        <w:r>
          <w:rPr>
            <w:rStyle w:val="Hyperlink"/>
          </w:rPr>
          <w:t xml:space="preserve">Figure 2</w:t>
        </w:r>
      </w:hyperlink>
      <w:r>
        <w:t xml:space="preserve">: Images of the main four types of sites found along the Barro Branco stream (Mamanguape, PB). Type I, well preserved and within the conservation unit. Type II site, preserved and outside the conservation unit. Type III site, disturbed but withing the conservation unit. Type IV site, disturbed and outside the conservation unit.</w:t>
      </w:r>
    </w:p>
    <w:p>
      <w:pPr>
        <w:pStyle w:val="TextBody"/>
      </w:pPr>
      <w:hyperlink w:anchor="fig-hab_PCA_fviz">
        <w:r>
          <w:rPr>
            <w:rStyle w:val="Hyperlink"/>
          </w:rPr>
          <w:t xml:space="preserve">Figure 3</w:t>
        </w:r>
      </w:hyperlink>
      <w:r>
        <w:t xml:space="preserve">: Principal Component Analysis of the environmental variables for the Barro Branco stream (Mamanguape, PB).</w:t>
      </w:r>
    </w:p>
    <w:p>
      <w:pPr>
        <w:pStyle w:val="TextBody"/>
      </w:pPr>
      <w:hyperlink w:anchor="fig-counts">
        <w:r>
          <w:rPr>
            <w:rStyle w:val="Hyperlink"/>
          </w:rPr>
          <w:t xml:space="preserve">Figure 4</w:t>
        </w:r>
      </w:hyperlink>
      <w:r>
        <w:t xml:space="preserve">: Counts of number of individuals per species and biomarker use (MXR, Multixenobiotic resistance phenotype activity; Moisture, Plasmatic protein dosage and moisture content) for each study site.</w:t>
      </w:r>
    </w:p>
    <w:p>
      <w:pPr>
        <w:pStyle w:val="TextBody"/>
      </w:pPr>
      <w:hyperlink w:anchor="fig-prot_tots">
        <w:r>
          <w:rPr>
            <w:rStyle w:val="Hyperlink"/>
          </w:rPr>
          <w:t xml:space="preserve">Figure 5</w:t>
        </w:r>
      </w:hyperlink>
      <w:r>
        <w:t xml:space="preserve">: Total plasmatic proteins (mg) variance by sampling site and fish species.</w:t>
      </w:r>
    </w:p>
    <w:p>
      <w:pPr>
        <w:pStyle w:val="TextBody"/>
      </w:pPr>
      <w:hyperlink w:anchor="fig-prot_th">
        <w:r>
          <w:rPr>
            <w:rStyle w:val="Hyperlink"/>
          </w:rPr>
          <w:t xml:space="preserve">Figure 6</w:t>
        </w:r>
      </w:hyperlink>
      <w:r>
        <w:t xml:space="preserve">: Gill and muscle moisture content (%) by sampling site and fish species.</w:t>
      </w:r>
    </w:p>
    <w:p>
      <w:pPr>
        <w:pStyle w:val="TextBody"/>
      </w:pPr>
      <w:hyperlink w:anchor="fig-rodam">
        <w:r>
          <w:rPr>
            <w:rStyle w:val="Hyperlink"/>
          </w:rPr>
          <w:t xml:space="preserve">Figure 7</w:t>
        </w:r>
      </w:hyperlink>
      <w:r>
        <w:t xml:space="preserve">: Average fluorescence of rhodamin B expressed by relative fluorescence units/milligrams of gill tissue of fish by sampling site.</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 Site 1 is the reference site for this study.</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 Site 1 is the reference site for this study.</w:t>
      </w:r>
    </w:p>
    <w:bookmarkStart w:id="141" w:name="figures"/>
    <w:p>
      <w:pPr>
        <w:pStyle w:val="Heading2"/>
      </w:pPr>
      <w:r>
        <w:t xml:space="preserve">Figures</w:t>
      </w:r>
    </w:p>
    <w:p>
      <w:pPr>
        <w:pStyle w:val="FirstParagraph"/>
      </w:pPr>
      <w:r>
        <w:t xml:space="preserve">Fig.: Location of sampling sites</w:t>
      </w:r>
    </w:p>
    <w:tbl>
      <w:tblPr>
        <w:tblStyle w:val="Table"/>
        <w:tblW w:type="pct" w:w="5000"/>
        <w:tblLayout w:type="fixed"/>
        <w:tblLook w:firstRow="0" w:lastRow="0" w:firstColumn="0" w:lastColumn="0" w:noHBand="0" w:noVBand="0" w:val="0000"/>
      </w:tblPr>
      <w:tblGrid>
        <w:gridCol w:w="7920"/>
      </w:tblGrid>
      <w:tr>
        <w:tc>
          <w:tcPr/>
          <w:bookmarkStart w:id="116" w:name="fig-mapa"/>
          <w:p>
            <w:pPr>
              <w:pStyle w:val="Compact"/>
              <w:jc w:val="center"/>
            </w:pPr>
            <w:r>
              <w:drawing>
                <wp:inline>
                  <wp:extent cx="5943600" cy="4202459"/>
                  <wp:effectExtent b="0" l="0" r="0" t="0"/>
                  <wp:docPr descr="" title="" id="114" name="Picture"/>
                  <a:graphic>
                    <a:graphicData uri="http://schemas.openxmlformats.org/drawingml/2006/picture">
                      <pic:pic>
                        <pic:nvPicPr>
                          <pic:cNvPr descr="imagens/mapa_final.png" id="115" name="Picture"/>
                          <pic:cNvPicPr>
                            <a:picLocks noChangeArrowheads="1" noChangeAspect="1"/>
                          </pic:cNvPicPr>
                        </pic:nvPicPr>
                        <pic:blipFill>
                          <a:blip r:embed="rId113"/>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w:t>
            </w:r>
          </w:p>
          <w:bookmarkEnd w:id="116"/>
        </w:tc>
      </w:tr>
    </w:tbl>
    <w:p>
      <w:pPr>
        <w:pStyle w:val="TextBody"/>
      </w:pPr>
      <w:r>
        <w:t xml:space="preserve">Fig.: Images of the main four types of sites</w:t>
      </w:r>
    </w:p>
    <w:tbl>
      <w:tblPr>
        <w:tblStyle w:val="Table"/>
        <w:tblW w:type="pct" w:w="5000"/>
        <w:tblLayout w:type="fixed"/>
        <w:tblLook w:firstRow="0" w:lastRow="0" w:firstColumn="0" w:lastColumn="0" w:noHBand="0" w:noVBand="0" w:val="0000"/>
      </w:tblPr>
      <w:tblGrid>
        <w:gridCol w:w="7920"/>
      </w:tblGrid>
      <w:tr>
        <w:tc>
          <w:tcPr/>
          <w:bookmarkStart w:id="120" w:name="fig-refsites"/>
          <w:p>
            <w:pPr>
              <w:pStyle w:val="Compact"/>
              <w:jc w:val="center"/>
            </w:pPr>
            <w:r>
              <w:drawing>
                <wp:inline>
                  <wp:extent cx="5943600" cy="4942787"/>
                  <wp:effectExtent b="0" l="0" r="0" t="0"/>
                  <wp:docPr descr="" title="" id="118" name="Picture"/>
                  <a:graphic>
                    <a:graphicData uri="http://schemas.openxmlformats.org/drawingml/2006/picture">
                      <pic:pic>
                        <pic:nvPicPr>
                          <pic:cNvPr descr="imagens/refsites.png" id="119" name="Picture"/>
                          <pic:cNvPicPr>
                            <a:picLocks noChangeArrowheads="1" noChangeAspect="1"/>
                          </pic:cNvPicPr>
                        </pic:nvPicPr>
                        <pic:blipFill>
                          <a:blip r:embed="rId117"/>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w:t>
            </w:r>
          </w:p>
          <w:bookmarkEnd w:id="120"/>
        </w:tc>
      </w:tr>
    </w:tbl>
    <w:p>
      <w:pPr>
        <w:pStyle w:val="TextBody"/>
      </w:pPr>
      <w:r>
        <w:t xml:space="preserve">Fig.: Principal Component Analysis of the environmental variables</w:t>
      </w:r>
    </w:p>
    <w:tbl>
      <w:tblPr>
        <w:tblStyle w:val="Table"/>
        <w:tblW w:type="pct" w:w="5000"/>
        <w:tblLayout w:type="fixed"/>
        <w:tblLook w:firstRow="0" w:lastRow="0" w:firstColumn="0" w:lastColumn="0" w:noHBand="0" w:noVBand="0" w:val="0000"/>
      </w:tblPr>
      <w:tblGrid>
        <w:gridCol w:w="7920"/>
      </w:tblGrid>
      <w:tr>
        <w:tc>
          <w:tcPr/>
          <w:bookmarkStart w:id="124" w:name="fig-hab_PCA_fviz"/>
          <w:p>
            <w:pPr>
              <w:pStyle w:val="Compact"/>
              <w:jc w:val="center"/>
            </w:pPr>
            <w:r>
              <w:drawing>
                <wp:inline>
                  <wp:extent cx="5943600" cy="4862945"/>
                  <wp:effectExtent b="0" l="0" r="0" t="0"/>
                  <wp:docPr descr="" title="" id="122" name="Picture"/>
                  <a:graphic>
                    <a:graphicData uri="http://schemas.openxmlformats.org/drawingml/2006/picture">
                      <pic:pic>
                        <pic:nvPicPr>
                          <pic:cNvPr descr="fig-hab_PCA_fviz.png" id="123" name="Picture"/>
                          <pic:cNvPicPr>
                            <a:picLocks noChangeArrowheads="1" noChangeAspect="1"/>
                          </pic:cNvPicPr>
                        </pic:nvPicPr>
                        <pic:blipFill>
                          <a:blip r:embed="rId121"/>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w:t>
            </w:r>
          </w:p>
          <w:bookmarkEnd w:id="124"/>
        </w:tc>
      </w:tr>
    </w:tbl>
    <w:p>
      <w:pPr>
        <w:pStyle w:val="TextBody"/>
      </w:pPr>
      <w:r>
        <w:t xml:space="preserve">Fig.: Counts of number of individuals per species and biomarker</w:t>
      </w:r>
    </w:p>
    <w:tbl>
      <w:tblPr>
        <w:tblStyle w:val="Table"/>
        <w:tblW w:type="pct" w:w="5000"/>
        <w:tblLayout w:type="fixed"/>
        <w:tblLook w:firstRow="0" w:lastRow="0" w:firstColumn="0" w:lastColumn="0" w:noHBand="0" w:noVBand="0" w:val="0000"/>
      </w:tblPr>
      <w:tblGrid>
        <w:gridCol w:w="7920"/>
      </w:tblGrid>
      <w:tr>
        <w:tc>
          <w:tcPr/>
          <w:bookmarkStart w:id="128" w:name="fig-counts"/>
          <w:p>
            <w:pPr>
              <w:pStyle w:val="Compact"/>
              <w:jc w:val="center"/>
            </w:pPr>
            <w:r>
              <w:drawing>
                <wp:inline>
                  <wp:extent cx="5943600" cy="3936821"/>
                  <wp:effectExtent b="0" l="0" r="0" t="0"/>
                  <wp:docPr descr="" title="" id="126" name="Picture"/>
                  <a:graphic>
                    <a:graphicData uri="http://schemas.openxmlformats.org/drawingml/2006/picture">
                      <pic:pic>
                        <pic:nvPicPr>
                          <pic:cNvPr descr="fig-counts.png" id="127" name="Picture"/>
                          <pic:cNvPicPr>
                            <a:picLocks noChangeArrowheads="1" noChangeAspect="1"/>
                          </pic:cNvPicPr>
                        </pic:nvPicPr>
                        <pic:blipFill>
                          <a:blip r:embed="rId125"/>
                          <a:stretch>
                            <a:fillRect/>
                          </a:stretch>
                        </pic:blipFill>
                        <pic:spPr bwMode="auto">
                          <a:xfrm>
                            <a:off x="0" y="0"/>
                            <a:ext cx="5943600" cy="3936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Counts of number of individuals per species and biomarker.</w:t>
            </w:r>
          </w:p>
          <w:bookmarkEnd w:id="128"/>
        </w:tc>
      </w:tr>
    </w:tbl>
    <w:p>
      <w:pPr>
        <w:pStyle w:val="TextBody"/>
      </w:pPr>
      <w:r>
        <w:t xml:space="preserve">Fig.: Total protein variance</w:t>
      </w:r>
    </w:p>
    <w:tbl>
      <w:tblPr>
        <w:tblStyle w:val="Table"/>
        <w:tblW w:type="pct" w:w="5000"/>
        <w:tblLayout w:type="fixed"/>
        <w:tblLook w:firstRow="0" w:lastRow="0" w:firstColumn="0" w:lastColumn="0" w:noHBand="0" w:noVBand="0" w:val="0000"/>
      </w:tblPr>
      <w:tblGrid>
        <w:gridCol w:w="7920"/>
      </w:tblGrid>
      <w:tr>
        <w:tc>
          <w:tcPr/>
          <w:bookmarkStart w:id="132" w:name="fig-prot_tots"/>
          <w:p>
            <w:pPr>
              <w:pStyle w:val="Compact"/>
              <w:jc w:val="center"/>
            </w:pPr>
            <w:r>
              <w:drawing>
                <wp:inline>
                  <wp:extent cx="5943600" cy="4054106"/>
                  <wp:effectExtent b="0" l="0" r="0" t="0"/>
                  <wp:docPr descr="" title="" id="130" name="Picture"/>
                  <a:graphic>
                    <a:graphicData uri="http://schemas.openxmlformats.org/drawingml/2006/picture">
                      <pic:pic>
                        <pic:nvPicPr>
                          <pic:cNvPr descr="fig-prot_tots.png" id="131" name="Picture"/>
                          <pic:cNvPicPr>
                            <a:picLocks noChangeArrowheads="1" noChangeAspect="1"/>
                          </pic:cNvPicPr>
                        </pic:nvPicPr>
                        <pic:blipFill>
                          <a:blip r:embed="rId129"/>
                          <a:stretch>
                            <a:fillRect/>
                          </a:stretch>
                        </pic:blipFill>
                        <pic:spPr bwMode="auto">
                          <a:xfrm>
                            <a:off x="0" y="0"/>
                            <a:ext cx="5943600" cy="405410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Total plasmatic proteins variance.</w:t>
            </w:r>
          </w:p>
          <w:bookmarkEnd w:id="132"/>
        </w:tc>
      </w:tr>
    </w:tbl>
    <w:p>
      <w:pPr>
        <w:pStyle w:val="TextBody"/>
      </w:pPr>
      <w:r>
        <w:t xml:space="preserve">Fig.: Moisture content of tissues</w:t>
      </w:r>
    </w:p>
    <w:tbl>
      <w:tblPr>
        <w:tblStyle w:val="Table"/>
        <w:tblW w:type="pct" w:w="5000"/>
        <w:tblLayout w:type="fixed"/>
        <w:tblLook w:firstRow="0" w:lastRow="0" w:firstColumn="0" w:lastColumn="0" w:noHBand="0" w:noVBand="0" w:val="0000"/>
      </w:tblPr>
      <w:tblGrid>
        <w:gridCol w:w="7920"/>
      </w:tblGrid>
      <w:tr>
        <w:tc>
          <w:tcPr/>
          <w:bookmarkStart w:id="136" w:name="fig-prot_th"/>
          <w:p>
            <w:pPr>
              <w:pStyle w:val="Compact"/>
              <w:jc w:val="center"/>
            </w:pPr>
            <w:r>
              <w:drawing>
                <wp:inline>
                  <wp:extent cx="5943600" cy="3823070"/>
                  <wp:effectExtent b="0" l="0" r="0" t="0"/>
                  <wp:docPr descr="" title="" id="134" name="Picture"/>
                  <a:graphic>
                    <a:graphicData uri="http://schemas.openxmlformats.org/drawingml/2006/picture">
                      <pic:pic>
                        <pic:nvPicPr>
                          <pic:cNvPr descr="fig-prot_th.png" id="135" name="Picture"/>
                          <pic:cNvPicPr>
                            <a:picLocks noChangeArrowheads="1" noChangeAspect="1"/>
                          </pic:cNvPicPr>
                        </pic:nvPicPr>
                        <pic:blipFill>
                          <a:blip r:embed="rId133"/>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Gill and muscle moisture content.</w:t>
            </w:r>
          </w:p>
          <w:bookmarkEnd w:id="136"/>
        </w:tc>
      </w:tr>
    </w:tbl>
    <w:p>
      <w:pPr>
        <w:pStyle w:val="TextBody"/>
      </w:pPr>
      <w:r>
        <w:t xml:space="preserve">Fig.: Average fluorescence for rhodamin B</w:t>
      </w:r>
    </w:p>
    <w:tbl>
      <w:tblPr>
        <w:tblStyle w:val="Table"/>
        <w:tblW w:type="pct" w:w="5000"/>
        <w:tblLayout w:type="fixed"/>
        <w:tblLook w:firstRow="0" w:lastRow="0" w:firstColumn="0" w:lastColumn="0" w:noHBand="0" w:noVBand="0" w:val="0000"/>
      </w:tblPr>
      <w:tblGrid>
        <w:gridCol w:w="7920"/>
      </w:tblGrid>
      <w:tr>
        <w:tc>
          <w:tcPr/>
          <w:bookmarkStart w:id="140" w:name="fig-rodam"/>
          <w:p>
            <w:pPr>
              <w:pStyle w:val="Compact"/>
              <w:jc w:val="center"/>
            </w:pPr>
            <w:r>
              <w:drawing>
                <wp:inline>
                  <wp:extent cx="5943600" cy="4801598"/>
                  <wp:effectExtent b="0" l="0" r="0" t="0"/>
                  <wp:docPr descr="" title="" id="138" name="Picture"/>
                  <a:graphic>
                    <a:graphicData uri="http://schemas.openxmlformats.org/drawingml/2006/picture">
                      <pic:pic>
                        <pic:nvPicPr>
                          <pic:cNvPr descr="fig-rodam.png" id="139" name="Picture"/>
                          <pic:cNvPicPr>
                            <a:picLocks noChangeArrowheads="1" noChangeAspect="1"/>
                          </pic:cNvPicPr>
                        </pic:nvPicPr>
                        <pic:blipFill>
                          <a:blip r:embed="rId137"/>
                          <a:stretch>
                            <a:fillRect/>
                          </a:stretch>
                        </pic:blipFill>
                        <pic:spPr bwMode="auto">
                          <a:xfrm>
                            <a:off x="0" y="0"/>
                            <a:ext cx="5943600" cy="4801598"/>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Average fluorescence of rhodamin B.</w:t>
            </w:r>
          </w:p>
          <w:bookmarkEnd w:id="140"/>
        </w:tc>
      </w:tr>
    </w:tbl>
    <w:bookmarkEnd w:id="141"/>
    <w:bookmarkStart w:id="144"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142"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 (0-0.025)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(30-35)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42"/>
        </w:tc>
      </w:tr>
    </w:tbl>
    <w:p>
      <w:pPr>
        <w:pStyle w:val="TextBody"/>
      </w:pPr>
      <w:r>
        <w:t xml:space="preserve">Tab.: Nutrient data table</w:t>
      </w:r>
    </w:p>
    <w:tbl>
      <w:tblPr>
        <w:tblStyle w:val="Table"/>
        <w:tblW w:type="pct" w:w="5000"/>
        <w:tblLayout w:type="fixed"/>
        <w:tblLook w:firstRow="0" w:lastRow="0" w:firstColumn="0" w:lastColumn="0" w:noHBand="0" w:noVBand="0" w:val="0000"/>
      </w:tblPr>
      <w:tblGrid>
        <w:gridCol w:w="7920"/>
      </w:tblGrid>
      <w:tr>
        <w:tc>
          <w:tcPr/>
          <w:bookmarkStart w:id="143"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54.773 (39.32-64.32)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58.867 (47.5-77.05)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72.047 (33.41-115.68)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81.587 (68.86-92.95)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80.833 (65.23-99.32)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243.71 (203.86-277.5)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r>
          </w:tbl>
          <w:bookmarkEnd w:id="143"/>
        </w:tc>
      </w:tr>
    </w:tbl>
    <w:bookmarkEnd w:id="144"/>
    <w:bookmarkEnd w:id="145"/>
    <w:bookmarkStart w:id="146" w:name="apendices"/>
    <w:p>
      <w:pPr>
        <w:pStyle w:val="Heading1"/>
      </w:pPr>
      <w:r>
        <w:t xml:space="preserve">Apendices</w:t>
      </w:r>
    </w:p>
    <w:bookmarkEnd w:id="146"/>
    <w:bookmarkStart w:id="150"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C:\PROGRA~1\RStudio\RESOUR~1\app\bin\quarto\share\formats\docx\warning.png" id="149" name="Picture"/>
                          <pic:cNvPicPr>
                            <a:picLocks noChangeArrowheads="1" noChangeAspect="1"/>
                          </pic:cNvPicPr>
                        </pic:nvPicPr>
                        <pic:blipFill>
                          <a:blip r:embed="rId1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p/>
        </w:tc>
      </w:tr>
    </w:tbl>
    <w:bookmarkEnd w:id="150"/>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147" Target="media/rId147.png" /><Relationship Type="http://schemas.openxmlformats.org/officeDocument/2006/relationships/image" Id="rId125" Target="media/rId125.png" /><Relationship Type="http://schemas.openxmlformats.org/officeDocument/2006/relationships/image" Id="rId121" Target="media/rId121.png" /><Relationship Type="http://schemas.openxmlformats.org/officeDocument/2006/relationships/image" Id="rId133" Target="media/rId133.png" /><Relationship Type="http://schemas.openxmlformats.org/officeDocument/2006/relationships/image" Id="rId129" Target="media/rId129.png" /><Relationship Type="http://schemas.openxmlformats.org/officeDocument/2006/relationships/image" Id="rId137" Target="media/rId137.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hyperlink" Id="rId39" Target="http://memoria2.cnpq.br/web/guest/view/-/journal_content/56_INSTANCE_0oED/10157/23142775" TargetMode="External" /><Relationship Type="http://schemas.openxmlformats.org/officeDocument/2006/relationships/hyperlink" Id="rId78" Target="https://bit.ly/4gtUh3i" TargetMode="External" /><Relationship Type="http://schemas.openxmlformats.org/officeDocument/2006/relationships/hyperlink" Id="rId43" Target="https://credit.niso.org/" TargetMode="External" /><Relationship Type="http://schemas.openxmlformats.org/officeDocument/2006/relationships/hyperlink" Id="rId62" Target="https://doi.org/10.1002/jez.2320" TargetMode="External" /><Relationship Type="http://schemas.openxmlformats.org/officeDocument/2006/relationships/hyperlink" Id="rId23" Target="https://doi.org/10.1002/wer.1221" TargetMode="External" /><Relationship Type="http://schemas.openxmlformats.org/officeDocument/2006/relationships/hyperlink" Id="rId65" Target="https://doi.org/10.1007/978-1-4613-0501-9_5" TargetMode="External" /><Relationship Type="http://schemas.openxmlformats.org/officeDocument/2006/relationships/hyperlink" Id="rId67" Target="https://doi.org/10.1007/978-3-030-55322-7" TargetMode="External" /><Relationship Type="http://schemas.openxmlformats.org/officeDocument/2006/relationships/hyperlink" Id="rId69" Target="https://doi.org/10.1007/978-3-030-55322-7_1" TargetMode="External" /><Relationship Type="http://schemas.openxmlformats.org/officeDocument/2006/relationships/hyperlink" Id="rId88" Target="https://doi.org/10.1007/978-3-030-55322-7_10" TargetMode="External" /><Relationship Type="http://schemas.openxmlformats.org/officeDocument/2006/relationships/hyperlink" Id="rId56" Target="https://doi.org/10.1007/978-3-319-58374-7_11" TargetMode="External" /><Relationship Type="http://schemas.openxmlformats.org/officeDocument/2006/relationships/hyperlink" Id="rId30" Target="https://doi.org/10.1007/s10669-011-9380-3" TargetMode="External" /><Relationship Type="http://schemas.openxmlformats.org/officeDocument/2006/relationships/hyperlink" Id="rId82" Target="https://doi.org/10.1007/s10750-006-0252-7" TargetMode="External" /><Relationship Type="http://schemas.openxmlformats.org/officeDocument/2006/relationships/hyperlink" Id="rId52" Target="https://doi.org/10.1007/s13530-020-00042-w" TargetMode="External" /><Relationship Type="http://schemas.openxmlformats.org/officeDocument/2006/relationships/hyperlink" Id="rId47" Target="https://doi.org/10.1016/B978-0-12-813747-5.00004-7" TargetMode="External" /><Relationship Type="http://schemas.openxmlformats.org/officeDocument/2006/relationships/hyperlink" Id="rId54" Target="https://doi.org/10.1016/B978-0-12-813747-5.00008-4" TargetMode="External" /><Relationship Type="http://schemas.openxmlformats.org/officeDocument/2006/relationships/hyperlink" Id="rId103" Target="https://doi.org/10.1016/S0027-5107(97)00265-0" TargetMode="External" /><Relationship Type="http://schemas.openxmlformats.org/officeDocument/2006/relationships/hyperlink" Id="rId32" Target="https://doi.org/10.1016/S0166-445X(00)00088-6" TargetMode="External" /><Relationship Type="http://schemas.openxmlformats.org/officeDocument/2006/relationships/hyperlink" Id="rId91" Target="https://doi.org/10.1016/j.biocon.2026.111958" TargetMode="External" /><Relationship Type="http://schemas.openxmlformats.org/officeDocument/2006/relationships/hyperlink" Id="rId108" Target="https://doi.org/10.1016/j.cbpc.2005.12.009" TargetMode="External" /><Relationship Type="http://schemas.openxmlformats.org/officeDocument/2006/relationships/hyperlink" Id="rId101" Target="https://doi.org/10.1016/j.cbpc.2017.08.008" TargetMode="External" /><Relationship Type="http://schemas.openxmlformats.org/officeDocument/2006/relationships/hyperlink" Id="rId45" Target="https://doi.org/10.1016/j.ecoenv.2018.09.111" TargetMode="External" /><Relationship Type="http://schemas.openxmlformats.org/officeDocument/2006/relationships/hyperlink" Id="rId37" Target="https://doi.org/10.1016/j.envpol.2009.05.055" TargetMode="External" /><Relationship Type="http://schemas.openxmlformats.org/officeDocument/2006/relationships/hyperlink" Id="rId105" Target="https://doi.org/10.1016/j.mrfmmm.2004.06.006" TargetMode="External" /><Relationship Type="http://schemas.openxmlformats.org/officeDocument/2006/relationships/hyperlink" Id="rId58" Target="https://doi.org/10.1023/A:1026560922731" TargetMode="External" /><Relationship Type="http://schemas.openxmlformats.org/officeDocument/2006/relationships/hyperlink" Id="rId84" Target="https://doi.org/10.1038/35002501" TargetMode="External" /><Relationship Type="http://schemas.openxmlformats.org/officeDocument/2006/relationships/hyperlink" Id="rId41" Target="https://doi.org/10.1038/s41598-020-78563-0" TargetMode="External" /><Relationship Type="http://schemas.openxmlformats.org/officeDocument/2006/relationships/hyperlink" Id="rId71" Target="https://doi.org/10.12957/tamoios.2020.51272" TargetMode="External" /><Relationship Type="http://schemas.openxmlformats.org/officeDocument/2006/relationships/hyperlink" Id="rId28" Target="https://doi.org/10.14393/SN-v34-2022-60335" TargetMode="External" /><Relationship Type="http://schemas.openxmlformats.org/officeDocument/2006/relationships/hyperlink" Id="rId50" Target="https://doi.org/10.15560/13.5.581" TargetMode="External" /><Relationship Type="http://schemas.openxmlformats.org/officeDocument/2006/relationships/hyperlink" Id="rId86" Target="https://doi.org/10.1590/1982-0224-2019-0130" TargetMode="External" /><Relationship Type="http://schemas.openxmlformats.org/officeDocument/2006/relationships/hyperlink" Id="rId93" Target="https://doi.org/10.1590/S1413-70542006000500027" TargetMode="External" /><Relationship Type="http://schemas.openxmlformats.org/officeDocument/2006/relationships/hyperlink" Id="rId74" Target="https://doi.org/10.1590/S1519-69842010000200004" TargetMode="External" /><Relationship Type="http://schemas.openxmlformats.org/officeDocument/2006/relationships/hyperlink" Id="rId21" Target="https://doi.org/10.5772/24540" TargetMode="External" /><Relationship Type="http://schemas.openxmlformats.org/officeDocument/2006/relationships/hyperlink" Id="rId80" Target="https://encurtador.com.br/kLle" TargetMode="External" /><Relationship Type="http://schemas.openxmlformats.org/officeDocument/2006/relationships/hyperlink" Id="rId98" Target="https://posit.co/products/open-source/rstudio/" TargetMode="External" /><Relationship Type="http://schemas.openxmlformats.org/officeDocument/2006/relationships/hyperlink" Id="rId96" Target="https://www.R-project.org/" TargetMode="External" /><Relationship Type="http://schemas.openxmlformats.org/officeDocument/2006/relationships/hyperlink" Id="rId35" Target="https://www.planalto.gov.br/ccivil_03/leis/l9985.htm" TargetMode="External" /><Relationship Type="http://schemas.openxmlformats.org/officeDocument/2006/relationships/hyperlink" Id="rId25"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39" Target="http://memoria2.cnpq.br/web/guest/view/-/journal_content/56_INSTANCE_0oED/10157/23142775" TargetMode="External" /><Relationship Type="http://schemas.openxmlformats.org/officeDocument/2006/relationships/hyperlink" Id="rId78" Target="https://bit.ly/4gtUh3i" TargetMode="External" /><Relationship Type="http://schemas.openxmlformats.org/officeDocument/2006/relationships/hyperlink" Id="rId43" Target="https://credit.niso.org/" TargetMode="External" /><Relationship Type="http://schemas.openxmlformats.org/officeDocument/2006/relationships/hyperlink" Id="rId62" Target="https://doi.org/10.1002/jez.2320" TargetMode="External" /><Relationship Type="http://schemas.openxmlformats.org/officeDocument/2006/relationships/hyperlink" Id="rId23" Target="https://doi.org/10.1002/wer.1221" TargetMode="External" /><Relationship Type="http://schemas.openxmlformats.org/officeDocument/2006/relationships/hyperlink" Id="rId65" Target="https://doi.org/10.1007/978-1-4613-0501-9_5" TargetMode="External" /><Relationship Type="http://schemas.openxmlformats.org/officeDocument/2006/relationships/hyperlink" Id="rId67" Target="https://doi.org/10.1007/978-3-030-55322-7" TargetMode="External" /><Relationship Type="http://schemas.openxmlformats.org/officeDocument/2006/relationships/hyperlink" Id="rId69" Target="https://doi.org/10.1007/978-3-030-55322-7_1" TargetMode="External" /><Relationship Type="http://schemas.openxmlformats.org/officeDocument/2006/relationships/hyperlink" Id="rId88" Target="https://doi.org/10.1007/978-3-030-55322-7_10" TargetMode="External" /><Relationship Type="http://schemas.openxmlformats.org/officeDocument/2006/relationships/hyperlink" Id="rId56" Target="https://doi.org/10.1007/978-3-319-58374-7_11" TargetMode="External" /><Relationship Type="http://schemas.openxmlformats.org/officeDocument/2006/relationships/hyperlink" Id="rId30" Target="https://doi.org/10.1007/s10669-011-9380-3" TargetMode="External" /><Relationship Type="http://schemas.openxmlformats.org/officeDocument/2006/relationships/hyperlink" Id="rId82" Target="https://doi.org/10.1007/s10750-006-0252-7" TargetMode="External" /><Relationship Type="http://schemas.openxmlformats.org/officeDocument/2006/relationships/hyperlink" Id="rId52" Target="https://doi.org/10.1007/s13530-020-00042-w" TargetMode="External" /><Relationship Type="http://schemas.openxmlformats.org/officeDocument/2006/relationships/hyperlink" Id="rId47" Target="https://doi.org/10.1016/B978-0-12-813747-5.00004-7" TargetMode="External" /><Relationship Type="http://schemas.openxmlformats.org/officeDocument/2006/relationships/hyperlink" Id="rId54" Target="https://doi.org/10.1016/B978-0-12-813747-5.00008-4" TargetMode="External" /><Relationship Type="http://schemas.openxmlformats.org/officeDocument/2006/relationships/hyperlink" Id="rId103" Target="https://doi.org/10.1016/S0027-5107(97)00265-0" TargetMode="External" /><Relationship Type="http://schemas.openxmlformats.org/officeDocument/2006/relationships/hyperlink" Id="rId32" Target="https://doi.org/10.1016/S0166-445X(00)00088-6" TargetMode="External" /><Relationship Type="http://schemas.openxmlformats.org/officeDocument/2006/relationships/hyperlink" Id="rId91" Target="https://doi.org/10.1016/j.biocon.2026.111958" TargetMode="External" /><Relationship Type="http://schemas.openxmlformats.org/officeDocument/2006/relationships/hyperlink" Id="rId108" Target="https://doi.org/10.1016/j.cbpc.2005.12.009" TargetMode="External" /><Relationship Type="http://schemas.openxmlformats.org/officeDocument/2006/relationships/hyperlink" Id="rId101" Target="https://doi.org/10.1016/j.cbpc.2017.08.008" TargetMode="External" /><Relationship Type="http://schemas.openxmlformats.org/officeDocument/2006/relationships/hyperlink" Id="rId45" Target="https://doi.org/10.1016/j.ecoenv.2018.09.111" TargetMode="External" /><Relationship Type="http://schemas.openxmlformats.org/officeDocument/2006/relationships/hyperlink" Id="rId37" Target="https://doi.org/10.1016/j.envpol.2009.05.055" TargetMode="External" /><Relationship Type="http://schemas.openxmlformats.org/officeDocument/2006/relationships/hyperlink" Id="rId105" Target="https://doi.org/10.1016/j.mrfmmm.2004.06.006" TargetMode="External" /><Relationship Type="http://schemas.openxmlformats.org/officeDocument/2006/relationships/hyperlink" Id="rId58" Target="https://doi.org/10.1023/A:1026560922731" TargetMode="External" /><Relationship Type="http://schemas.openxmlformats.org/officeDocument/2006/relationships/hyperlink" Id="rId84" Target="https://doi.org/10.1038/35002501" TargetMode="External" /><Relationship Type="http://schemas.openxmlformats.org/officeDocument/2006/relationships/hyperlink" Id="rId41" Target="https://doi.org/10.1038/s41598-020-78563-0" TargetMode="External" /><Relationship Type="http://schemas.openxmlformats.org/officeDocument/2006/relationships/hyperlink" Id="rId71" Target="https://doi.org/10.12957/tamoios.2020.51272" TargetMode="External" /><Relationship Type="http://schemas.openxmlformats.org/officeDocument/2006/relationships/hyperlink" Id="rId28" Target="https://doi.org/10.14393/SN-v34-2022-60335" TargetMode="External" /><Relationship Type="http://schemas.openxmlformats.org/officeDocument/2006/relationships/hyperlink" Id="rId50" Target="https://doi.org/10.15560/13.5.581" TargetMode="External" /><Relationship Type="http://schemas.openxmlformats.org/officeDocument/2006/relationships/hyperlink" Id="rId86" Target="https://doi.org/10.1590/1982-0224-2019-0130" TargetMode="External" /><Relationship Type="http://schemas.openxmlformats.org/officeDocument/2006/relationships/hyperlink" Id="rId93" Target="https://doi.org/10.1590/S1413-70542006000500027" TargetMode="External" /><Relationship Type="http://schemas.openxmlformats.org/officeDocument/2006/relationships/hyperlink" Id="rId74" Target="https://doi.org/10.1590/S1519-69842010000200004" TargetMode="External" /><Relationship Type="http://schemas.openxmlformats.org/officeDocument/2006/relationships/hyperlink" Id="rId21" Target="https://doi.org/10.5772/24540" TargetMode="External" /><Relationship Type="http://schemas.openxmlformats.org/officeDocument/2006/relationships/hyperlink" Id="rId80" Target="https://encurtador.com.br/kLle" TargetMode="External" /><Relationship Type="http://schemas.openxmlformats.org/officeDocument/2006/relationships/hyperlink" Id="rId98" Target="https://posit.co/products/open-source/rstudio/" TargetMode="External" /><Relationship Type="http://schemas.openxmlformats.org/officeDocument/2006/relationships/hyperlink" Id="rId96" Target="https://www.R-project.org/" TargetMode="External" /><Relationship Type="http://schemas.openxmlformats.org/officeDocument/2006/relationships/hyperlink" Id="rId35" Target="https://www.planalto.gov.br/ccivil_03/leis/l9985.htm" TargetMode="External" /><Relationship Type="http://schemas.openxmlformats.org/officeDocument/2006/relationships/hyperlink" Id="rId25"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Linking fish physiological biomarkers to habitat integrity in the Atlantic Forest</dc:title>
  <dc:creator>Adamastor Coutinho Pinto; Larissa Rafaela Caetano da Silva; Mayara Mirelly da Silva Monteiro; Alice da Silva Barros; Enelise Marcelle Amado; Elvio Sergio Figueredo Medeiros</dc:creator>
  <dc:language>en-US</dc:language>
  <cp:keywords>Ecological Health, Physiological Stress</cp:keywords>
  <dcterms:created xsi:type="dcterms:W3CDTF">2026-08-08T20:39:10Z</dcterms:created>
  <dcterms:modified xsi:type="dcterms:W3CDTF">2026-08-08T20:39:10Z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2026-08-08</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execute">
    <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subtitle">
    <vt:lpwstr>Biological Conservation  OR  Neotropical Ichthyology</vt:lpwstr>
  </property>
  <property fmtid="{D5CDD505-2E9C-101B-9397-08002B2CF9AE}" pid="22" name="toc-title">
    <vt:lpwstr>Table of contents</vt:lpwstr>
  </property>
</Properties>
</file>