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3.png" ContentType="image/png"/>
  <Override PartName="/word/media/rId84.png" ContentType="image/png"/>
  <Override PartName="/word/media/rId89.png" ContentType="image/png"/>
  <Override PartName="/word/media/rId94.png" ContentType="image/png"/>
  <Override PartName="/word/media/rId99.png" ContentType="image/png"/>
  <Override PartName="/word/media/rId104.png" ContentType="image/png"/>
  <Override PartName="/word/media/rId109.png" ContentType="image/png"/>
  <Override PartName="/word/media/rId114.png" ContentType="image/png"/>
  <Override PartName="/word/media/rId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Physiological biomarkers of stream fish from the Atlantic Forest within a Conservation Unit and its surroundings</w:t>
      </w:r>
    </w:p>
    <w:p>
      <w:pPr>
        <w:pStyle w:val="Author"/>
      </w:pPr>
      <w:r>
        <w:t xml:space="preserve">Adamastor Coutinho Pinto</w:t>
      </w:r>
    </w:p>
    <w:p>
      <w:pPr>
        <w:pStyle w:val="Author"/>
      </w:pPr>
      <w:r>
        <w:t xml:space="preserve">Mayara Mirelly da Silva Monteiro</w:t>
      </w:r>
    </w:p>
    <w:p>
      <w:pPr>
        <w:pStyle w:val="Author"/>
      </w:pPr>
      <w:r>
        <w:t xml:space="preserve">Alice da Silva Barros</w:t>
      </w:r>
    </w:p>
    <w:p>
      <w:pPr>
        <w:pStyle w:val="Author"/>
      </w:pPr>
      <w:r>
        <w:t xml:space="preserve">Larissa Rafaela Caetano da Silva</w:t>
      </w:r>
    </w:p>
    <w:p>
      <w:pPr>
        <w:pStyle w:val="Author"/>
      </w:pPr>
      <w:r>
        <w:t xml:space="preserve">Enelise Marcelle Amado</w:t>
      </w:r>
    </w:p>
    <w:p>
      <w:pPr>
        <w:pStyle w:val="Author"/>
      </w:pPr>
      <w:r>
        <w:t xml:space="preserve">Elvio Sergio Figueredo Medeiros</w:t>
      </w:r>
    </w:p>
    <w:p>
      <w:pPr>
        <w:pStyle w:val="Date"/>
      </w:pPr>
      <w:r>
        <w:t xml:space="preserve">2026-03-11</w:t>
      </w:r>
    </w:p>
    <w:p>
      <w:pPr>
        <w:pStyle w:val="AbstractTitle"/>
      </w:pPr>
      <w:r>
        <w:t xml:space="preserve">Abstract</w:t>
      </w:r>
    </w:p>
    <w:p>
      <w:pPr>
        <w:pStyle w:val="Abstract"/>
      </w:pPr>
      <w:r>
        <w:t xml:space="preserve">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1"/>
      </w:pPr>
      <w:r>
        <w:t xml:space="preserve">1. Introduction</w:t>
      </w:r>
    </w:p>
    <w:p>
      <w:pPr>
        <w:pStyle w:val="FirstParagraph"/>
      </w:pPr>
      <w:r>
        <w:t xml:space="preserve">The devastation of rivers and streams from the Atlantic forest, biogeographical province</w:t>
      </w:r>
      <w:r>
        <w:t xml:space="preserve"> </w:t>
      </w:r>
      <w:r>
        <w:t xml:space="preserve">(Udvardy, 1975)</w:t>
      </w:r>
      <w:r>
        <w:t xml:space="preserve"> </w:t>
      </w:r>
      <w:r>
        <w:t xml:space="preserve">included in the list of the world’s Hotspots (high biodiversity rates, endemism and anthropic pressure -</w:t>
      </w:r>
      <w:r>
        <w:t xml:space="preserve"> </w:t>
      </w:r>
      <w:r>
        <w:t xml:space="preserve">(Myers et al., 2000)</w:t>
      </w:r>
      <w:r>
        <w:t xml:space="preserve">, is caused mainly by pollution, deforestation, damming and introduction of exotic species. Pollution decreases abundance and richness of local fish, being aggravated by loss of riparian vegetation when there is deforestation or change of river course due to damming. These population reductions are also caused in the presence of invasive species, introduced accidentally or intentionally by humans, modifying the original competition/prey relation</w:t>
      </w:r>
      <w:r>
        <w:t xml:space="preserve"> </w:t>
      </w:r>
      <w:r>
        <w:t xml:space="preserve">(Miranda, 2012)</w:t>
      </w:r>
      <w:r>
        <w:t xml:space="preserve">. With about 2-5% of the original vegetation preserved in Atlantic forest, one of the main strategies for conserving and preserving biodiversity from this and other biogeographical provinces is the delimitation of areas known as Conservative Units (CU), regulated in Brazil by the National System of Conservative Unit (SNUC) and implemented by Chico Mendes Institute (ICMBio) to be managed at federal, state and local levels</w:t>
      </w:r>
      <w:r>
        <w:t xml:space="preserve"> </w:t>
      </w:r>
      <w:r>
        <w:t xml:space="preserve">(Arruda et al., 2013; Miranda, 2012)</w:t>
      </w:r>
      <w:r>
        <w:t xml:space="preserve">.</w:t>
      </w:r>
    </w:p>
    <w:p>
      <w:pPr>
        <w:pStyle w:val="BodyText"/>
      </w:pPr>
      <w:r>
        <w:t xml:space="preserve">Ecological data, such as richness and species abundance, are the most studied and represent how aquatic animals deal with general pollution, but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As physiological, morphological and behavioural aspects represent how their functions are performed in the ecosystem, they are nominated functional characteristics, commonly studied by parameters of strength and resilience. Changes on these parameters reflect environmental changes that could not be seen by parameters of taxonomical diversity, which happens when different species possess similar functions, highlighting how these, still scarce studies, can be promising</w:t>
      </w:r>
      <w:r>
        <w:t xml:space="preserve"> </w:t>
      </w:r>
      <w:r>
        <w:t xml:space="preserve">(Júnior, 2021)</w:t>
      </w:r>
      <w:r>
        <w:t xml:space="preserve">. Taking it into account, as also the relevance of Conservation Units for the Atlantic forest species, this study brings up the possibility to compare the ecological health from these waterbodies by identifying physiological stress markers from the fish within and near CU’s.</w:t>
      </w:r>
    </w:p>
    <w:p>
      <w:pPr>
        <w:pStyle w:val="BodyText"/>
      </w:pPr>
      <w:r>
        <w:t xml:space="preserve">One of the main physiological functions affected by pollutants (such as pesticides, heavy metals, drugs and microplastics) is the osmoregulation one, that, as well as the pH control, is predominantly done by gills. Being also critical to gas exchange, ionic regulation and nitrogen excretion, its functions are partially performed by hormonal control of blood flow (carried out by catecholamines, which reduce vascular resistance in the gills and increase blood flow in the efferent artery via beta and alpha-adrenoreceptors, in that order) and mainly by the transport of ions, probably made in the chloride cells from the filament epithelium, that possess transport enzymes called sodium/potassium-dependent ATPases</w:t>
      </w:r>
      <w:r>
        <w:t xml:space="preserve"> </w:t>
      </w:r>
      <w:r>
        <w:t xml:space="preserve">(Evans, 1987)</w:t>
      </w:r>
      <w:r>
        <w:t xml:space="preserve">.</w:t>
      </w:r>
    </w:p>
    <w:p>
      <w:pPr>
        <w:pStyle w:val="BodyText"/>
      </w:pPr>
      <w:r>
        <w:t xml:space="preserve">The action of toxic compounds in the gills leads to a series of histopathologies in response to stress, such as necrosis and epithelial desquamation, frequently generated by flaws in cellular osmoregulation due to ATPase inhibition and physiological failure of the chloride cells or gills as a whole. The effects of this action on the organism can be measured through a few blood markers, mainly lower levels of Chlorine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The hydration level of gills and muscles is another physiological parameter tied to the animal’s capacity of dealing with salinity variation, and, for that, suffers mensurable effects from the action of toxic compounds in the environment. This active control parameter was suggested by</w:t>
      </w:r>
      <w:r>
        <w:t xml:space="preserve"> </w:t>
      </w:r>
      <w:r>
        <w:t xml:space="preserve">Ayrapetyan (2012)</w:t>
      </w:r>
      <w:r>
        <w:t xml:space="preserve"> </w:t>
      </w:r>
      <w:r>
        <w:t xml:space="preserve">as a universal biomarker for detecting pollution in the environment, being upheld by</w:t>
      </w:r>
      <w:r>
        <w:t xml:space="preserve"> </w:t>
      </w:r>
      <w:r>
        <w:t xml:space="preserve">David et al. (2018)</w:t>
      </w:r>
      <w:r>
        <w:t xml:space="preserve"> </w:t>
      </w:r>
      <w:r>
        <w:t xml:space="preserve">in a study with osmoconforming and euryhaline oysters under effect of different - but common - levels of salinity, and, more discretely, by</w:t>
      </w:r>
      <w:r>
        <w:t xml:space="preserve"> </w:t>
      </w:r>
      <w:r>
        <w:t xml:space="preserve">Sabae &amp; Mohamed (2015)</w:t>
      </w:r>
      <w:r>
        <w:t xml:space="preserve"> </w:t>
      </w:r>
      <w:r>
        <w:t xml:space="preserve">in a study with freshwater fish.</w:t>
      </w:r>
    </w:p>
    <w:p>
      <w:pPr>
        <w:pStyle w:val="BodyText"/>
      </w:pPr>
      <w:r>
        <w:t xml:space="preserve">Another relevant biomarker is the abnormal activity of the multixenobiotic resistance (MXR) phenotype, an innate gene of many aquatic species that is expressed in organs such as gills, kidneys, blood-brain barrier, liver and pancreas. It is activated by exposure to pollutants and results in the production of P-glycoproteins (Pgp) in the membrane, which act to remove endogenous or exogenous toxic compounds out of the cell, protecting DNA and inducing its excretion. Although the MXR activity explains how some species are more resistant to the presence of pollutants, some substances can reverse its effectiveness, being called chemosensitizers (or simply MXR-inhibitors). Those compounds can cancel the Pgp activity, alter the mechanism regulation, saturate or even reverse MXR activity, acting, in this case, by saturating the Pgp pump and allowing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(Smital &amp; Kurelec, 1998)</w:t>
      </w:r>
      <w:r>
        <w:t xml:space="preserve">.</w:t>
      </w:r>
    </w:p>
    <w:p>
      <w:pPr>
        <w:pStyle w:val="BodyText"/>
      </w:pPr>
      <w:r>
        <w:t xml:space="preserve">The hypothesis of markers linked to physiological stress of fish providing evidence of the environmental 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w:t>
      </w:r>
      <w:hyperlink w:anchor="fig-fig.1">
        <w:r>
          <w:rPr>
            <w:rStyle w:val="Hyperlink"/>
          </w:rPr>
          <w:t xml:space="preserve">Fig. 1</w:t>
        </w:r>
      </w:hyperlink>
      <w:r>
        <w:t xml:space="preserve">).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 Ministério do Meio Ambiente, n.d.)</w:t>
      </w:r>
      <w:r>
        <w:t xml:space="preserve">.</w:t>
      </w:r>
    </w:p>
    <w:p>
      <w:pPr>
        <w:pStyle w:val="BodyText"/>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r>
        <w:t xml:space="preserve"> </w:t>
      </w:r>
      <w:r>
        <w:t xml:space="preserve">(Serra, 2010)</w:t>
      </w:r>
      <w:r>
        <w:t xml:space="preserve">.</w:t>
      </w:r>
    </w:p>
    <w:p>
      <w:pPr>
        <w:pStyle w:val="BodyText"/>
      </w:pPr>
      <w:r>
        <w:t xml:space="preserve">The identification of physiological stress biomarkers in the collected fish aims to evaluate the ecological health of sites inside and surrounding the CU, through quantitative comparison of the influence of anthropogenic action with data from a legally protected area (statistical analysis made in the integrated programming environment R and R Studio -</w:t>
      </w:r>
      <w:r>
        <w:t xml:space="preserve"> </w:t>
      </w:r>
      <w:r>
        <w:t xml:space="preserve">(R Core Team, 2017; RStudio Team, n.d.)</w:t>
      </w:r>
      <w:r>
        <w:t xml:space="preserve">). This promotes a more tangible insight in contrast with other scientific papers that only make qualitative assessments of Conservative Units, and also using more specific markers than articles that only explore the ecological consequences of pollution exposure.</w:t>
      </w:r>
    </w:p>
    <w:bookmarkEnd w:id="20"/>
    <w:bookmarkStart w:id="25" w:name="material-and-methods"/>
    <w:p>
      <w:pPr>
        <w:pStyle w:val="Heading1"/>
      </w:pPr>
      <w:r>
        <w:t xml:space="preserve">2. Material and Methods</w:t>
      </w:r>
    </w:p>
    <w:bookmarkStart w:id="21" w:name="collection-and-animal-maintenance"/>
    <w:p>
      <w:pPr>
        <w:pStyle w:val="Heading2"/>
      </w:pPr>
      <w:r>
        <w:t xml:space="preserve">2.1 Collection and animal maintenance</w:t>
      </w:r>
    </w:p>
    <w:p>
      <w:pPr>
        <w:pStyle w:val="FirstParagraph"/>
      </w:pPr>
      <w:r>
        <w:t xml:space="preserve">The sampling sites (</w:t>
      </w:r>
      <w:hyperlink w:anchor="fig-fig.1">
        <w:r>
          <w:rPr>
            <w:rStyle w:val="Hyperlink"/>
          </w:rPr>
          <w:t xml:space="preserve">Fig. 1</w:t>
        </w:r>
      </w:hyperlink>
      <w:r>
        <w:t xml:space="preserve">) were cataloged and numbered by the co-author of this paper (Prof. Dr. Elvio Sérgio Figueredo Medeiros) in previous works, using three data points inside the Reserva Biológica Guaribas (n=92 fish collected) and three in the surrounding area (n=97), numbered, in order, P5 (n=29), P6 (n=31) and P7 (n=32), and P8 (n=28), P9 (n=35) and P10 (n=34), between October and November 2023.</w:t>
      </w:r>
    </w:p>
    <w:p>
      <w:pPr>
        <w:pStyle w:val="BodyText"/>
      </w:pPr>
      <w:r>
        <w:t xml:space="preserve">In order to uniform the data, only fish from Hemigrammus Gill 1858</w:t>
      </w:r>
      <w:r>
        <w:t xml:space="preserve"> </w:t>
      </w:r>
      <w:r>
        <w:t xml:space="preserve">(Eschmeyer et al., 2016)</w:t>
      </w:r>
      <w:r>
        <w:t xml:space="preserve"> </w:t>
      </w:r>
      <w:r>
        <w:t xml:space="preserve">genera were analyzed, being found in every sampling site and in abundance, captured in the shallow waters of streams using a hand net in sweeping motion. To facilitate handling, the specimens were transported in plastic bags with air and local water to the Animal Ecophysiology Laboratory (LEFA) from UEPB - campus V (João Pessoa, Brazil). To analyze the osmoregulatory function of the fish, blood samples were collected from some specimens (38 fish from inside the reserve and 40 from outside, a total of 78). For that, those specimens were anesthetized with eugenol, and a blood aliquot was obtained by puncturing the heart using a pipette with a heparinized tip. The samples were kept on ice, and plasma was subsequently separated from cells by centrifugation. Due to low volume of obtained plasma, because of the small size of fish, the chlorine ions assay could not be performed. From those same specimens, gill and muscle were collected in order to calculate the moisture content of tissues. Plasma and tissues samples were stored in a freezer at -20°C until the analyses were performed. The other part of collected specimens (54 fish from inside the reserve and 57 from outside, a total of 111) was used in the multixenobiotic resistance (MXR) phenotype assay.</w:t>
      </w:r>
    </w:p>
    <w:p>
      <w:pPr>
        <w:pStyle w:val="BodyText"/>
      </w:pPr>
      <w:r>
        <w:t xml:space="preserve">Abiotic data, such as water temperature, dissolved oxygen, pH and multiple nutrients were simultaneously collected with the fish, allowing additional statistical analysis that may point out possible correlations between physiological biotic data and these environment components (analysis performed in the integrated programming environment R and R Studio -</w:t>
      </w:r>
      <w:r>
        <w:t xml:space="preserve"> </w:t>
      </w:r>
      <w:r>
        <w:t xml:space="preserve">RStudio Team (n.d.)</w:t>
      </w:r>
      <w:r>
        <w:t xml:space="preserve">;</w:t>
      </w:r>
      <w:r>
        <w:t xml:space="preserve"> </w:t>
      </w:r>
      <w:r>
        <w:t xml:space="preserve">R Core Team (2017)</w:t>
      </w:r>
      <w:r>
        <w:t xml:space="preserve">).</w:t>
      </w:r>
    </w:p>
    <w:bookmarkEnd w:id="21"/>
    <w:bookmarkStart w:id="22" w:name="plasmatic-protein-dosage"/>
    <w:p>
      <w:pPr>
        <w:pStyle w:val="Heading2"/>
      </w:pPr>
      <w:r>
        <w:t xml:space="preserve">2.2 Plasmatic protein dosage</w:t>
      </w:r>
    </w:p>
    <w:p>
      <w:pPr>
        <w:pStyle w:val="FirstParagraph"/>
      </w:pPr>
      <w:r>
        <w:t xml:space="preserve">The plasma samples were defrosted and an aliquot of 2 µL of each was diluted with 8 µL of distilled water (⅕ proportion) to perform the total protein dosage by the</w:t>
      </w:r>
      <w:r>
        <w:t xml:space="preserve"> </w:t>
      </w:r>
      <w:r>
        <w:t xml:space="preserve">Bradford (1976)</w:t>
      </w:r>
      <w:r>
        <w:t xml:space="preserve"> </w:t>
      </w:r>
      <w:r>
        <w:t xml:space="preserve">method, in which the dye was also diluted in ⅕ proportion.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 and a Kruskal-Wallis test was performed to determine the existence of differences between the averages of the points inside and outside the Reserva Biológica Guaribas, calculated in the R Studio program</w:t>
      </w:r>
      <w:r>
        <w:t xml:space="preserve"> </w:t>
      </w:r>
      <w:r>
        <w:t xml:space="preserve">(RStudio Team, n.d.)</w:t>
      </w:r>
      <w:r>
        <w:t xml:space="preserve">. Next, an analysis of variance (ANOVA) was performed to determine where there were differences between each sampling site.</w:t>
      </w:r>
    </w:p>
    <w:bookmarkEnd w:id="22"/>
    <w:bookmarkStart w:id="23" w:name="moisture-content"/>
    <w:p>
      <w:pPr>
        <w:pStyle w:val="Heading2"/>
      </w:pPr>
      <w:r>
        <w:t xml:space="preserve">2.3 Moisture content</w:t>
      </w:r>
    </w:p>
    <w:p>
      <w:pPr>
        <w:pStyle w:val="FirstParagraph"/>
      </w:pPr>
      <w:r>
        <w:t xml:space="preserve">The tissues samples (gill and muscle) were individually stored in 2 mL eppendorf tubes (previously weighted), initially weighted with the tissue moist, and, after 24 hours inside a 60°C oven, weighted with the dry tissue. The results were transferred to a spreadsheet, where it was calculated the percentual content of tissue water content and the average valor for each sampling site. A T-test (gill) or Krustal-Wallis test (muscle) was performed to determine if there were significant differences between the average values inside and outside the Conservative Unity, followed by an ANOVA to determine the difference between all six sampling sites.</w:t>
      </w:r>
    </w:p>
    <w:bookmarkEnd w:id="23"/>
    <w:bookmarkStart w:id="24" w:name="mxr-phenotype-activity"/>
    <w:p>
      <w:pPr>
        <w:pStyle w:val="Heading2"/>
      </w:pPr>
      <w:r>
        <w:t xml:space="preserve">2.4 MXR phenotype activity</w:t>
      </w:r>
    </w:p>
    <w:p>
      <w:pPr>
        <w:pStyle w:val="FirstParagraph"/>
      </w:pPr>
      <w:r>
        <w:t xml:space="preserve">The multixenobiotic resistance (MXR) gene activity was analysed through the rhodamine B accumulation assay adapted from</w:t>
      </w:r>
      <w:r>
        <w:t xml:space="preserve"> </w:t>
      </w:r>
      <w:r>
        <w:t xml:space="preserve">Smital &amp; Kurelec (1998)</w:t>
      </w:r>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 and a Kruskal-Wallis test was calculated in R Studio</w:t>
      </w:r>
      <w:r>
        <w:t xml:space="preserve"> </w:t>
      </w:r>
      <w:r>
        <w:t xml:space="preserve">(RStudio Team, n.d.)</w:t>
      </w:r>
      <w:r>
        <w:t xml:space="preserve"> </w:t>
      </w:r>
      <w:r>
        <w:t xml:space="preserve">to determine if there were differences between the averages inside and outside the Conservative Unity, followed by an ANOVA to visualize the differences between each sampling site.</w:t>
      </w:r>
    </w:p>
    <w:bookmarkEnd w:id="24"/>
    <w:bookmarkEnd w:id="25"/>
    <w:bookmarkStart w:id="30" w:name="results"/>
    <w:p>
      <w:pPr>
        <w:pStyle w:val="Heading1"/>
      </w:pPr>
      <w:r>
        <w:t xml:space="preserve">3. Results</w:t>
      </w:r>
    </w:p>
    <w:bookmarkStart w:id="26" w:name="plasmatic-protein-dosage-1"/>
    <w:p>
      <w:pPr>
        <w:pStyle w:val="Heading2"/>
      </w:pPr>
      <w:r>
        <w:t xml:space="preserve">3.1 Plasmatic protein dosage</w:t>
      </w:r>
    </w:p>
    <w:p>
      <w:pPr>
        <w:pStyle w:val="FirstParagraph"/>
      </w:pPr>
      <w:r>
        <w:t xml:space="preserve">The average plasmatic protein concentration, parameter that is positively correlated to environmental stress, was of 32,2 mg in the sampling sites within the Reserva Biológica Guaribas (n = 18 plasma samples) and 80,1 mg in the outside sites (n=26), revealing an almost 150% higher concentration in the sites with greater human influence. The total number of plasmatic protein dosages (n=44) was smaller than the total number of collected fish for this part of the analysis (n=78) because of the difficulty on collecting blood from smaller specimens, in addition to the need to collect a minimum amount of plasma required by the Bradford method. After checking the non-normality of variance of the total protein data, a non parametric Kruskal-Wallis test confirmed the existence of statistically significant difference (p-value&lt;0,005) between the data collected from fish inside and outside the Conservative Unity (</w:t>
      </w:r>
      <w:hyperlink w:anchor="fig-fig.2">
        <w:r>
          <w:rPr>
            <w:rStyle w:val="Hyperlink"/>
          </w:rPr>
          <w:t xml:space="preserve">Fig. 2</w:t>
        </w:r>
      </w:hyperlink>
      <w:r>
        <w:t xml:space="preserve">).</w:t>
      </w:r>
    </w:p>
    <w:p>
      <w:pPr>
        <w:pStyle w:val="SourceCode"/>
      </w:pPr>
      <w:r>
        <w:rPr>
          <w:rStyle w:val="FunctionTok"/>
        </w:rPr>
        <w:t xml:space="preserve">library</w:t>
      </w:r>
      <w:r>
        <w:rPr>
          <w:rStyle w:val="NormalTok"/>
        </w:rPr>
        <w:t xml:space="preserve">(readxl) </w:t>
      </w:r>
      <w:r>
        <w:br/>
      </w:r>
      <w:r>
        <w:rPr>
          <w:rStyle w:val="FunctionTok"/>
        </w:rPr>
        <w:t xml:space="preserve">library</w:t>
      </w:r>
      <w:r>
        <w:rPr>
          <w:rStyle w:val="NormalTok"/>
        </w:rPr>
        <w:t xml:space="preserve">(gplots) </w:t>
      </w:r>
      <w:r>
        <w:br/>
      </w:r>
      <w:r>
        <w:rPr>
          <w:rStyle w:val="FunctionTok"/>
        </w:rPr>
        <w:t xml:space="preserve">library</w:t>
      </w:r>
      <w:r>
        <w:rPr>
          <w:rStyle w:val="NormalTok"/>
        </w:rPr>
        <w:t xml:space="preserve">(agricolae)</w:t>
      </w:r>
      <w:r>
        <w:br/>
      </w:r>
      <w:r>
        <w:rPr>
          <w:rStyle w:val="FunctionTok"/>
        </w:rPr>
        <w:t xml:space="preserve">library</w:t>
      </w:r>
      <w:r>
        <w:rPr>
          <w:rStyle w:val="NormalTok"/>
        </w:rPr>
        <w:t xml:space="preserve">(sciplot)</w:t>
      </w:r>
      <w:r>
        <w:br/>
      </w:r>
      <w:r>
        <w:rPr>
          <w:rStyle w:val="FunctionTok"/>
        </w:rPr>
        <w:t xml:space="preserve">library</w:t>
      </w:r>
      <w:r>
        <w:rPr>
          <w:rStyle w:val="NormalTok"/>
        </w:rPr>
        <w:t xml:space="preserve">(PMCMRplus)</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(scales)</w:t>
      </w:r>
      <w:r>
        <w:br/>
      </w:r>
      <w:r>
        <w:rPr>
          <w:rStyle w:val="FunctionTok"/>
        </w:rPr>
        <w:t xml:space="preserve">library</w:t>
      </w:r>
      <w:r>
        <w:rPr>
          <w:rStyle w:val="NormalTok"/>
        </w:rPr>
        <w:t xml:space="preserve">(visreg)</w:t>
      </w:r>
      <w:r>
        <w:br/>
      </w:r>
      <w:r>
        <w:rPr>
          <w:rStyle w:val="FunctionTok"/>
        </w:rPr>
        <w:t xml:space="preserve">citation</w:t>
      </w:r>
      <w:r>
        <w:rPr>
          <w:rStyle w:val="NormalTok"/>
        </w:rPr>
        <w:t xml:space="preserve">()</w:t>
      </w:r>
      <w:r>
        <w:br/>
      </w:r>
      <w:r>
        <w:rPr>
          <w:rStyle w:val="FunctionTok"/>
        </w:rPr>
        <w:t xml:space="preserve">dir</w:t>
      </w:r>
      <w:r>
        <w:rPr>
          <w:rStyle w:val="NormalTok"/>
        </w:rPr>
        <w:t xml:space="preserve">()</w:t>
      </w:r>
      <w:r>
        <w:br/>
      </w:r>
      <w:r>
        <w:rPr>
          <w:rStyle w:val="FunctionTok"/>
        </w:rPr>
        <w:t xml:space="preserve">setwd</w:t>
      </w:r>
      <w:r>
        <w:rPr>
          <w:rStyle w:val="NormalTok"/>
        </w:rPr>
        <w:t xml:space="preserve">(</w:t>
      </w:r>
      <w:r>
        <w:rPr>
          <w:rStyle w:val="StringTok"/>
        </w:rPr>
        <w:t xml:space="preserve">"C:/Users/ellen/Downloads/Manuscritos/mxr23_Q"</w:t>
      </w:r>
      <w:r>
        <w:rPr>
          <w:rStyle w:val="NormalTok"/>
        </w:rPr>
        <w:t xml:space="preserve">)</w:t>
      </w:r>
      <w:r>
        <w:br/>
      </w:r>
      <w:r>
        <w:rPr>
          <w:rStyle w:val="NormalTok"/>
        </w:rPr>
        <w:t xml:space="preserve">tcc</w:t>
      </w:r>
      <w:r>
        <w:rPr>
          <w:rStyle w:val="OtherTok"/>
        </w:rPr>
        <w:t xml:space="preserve">=</w:t>
      </w:r>
      <w:r>
        <w:rPr>
          <w:rStyle w:val="FunctionTok"/>
        </w:rPr>
        <w:t xml:space="preserve">read.csv</w:t>
      </w:r>
      <w:r>
        <w:rPr>
          <w:rStyle w:val="NormalTok"/>
        </w:rPr>
        <w:t xml:space="preserve">(</w:t>
      </w:r>
      <w:r>
        <w:rPr>
          <w:rStyle w:val="StringTok"/>
        </w:rPr>
        <w:t xml:space="preserve">"Dados_TCC.csv"</w:t>
      </w:r>
      <w:r>
        <w:rPr>
          <w:rStyle w:val="NormalTok"/>
        </w:rPr>
        <w:t xml:space="preserve">, </w:t>
      </w:r>
      <w:r>
        <w:rPr>
          <w:rStyle w:val="AttributeTok"/>
        </w:rPr>
        <w:t xml:space="preserve">h=</w:t>
      </w:r>
      <w:r>
        <w:rPr>
          <w:rStyle w:val="NormalTok"/>
        </w:rPr>
        <w:t xml:space="preserve">T, </w:t>
      </w:r>
      <w:r>
        <w:rPr>
          <w:rStyle w:val="AttributeTok"/>
        </w:rPr>
        <w:t xml:space="preserve">stringsAsFactors =</w:t>
      </w:r>
      <w:r>
        <w:rPr>
          <w:rStyle w:val="NormalTok"/>
        </w:rPr>
        <w:t xml:space="preserve"> T, </w:t>
      </w:r>
      <w:r>
        <w:rPr>
          <w:rStyle w:val="AttributeTok"/>
        </w:rPr>
        <w:t xml:space="preserve">dec=</w:t>
      </w:r>
      <w:r>
        <w:rPr>
          <w:rStyle w:val="StringTok"/>
        </w:rPr>
        <w:t xml:space="preserve">","</w:t>
      </w:r>
      <w:r>
        <w:rPr>
          <w:rStyle w:val="NormalTok"/>
        </w:rPr>
        <w:t xml:space="preserve">) </w:t>
      </w:r>
      <w:r>
        <w:br/>
      </w:r>
      <w:r>
        <w:rPr>
          <w:rStyle w:val="CommentTok"/>
        </w:rPr>
        <w:t xml:space="preserve">#TP</w:t>
      </w:r>
      <w:r>
        <w:br/>
      </w:r>
      <w:r>
        <w:rPr>
          <w:rStyle w:val="FunctionTok"/>
        </w:rPr>
        <w:t xml:space="preserve">hist</w:t>
      </w:r>
      <w:r>
        <w:rPr>
          <w:rStyle w:val="NormalTok"/>
        </w:rPr>
        <w:t xml:space="preserve">(tcc</w:t>
      </w:r>
      <w:r>
        <w:rPr>
          <w:rStyle w:val="SpecialCharTok"/>
        </w:rPr>
        <w:t xml:space="preserve">$</w:t>
      </w:r>
      <w:r>
        <w:rPr>
          <w:rStyle w:val="NormalTok"/>
        </w:rPr>
        <w:t xml:space="preserve">TP,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TP,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 um pouco</w:t>
      </w:r>
      <w:r>
        <w:br/>
      </w:r>
      <w:r>
        <w:rPr>
          <w:rStyle w:val="FunctionTok"/>
        </w:rPr>
        <w:t xml:space="preserve">shapiro.test</w:t>
      </w:r>
      <w:r>
        <w:rPr>
          <w:rStyle w:val="NormalTok"/>
        </w:rPr>
        <w:t xml:space="preserve">(tcc</w:t>
      </w:r>
      <w:r>
        <w:rPr>
          <w:rStyle w:val="SpecialCharTok"/>
        </w:rPr>
        <w:t xml:space="preserve">$</w:t>
      </w:r>
      <w:r>
        <w:rPr>
          <w:rStyle w:val="NormalTok"/>
        </w:rPr>
        <w:t xml:space="preserve">TP) </w:t>
      </w:r>
      <w:r>
        <w:rPr>
          <w:rStyle w:val="CommentTok"/>
        </w:rPr>
        <w:t xml:space="preserve">#0,001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#0,000001765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#0,00000002328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15</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Proteins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"(p-value=0,00000002328)"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subsequent ANOVA test confirmed the uniformity of values from the sites inside the reserve (all grouped as</w:t>
      </w:r>
      <w:r>
        <w:t xml:space="preserve"> </w:t>
      </w:r>
      <w:r>
        <w:t xml:space="preserve">“a”</w:t>
      </w:r>
      <w:r>
        <w:t xml:space="preserve">), differently from the outside sites (</w:t>
      </w:r>
      <w:hyperlink w:anchor="fig-fig.3">
        <w:r>
          <w:rPr>
            <w:rStyle w:val="Hyperlink"/>
          </w:rPr>
          <w:t xml:space="preserve">Fig. 3</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#0,00000000000002783 = diferença</w:t>
      </w:r>
      <w:r>
        <w:br/>
      </w:r>
      <w:r>
        <w:rPr>
          <w:rStyle w:val="NormalTok"/>
        </w:rPr>
        <w:t xml:space="preserve">(</w:t>
      </w:r>
      <w:r>
        <w:rPr>
          <w:rStyle w:val="AttributeTok"/>
        </w:rPr>
        <w:t xml:space="preserve">tkPT=</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#a,a,a,c,b,bc #dentro e fora muito mais isolados</w:t>
      </w:r>
      <w:r>
        <w:br/>
      </w:r>
      <w:r>
        <w:rPr>
          <w:rStyle w:val="NormalTok"/>
        </w:rPr>
        <w:t xml:space="preserve"> </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20</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TP,tcc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34</w:t>
      </w:r>
      <w:r>
        <w:rPr>
          <w:rStyle w:val="NormalTok"/>
        </w:rPr>
        <w:t xml:space="preserve">,</w:t>
      </w:r>
      <w:r>
        <w:rPr>
          <w:rStyle w:val="FloatTok"/>
        </w:rPr>
        <w:t xml:space="preserve">35.2</w:t>
      </w:r>
      <w:r>
        <w:rPr>
          <w:rStyle w:val="NormalTok"/>
        </w:rPr>
        <w:t xml:space="preserve">,</w:t>
      </w:r>
      <w:r>
        <w:rPr>
          <w:rStyle w:val="FloatTok"/>
        </w:rPr>
        <w:t xml:space="preserve">35.6</w:t>
      </w:r>
      <w:r>
        <w:rPr>
          <w:rStyle w:val="NormalTok"/>
        </w:rPr>
        <w:t xml:space="preserve">,</w:t>
      </w:r>
      <w:r>
        <w:rPr>
          <w:rStyle w:val="DecValTok"/>
        </w:rPr>
        <w:t xml:space="preserve">98</w:t>
      </w:r>
      <w:r>
        <w:rPr>
          <w:rStyle w:val="NormalTok"/>
        </w:rPr>
        <w:t xml:space="preserve">,</w:t>
      </w:r>
      <w:r>
        <w:rPr>
          <w:rStyle w:val="DecValTok"/>
        </w:rPr>
        <w:t xml:space="preserve">98</w:t>
      </w:r>
      <w:r>
        <w:rPr>
          <w:rStyle w:val="NormalTok"/>
        </w:rPr>
        <w:t xml:space="preserve">,</w:t>
      </w:r>
      <w:r>
        <w:rPr>
          <w:rStyle w:val="FloatTok"/>
        </w:rPr>
        <w:t xml:space="preserve">87.7</w:t>
      </w:r>
      <w:r>
        <w:rPr>
          <w:rStyle w:val="NormalTok"/>
        </w:rPr>
        <w:t xml:space="preserve">)</w:t>
      </w:r>
      <w:r>
        <w:rPr>
          <w:rStyle w:val="SpecialCharTok"/>
        </w:rPr>
        <w:t xml:space="preserve">+</w:t>
      </w:r>
      <w:r>
        <w:rPr>
          <w:rStyle w:val="DecValTok"/>
        </w:rPr>
        <w:t xml:space="preserve">7</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"c"</w:t>
      </w:r>
      <w:r>
        <w:rPr>
          <w:rStyle w:val="NormalTok"/>
        </w:rPr>
        <w:t xml:space="preserve">,</w:t>
      </w:r>
      <w:r>
        <w:rPr>
          <w:rStyle w:val="StringTok"/>
        </w:rPr>
        <w:t xml:space="preserve">"b"</w:t>
      </w:r>
      <w:r>
        <w:rPr>
          <w:rStyle w:val="NormalTok"/>
        </w:rPr>
        <w:t xml:space="preserve">,</w:t>
      </w:r>
      <w:r>
        <w:rPr>
          <w:rStyle w:val="StringTok"/>
        </w:rPr>
        <w:t xml:space="preserve">"bc"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increase of total plasmatic protein concentration in the animals exposed to pollution is consistent with the</w:t>
      </w:r>
      <w:r>
        <w:t xml:space="preserve"> </w:t>
      </w:r>
      <w:r>
        <w:t xml:space="preserve">(Sabae &amp; Mohamed, 2015)</w:t>
      </w:r>
      <w:r>
        <w:t xml:space="preserve"> </w:t>
      </w:r>
      <w:r>
        <w:t xml:space="preserve">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w:t>
      </w:r>
    </w:p>
    <w:bookmarkEnd w:id="26"/>
    <w:bookmarkStart w:id="27" w:name="moisture-content-1"/>
    <w:p>
      <w:pPr>
        <w:pStyle w:val="Heading2"/>
      </w:pPr>
      <w:r>
        <w:t xml:space="preserve">3.2 Moisture content</w:t>
      </w:r>
    </w:p>
    <w:p>
      <w:pPr>
        <w:pStyle w:val="FirstParagraph"/>
      </w:pPr>
      <w:r>
        <w:t xml:space="preserve">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However, through T test (gills, which data had normal variation) and Kruskal-Wallis test (muscle, with non-normal variation data), it was detected statistical difference for both tissues between fish from the sampling sites inside and outside the Guaribas (</w:t>
      </w:r>
      <w:hyperlink w:anchor="fig-fig.4">
        <w:r>
          <w:rPr>
            <w:rStyle w:val="Hyperlink"/>
          </w:rPr>
          <w:t xml:space="preserve">Fig. 4</w:t>
        </w:r>
      </w:hyperlink>
      <w:r>
        <w:t xml:space="preserve">).</w:t>
      </w:r>
    </w:p>
    <w:p>
      <w:pPr>
        <w:pStyle w:val="SourceCode"/>
      </w:pPr>
      <w:r>
        <w:rPr>
          <w:rStyle w:val="CommentTok"/>
        </w:rPr>
        <w:t xml:space="preserve">#TH_B = GMC</w:t>
      </w:r>
      <w:r>
        <w:br/>
      </w:r>
      <w:r>
        <w:rPr>
          <w:rStyle w:val="FunctionTok"/>
        </w:rPr>
        <w:t xml:space="preserve">hist</w:t>
      </w:r>
      <w:r>
        <w:rPr>
          <w:rStyle w:val="NormalTok"/>
        </w:rPr>
        <w:t xml:space="preserve">(tcc</w:t>
      </w:r>
      <w:r>
        <w:rPr>
          <w:rStyle w:val="SpecialCharTok"/>
        </w:rPr>
        <w:t xml:space="preserve">$</w:t>
      </w:r>
      <w:r>
        <w:rPr>
          <w:rStyle w:val="NormalTok"/>
        </w:rPr>
        <w:t xml:space="preserve">GMC,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GMC,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#quase</w:t>
      </w:r>
      <w:r>
        <w:br/>
      </w:r>
      <w:r>
        <w:rPr>
          <w:rStyle w:val="FunctionTok"/>
        </w:rPr>
        <w:t xml:space="preserve">shapiro.test</w:t>
      </w:r>
      <w:r>
        <w:rPr>
          <w:rStyle w:val="NormalTok"/>
        </w:rPr>
        <w:t xml:space="preserve">(tcc</w:t>
      </w:r>
      <w:r>
        <w:rPr>
          <w:rStyle w:val="SpecialCharTok"/>
        </w:rPr>
        <w:t xml:space="preserve">$</w:t>
      </w:r>
      <w:r>
        <w:rPr>
          <w:rStyle w:val="NormalTok"/>
        </w:rPr>
        <w:t xml:space="preserve">GMC) </w:t>
      </w:r>
      <w:r>
        <w:rPr>
          <w:rStyle w:val="CommentTok"/>
        </w:rPr>
        <w:t xml:space="preserve">#0,06 = normal</w:t>
      </w:r>
      <w:r>
        <w:br/>
      </w:r>
      <w:r>
        <w:rPr>
          <w:rStyle w:val="FunctionTok"/>
        </w:rPr>
        <w:t xml:space="preserve">bartlett.test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#0,7455 = homo ###teste t</w:t>
      </w:r>
      <w:r>
        <w:br/>
      </w:r>
      <w:r>
        <w:rPr>
          <w:rStyle w:val="FunctionTok"/>
        </w:rPr>
        <w:t xml:space="preserve">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#0,002728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"p-value=0,002728"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r>
        <w:br/>
      </w:r>
      <w:r>
        <w:br/>
      </w:r>
      <w:r>
        <w:rPr>
          <w:rStyle w:val="CommentTok"/>
        </w:rPr>
        <w:t xml:space="preserve">#MMC</w:t>
      </w:r>
      <w:r>
        <w:br/>
      </w:r>
      <w:r>
        <w:rPr>
          <w:rStyle w:val="FunctionTok"/>
        </w:rPr>
        <w:t xml:space="preserve">hist</w:t>
      </w:r>
      <w:r>
        <w:rPr>
          <w:rStyle w:val="NormalTok"/>
        </w:rPr>
        <w:t xml:space="preserve">(tcc</w:t>
      </w:r>
      <w:r>
        <w:rPr>
          <w:rStyle w:val="SpecialCharTok"/>
        </w:rPr>
        <w:t xml:space="preserve">$</w:t>
      </w:r>
      <w:r>
        <w:rPr>
          <w:rStyle w:val="NormalTok"/>
        </w:rPr>
        <w:t xml:space="preserve">MMC,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w:t>
      </w:r>
      <w:r>
        <w:br/>
      </w:r>
      <w:r>
        <w:rPr>
          <w:rStyle w:val="FunctionTok"/>
        </w:rPr>
        <w:t xml:space="preserve">shapiro.test</w:t>
      </w:r>
      <w:r>
        <w:rPr>
          <w:rStyle w:val="NormalTok"/>
        </w:rPr>
        <w:t xml:space="preserve">(tcc</w:t>
      </w:r>
      <w:r>
        <w:rPr>
          <w:rStyle w:val="SpecialCharTok"/>
        </w:rPr>
        <w:t xml:space="preserve">$</w:t>
      </w:r>
      <w:r>
        <w:rPr>
          <w:rStyle w:val="NormalTok"/>
        </w:rPr>
        <w:t xml:space="preserve">MMC) </w:t>
      </w:r>
      <w:r>
        <w:rPr>
          <w:rStyle w:val="CommentTok"/>
        </w:rPr>
        <w:t xml:space="preserve">#0,002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#0,047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#0,000004813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"Muscle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"p-value=0,000004813"</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ANOVA test demonstrated similarity between data from sites inside ReBio Guaribas (P5, P6 and P7) and P8, and a lesser similarity with P9, that was also close to P10 (</w:t>
      </w:r>
      <w:hyperlink w:anchor="fig-fig.5">
        <w:r>
          <w:rPr>
            <w:rStyle w:val="Hyperlink"/>
          </w:rPr>
          <w:t xml:space="preserve">Fig. 5</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#0,0000004971 = diferença</w:t>
      </w:r>
      <w:r>
        <w:br/>
      </w:r>
      <w:r>
        <w:rPr>
          <w:rStyle w:val="NormalTok"/>
        </w:rPr>
        <w:t xml:space="preserve">(</w:t>
      </w:r>
      <w:r>
        <w:rPr>
          <w:rStyle w:val="AttributeTok"/>
        </w:rPr>
        <w:t xml:space="preserve">tkTHB=</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#a,a,ab,a,bc,c ##P8 próximo aos de dentro, p9 e p10 mais isolados</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GMC,tcc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FloatTok"/>
        </w:rPr>
        <w:t xml:space="preserve">91.3</w:t>
      </w:r>
      <w:r>
        <w:rPr>
          <w:rStyle w:val="NormalTok"/>
        </w:rPr>
        <w:t xml:space="preserve">,</w:t>
      </w:r>
      <w:r>
        <w:rPr>
          <w:rStyle w:val="FloatTok"/>
        </w:rPr>
        <w:t xml:space="preserve">94.3</w:t>
      </w:r>
      <w:r>
        <w:rPr>
          <w:rStyle w:val="NormalTok"/>
        </w:rPr>
        <w:t xml:space="preserve">,</w:t>
      </w:r>
      <w:r>
        <w:rPr>
          <w:rStyle w:val="FloatTok"/>
        </w:rPr>
        <w:t xml:space="preserve">98.1</w:t>
      </w:r>
      <w:r>
        <w:rPr>
          <w:rStyle w:val="NormalTok"/>
        </w:rPr>
        <w:t xml:space="preserve">,</w:t>
      </w:r>
      <w:r>
        <w:rPr>
          <w:rStyle w:val="FloatTok"/>
        </w:rPr>
        <w:t xml:space="preserve">89.1</w:t>
      </w:r>
      <w:r>
        <w:rPr>
          <w:rStyle w:val="NormalTok"/>
        </w:rPr>
        <w:t xml:space="preserve">,</w:t>
      </w:r>
      <w:r>
        <w:rPr>
          <w:rStyle w:val="FloatTok"/>
        </w:rPr>
        <w:t xml:space="preserve">97.1</w:t>
      </w:r>
      <w:r>
        <w:rPr>
          <w:rStyle w:val="NormalTok"/>
        </w:rPr>
        <w:t xml:space="preserve">,</w:t>
      </w:r>
      <w:r>
        <w:rPr>
          <w:rStyle w:val="FloatTok"/>
        </w:rPr>
        <w:t xml:space="preserve">97.9</w:t>
      </w:r>
      <w:r>
        <w:rPr>
          <w:rStyle w:val="NormalTok"/>
        </w:rPr>
        <w:t xml:space="preserve">)</w:t>
      </w:r>
      <w:r>
        <w:rPr>
          <w:rStyle w:val="SpecialCharTok"/>
        </w:rPr>
        <w:t xml:space="preserve">+</w:t>
      </w:r>
      <w:r>
        <w:rPr>
          <w:rStyle w:val="DecValTok"/>
        </w:rPr>
        <w:t xml:space="preserve">3</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"ab"</w:t>
      </w:r>
      <w:r>
        <w:rPr>
          <w:rStyle w:val="NormalTok"/>
        </w:rPr>
        <w:t xml:space="preserve">,</w:t>
      </w:r>
      <w:r>
        <w:rPr>
          <w:rStyle w:val="StringTok"/>
        </w:rPr>
        <w:t xml:space="preserve">"a"</w:t>
      </w:r>
      <w:r>
        <w:rPr>
          <w:rStyle w:val="NormalTok"/>
        </w:rPr>
        <w:t xml:space="preserve">,</w:t>
      </w:r>
      <w:r>
        <w:rPr>
          <w:rStyle w:val="StringTok"/>
        </w:rPr>
        <w:t xml:space="preserve">"bc"</w:t>
      </w:r>
      <w:r>
        <w:rPr>
          <w:rStyle w:val="NormalTok"/>
        </w:rPr>
        <w:t xml:space="preserve">,</w:t>
      </w:r>
      <w:r>
        <w:rPr>
          <w:rStyle w:val="StringTok"/>
        </w:rPr>
        <w:t xml:space="preserve">"c"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w:t>
      </w:r>
    </w:p>
    <w:bookmarkEnd w:id="27"/>
    <w:bookmarkStart w:id="28" w:name="mxr-phenotype-activity-1"/>
    <w:p>
      <w:pPr>
        <w:pStyle w:val="Heading2"/>
      </w:pPr>
      <w:r>
        <w:t xml:space="preserve">3.3 MXR phenotype activity</w:t>
      </w:r>
    </w:p>
    <w:p>
      <w:pPr>
        <w:pStyle w:val="FirstParagraph"/>
      </w:pPr>
      <w:r>
        <w:t xml:space="preserve">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w:t>
      </w:r>
      <w:r>
        <w:t xml:space="preserve"> </w:t>
      </w:r>
      <w:r>
        <w:t xml:space="preserve">Kurelec et al. (2000)</w:t>
      </w:r>
      <w:r>
        <w:t xml:space="preserve">.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w:t>
      </w:r>
      <w:r>
        <w:t xml:space="preserve"> </w:t>
      </w:r>
      <w:r>
        <w:t xml:space="preserve">(Smital et al., 2004)</w:t>
      </w:r>
      <w:r>
        <w:t xml:space="preserve"> </w:t>
      </w:r>
      <w:r>
        <w:t xml:space="preserve">Despite the unexpected result, the variance difference between data from the MXR phenotype activity inside and outside the ReBio Guaribas (confirmed by the Kruskal-Wallis test and illustrated in</w:t>
      </w:r>
      <w:r>
        <w:t xml:space="preserve"> </w:t>
      </w:r>
      <w:hyperlink w:anchor="fig-fig.6">
        <w:r>
          <w:rPr>
            <w:rStyle w:val="Hyperlink"/>
          </w:rPr>
          <w:t xml:space="preserve">Fig.6</w:t>
        </w:r>
      </w:hyperlink>
      <w:r>
        <w:t xml:space="preserve">)</w:t>
      </w:r>
    </w:p>
    <w:p>
      <w:pPr>
        <w:pStyle w:val="SourceCode"/>
      </w:pPr>
      <w:r>
        <w:rPr>
          <w:rStyle w:val="CommentTok"/>
        </w:rPr>
        <w:t xml:space="preserve">#MXR</w:t>
      </w:r>
      <w:r>
        <w:br/>
      </w:r>
      <w:r>
        <w:rPr>
          <w:rStyle w:val="FunctionTok"/>
        </w:rPr>
        <w:t xml:space="preserve">hist</w:t>
      </w:r>
      <w:r>
        <w:rPr>
          <w:rStyle w:val="NormalTok"/>
        </w:rPr>
        <w:t xml:space="preserve">(tcc</w:t>
      </w:r>
      <w:r>
        <w:rPr>
          <w:rStyle w:val="SpecialCharTok"/>
        </w:rPr>
        <w:t xml:space="preserve">$</w:t>
      </w:r>
      <w:r>
        <w:rPr>
          <w:rStyle w:val="NormalTok"/>
        </w:rPr>
        <w:t xml:space="preserve">MXR,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MXR,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#não parece</w:t>
      </w:r>
      <w:r>
        <w:br/>
      </w:r>
      <w:r>
        <w:rPr>
          <w:rStyle w:val="FunctionTok"/>
        </w:rPr>
        <w:t xml:space="preserve">shapiro.test</w:t>
      </w:r>
      <w:r>
        <w:rPr>
          <w:rStyle w:val="NormalTok"/>
        </w:rPr>
        <w:t xml:space="preserve">(tcc</w:t>
      </w:r>
      <w:r>
        <w:rPr>
          <w:rStyle w:val="SpecialCharTok"/>
        </w:rPr>
        <w:t xml:space="preserve">$</w:t>
      </w:r>
      <w:r>
        <w:rPr>
          <w:rStyle w:val="NormalTok"/>
        </w:rPr>
        <w:t xml:space="preserve">MXR) </w:t>
      </w:r>
      <w:r>
        <w:rPr>
          <w:rStyle w:val="CommentTok"/>
        </w:rPr>
        <w:t xml:space="preserve">#0,0000038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#0,000264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#0,0000000000005607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6400</w:t>
      </w:r>
      <w:r>
        <w:rPr>
          <w:rStyle w:val="NormalTok"/>
        </w:rPr>
        <w:t xml:space="preserve">,</w:t>
      </w:r>
      <w:r>
        <w:rPr>
          <w:rStyle w:val="DecValTok"/>
        </w:rPr>
        <w:t xml:space="preserve">151000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"(p-value=0,0000000000005607)"</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was also the most conclusive when analysed by ANOVA test, being the only physiological parameter that shows total uniformity for both relationship with the reserve (</w:t>
      </w:r>
      <w:hyperlink w:anchor="fig-fig.7">
        <w:r>
          <w:rPr>
            <w:rStyle w:val="Hyperlink"/>
          </w:rPr>
          <w:t xml:space="preserve">Fig. 7</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#0,0000000000005 = diferença</w:t>
      </w:r>
      <w:r>
        <w:br/>
      </w:r>
      <w:r>
        <w:rPr>
          <w:rStyle w:val="NormalTok"/>
        </w:rPr>
        <w:t xml:space="preserve">(</w:t>
      </w:r>
      <w:r>
        <w:rPr>
          <w:rStyle w:val="AttributeTok"/>
        </w:rPr>
        <w:t xml:space="preserve">tkMXR=</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#a,a,a,b,b,b #dentro e fora 100% isolados</w:t>
      </w:r>
      <w:r>
        <w:br/>
      </w:r>
      <w:r>
        <w:br/>
      </w:r>
      <w:r>
        <w:rPr>
          <w:rStyle w:val="NormalTok"/>
        </w:rPr>
        <w:t xml:space="preserve">dunnMXR</w:t>
      </w:r>
      <w:r>
        <w:rPr>
          <w:rStyle w:val="OtherTok"/>
        </w:rPr>
        <w:t xml:space="preserve">=</w:t>
      </w:r>
      <w:r>
        <w:rPr>
          <w:rStyle w:val="FunctionTok"/>
        </w:rPr>
        <w:t xml:space="preserve">kwAllPairsDunnTest</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br/>
      </w:r>
      <w:r>
        <w:rPr>
          <w:rStyle w:val="FunctionTok"/>
        </w:rPr>
        <w:t xml:space="preserve">summary</w:t>
      </w:r>
      <w:r>
        <w:rPr>
          <w:rStyle w:val="NormalTok"/>
        </w:rPr>
        <w:t xml:space="preserve">(dunnMXR) </w:t>
      </w:r>
      <w:r>
        <w:rPr>
          <w:rStyle w:val="CommentTok"/>
        </w:rPr>
        <w:t xml:space="preserve">#ad,b,ab,c,c,cd</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4000</w:t>
      </w:r>
      <w:r>
        <w:rPr>
          <w:rStyle w:val="NormalTok"/>
        </w:rPr>
        <w:t xml:space="preserve">,</w:t>
      </w:r>
      <w:r>
        <w:rPr>
          <w:rStyle w:val="DecValTok"/>
        </w:rPr>
        <w:t xml:space="preserve">165000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MXR,tcc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68400</w:t>
      </w:r>
      <w:r>
        <w:rPr>
          <w:rStyle w:val="NormalTok"/>
        </w:rPr>
        <w:t xml:space="preserve">,</w:t>
      </w:r>
      <w:r>
        <w:rPr>
          <w:rStyle w:val="DecValTok"/>
        </w:rPr>
        <w:t xml:space="preserve">31371</w:t>
      </w:r>
      <w:r>
        <w:rPr>
          <w:rStyle w:val="NormalTok"/>
        </w:rPr>
        <w:t xml:space="preserve">,</w:t>
      </w:r>
      <w:r>
        <w:rPr>
          <w:rStyle w:val="DecValTok"/>
        </w:rPr>
        <w:t xml:space="preserve">44811</w:t>
      </w:r>
      <w:r>
        <w:rPr>
          <w:rStyle w:val="NormalTok"/>
        </w:rPr>
        <w:t xml:space="preserve">,</w:t>
      </w:r>
      <w:r>
        <w:rPr>
          <w:rStyle w:val="DecValTok"/>
        </w:rPr>
        <w:t xml:space="preserve">88000</w:t>
      </w:r>
      <w:r>
        <w:rPr>
          <w:rStyle w:val="NormalTok"/>
        </w:rPr>
        <w:t xml:space="preserve">,</w:t>
      </w:r>
      <w:r>
        <w:rPr>
          <w:rStyle w:val="DecValTok"/>
        </w:rPr>
        <w:t xml:space="preserve">150658</w:t>
      </w:r>
      <w:r>
        <w:rPr>
          <w:rStyle w:val="NormalTok"/>
        </w:rPr>
        <w:t xml:space="preserve">,</w:t>
      </w:r>
      <w:r>
        <w:rPr>
          <w:rStyle w:val="DecValTok"/>
        </w:rPr>
        <w:t xml:space="preserve">121050</w:t>
      </w:r>
      <w:r>
        <w:rPr>
          <w:rStyle w:val="NormalTok"/>
        </w:rPr>
        <w:t xml:space="preserve">)</w:t>
      </w:r>
      <w:r>
        <w:rPr>
          <w:rStyle w:val="SpecialCharTok"/>
        </w:rPr>
        <w:t xml:space="preserve">+</w:t>
      </w:r>
      <w:r>
        <w:rPr>
          <w:rStyle w:val="DecValTok"/>
        </w:rPr>
        <w:t xml:space="preserve">10000</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AttributeTok"/>
        </w:rPr>
        <w:t xml:space="preserve">cex=</w:t>
      </w:r>
      <w:r>
        <w:rPr>
          <w:rStyle w:val="DecValTok"/>
        </w:rPr>
        <w:t xml:space="preserve">1</w:t>
      </w:r>
      <w:r>
        <w:rPr>
          <w:rStyle w:val="NormalTok"/>
        </w:rPr>
        <w:t xml:space="preserve">)</w:t>
      </w:r>
    </w:p>
    <w:bookmarkEnd w:id="28"/>
    <w:bookmarkStart w:id="29" w:name="abiotic-data"/>
    <w:p>
      <w:pPr>
        <w:pStyle w:val="Heading2"/>
      </w:pPr>
      <w:r>
        <w:t xml:space="preserve">3.4 Abiotic data</w:t>
      </w:r>
    </w:p>
    <w:p>
      <w:pPr>
        <w:pStyle w:val="FirstParagraph"/>
      </w:pPr>
      <w:r>
        <w:t xml:space="preserve">The abiotic data from every sampling site water was measured and reunited in Tab. 1. The abnormal proportion of ammonia indicates the presence of effluents in the water outside the Reserva Biológica Guaribas, and, as discussed by</w:t>
      </w:r>
      <w:r>
        <w:t xml:space="preserve"> </w:t>
      </w:r>
      <w:r>
        <w:t xml:space="preserve">(Piedras et al., 2006)</w:t>
      </w:r>
      <w:r>
        <w:t xml:space="preserve">,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p>
    <w:bookmarkEnd w:id="29"/>
    <w:bookmarkEnd w:id="30"/>
    <w:bookmarkStart w:id="31" w:name="discussion"/>
    <w:p>
      <w:pPr>
        <w:pStyle w:val="Heading1"/>
      </w:pPr>
      <w:r>
        <w:t xml:space="preserve">4. Discussion</w:t>
      </w:r>
    </w:p>
    <w:p>
      <w:pPr>
        <w:pStyle w:val="FirstParagraph"/>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w:t>
      </w:r>
      <w:r>
        <w:t xml:space="preserve"> </w:t>
      </w:r>
      <w:hyperlink w:anchor="fig-fig.8">
        <w:r>
          <w:rPr>
            <w:rStyle w:val="Hyperlink"/>
          </w:rPr>
          <w:t xml:space="preserve">Fig. 8</w:t>
        </w:r>
      </w:hyperlink>
      <w:r>
        <w:t xml:space="preserve">, highlighting the total protein as one that proved itself as an excellent biomarker to detect pollutants in the aquatic environment.</w:t>
      </w:r>
    </w:p>
    <w:p>
      <w:pPr>
        <w:pStyle w:val="SourceCode"/>
      </w:pPr>
      <w:r>
        <w:rPr>
          <w:rStyle w:val="NormalTok"/>
        </w:rPr>
        <w:t xml:space="preserve">md</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rPr>
          <w:rStyle w:val="StringTok"/>
        </w:rPr>
        <w:t xml:space="preserve">"inside"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mf</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rPr>
          <w:rStyle w:val="StringTok"/>
        </w:rPr>
        <w:t xml:space="preserve">"outside"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(médias</w:t>
      </w:r>
      <w:r>
        <w:rPr>
          <w:rStyle w:val="OtherTok"/>
        </w:rPr>
        <w:t xml:space="preserve">=</w:t>
      </w:r>
      <w:r>
        <w:rPr>
          <w:rStyle w:val="FunctionTok"/>
        </w:rPr>
        <w:t xml:space="preserve">matrix</w:t>
      </w:r>
      <w:r>
        <w:rPr>
          <w:rStyle w:val="NormalTok"/>
        </w:rPr>
        <w:t xml:space="preserve">(</w:t>
      </w:r>
      <w:r>
        <w:rPr>
          <w:rStyle w:val="FunctionTok"/>
        </w:rPr>
        <w:t xml:space="preserve">c</w:t>
      </w:r>
      <w:r>
        <w:rPr>
          <w:rStyle w:val="NormalTok"/>
        </w:rPr>
        <w:t xml:space="preserve">(md,mf),</w:t>
      </w:r>
      <w:r>
        <w:rPr>
          <w:rStyle w:val="AttributeTok"/>
        </w:rPr>
        <w:t xml:space="preserve">byrow=</w:t>
      </w:r>
      <w:r>
        <w:rPr>
          <w:rStyle w:val="NormalTok"/>
        </w:rPr>
        <w:t xml:space="preserve">T,</w:t>
      </w:r>
      <w:r>
        <w:rPr>
          <w:rStyle w:val="AttributeTok"/>
        </w:rPr>
        <w:t xml:space="preserve">nrow =</w:t>
      </w:r>
      <w:r>
        <w:rPr>
          <w:rStyle w:val="NormalTok"/>
        </w:rPr>
        <w:t xml:space="preserve"> </w:t>
      </w:r>
      <w:r>
        <w:rPr>
          <w:rStyle w:val="DecValTok"/>
        </w:rPr>
        <w:t xml:space="preserve">2</w:t>
      </w:r>
      <w:r>
        <w:rPr>
          <w:rStyle w:val="NormalTok"/>
        </w:rPr>
        <w:t xml:space="preserve">,</w:t>
      </w:r>
      <w:r>
        <w:rPr>
          <w:rStyle w:val="AttributeTok"/>
        </w:rPr>
        <w:t xml:space="preserve">ncol=</w:t>
      </w:r>
      <w:r>
        <w:rPr>
          <w:rStyle w:val="DecValTok"/>
        </w:rPr>
        <w:t xml:space="preserve">4</w:t>
      </w:r>
      <w:r>
        <w:rPr>
          <w:rStyle w:val="NormalTok"/>
        </w:rPr>
        <w:t xml:space="preserve">,</w:t>
      </w:r>
      <w:r>
        <w:rPr>
          <w:rStyle w:val="AttributeTok"/>
        </w:rPr>
        <w:t xml:space="preserve">dimnames=</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rPr>
          <w:rStyle w:val="FunctionTok"/>
        </w:rPr>
        <w:t xml:space="preserve">c</w:t>
      </w:r>
      <w:r>
        <w:rPr>
          <w:rStyle w:val="NormalTok"/>
        </w:rPr>
        <w:t xml:space="preserve">(</w:t>
      </w:r>
      <w:r>
        <w:rPr>
          <w:rStyle w:val="StringTok"/>
        </w:rPr>
        <w:t xml:space="preserve">"GMC"</w:t>
      </w:r>
      <w:r>
        <w:rPr>
          <w:rStyle w:val="NormalTok"/>
        </w:rPr>
        <w:t xml:space="preserve">,</w:t>
      </w:r>
      <w:r>
        <w:rPr>
          <w:rStyle w:val="StringTok"/>
        </w:rPr>
        <w:t xml:space="preserve">"MMC"</w:t>
      </w:r>
      <w:r>
        <w:rPr>
          <w:rStyle w:val="NormalTok"/>
        </w:rPr>
        <w:t xml:space="preserve">,</w:t>
      </w:r>
      <w:r>
        <w:rPr>
          <w:rStyle w:val="StringTok"/>
        </w:rPr>
        <w:t xml:space="preserve">"TP"</w:t>
      </w:r>
      <w:r>
        <w:rPr>
          <w:rStyle w:val="NormalTok"/>
        </w:rPr>
        <w:t xml:space="preserve">,</w:t>
      </w:r>
      <w:r>
        <w:rPr>
          <w:rStyle w:val="StringTok"/>
        </w:rPr>
        <w:t xml:space="preserve">"MXR"</w:t>
      </w:r>
      <w:r>
        <w:rPr>
          <w:rStyle w:val="NormalTok"/>
        </w:rPr>
        <w:t xml:space="preserve">))))</w:t>
      </w:r>
      <w:r>
        <w:br/>
      </w:r>
      <w:r>
        <w:rPr>
          <w:rStyle w:val="NormalTok"/>
        </w:rPr>
        <w:t xml:space="preserve">(</w:t>
      </w:r>
      <w:r>
        <w:rPr>
          <w:rStyle w:val="AttributeTok"/>
        </w:rPr>
        <w:t xml:space="preserve">prop=</w:t>
      </w:r>
      <w:r>
        <w:rPr>
          <w:rStyle w:val="FunctionTok"/>
        </w:rPr>
        <w:t xml:space="preserve">proportions</w:t>
      </w:r>
      <w:r>
        <w:rPr>
          <w:rStyle w:val="NormalTok"/>
        </w:rPr>
        <w:t xml:space="preserve">(médias,</w:t>
      </w:r>
      <w:r>
        <w:rPr>
          <w:rStyle w:val="DecValTok"/>
        </w:rPr>
        <w:t xml:space="preserve">2</w:t>
      </w:r>
      <w:r>
        <w:rPr>
          <w:rStyle w:val="NormalTok"/>
        </w:rPr>
        <w:t xml:space="preserve">))</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AttributeTok"/>
        </w:rPr>
        <w:t xml:space="preserve">height =</w:t>
      </w:r>
      <w:r>
        <w:rPr>
          <w:rStyle w:val="NormalTok"/>
        </w:rPr>
        <w:t xml:space="preserve"> prop, </w:t>
      </w:r>
      <w:r>
        <w:rPr>
          <w:rStyle w:val="AttributeTok"/>
        </w:rPr>
        <w:t xml:space="preserve">horiz =</w:t>
      </w:r>
      <w:r>
        <w:rPr>
          <w:rStyle w:val="NormalTok"/>
        </w:rPr>
        <w:t xml:space="preserve"> T, </w:t>
      </w:r>
      <w:r>
        <w:rPr>
          <w:rStyle w:val="AttributeTok"/>
        </w:rPr>
        <w:t xml:space="preserve">las=</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"darkgreen"</w:t>
      </w:r>
      <w:r>
        <w:rPr>
          <w:rStyle w:val="NormalTok"/>
        </w:rPr>
        <w:t xml:space="preserve">, </w:t>
      </w:r>
      <w:r>
        <w:rPr>
          <w:rStyle w:val="StringTok"/>
        </w:rPr>
        <w:t xml:space="preserve">"darkred"</w:t>
      </w:r>
      <w:r>
        <w:rPr>
          <w:rStyle w:val="NormalTok"/>
        </w:rPr>
        <w:t xml:space="preserve">), </w:t>
      </w:r>
      <w:r>
        <w:rPr>
          <w:rStyle w:val="AttributeTok"/>
        </w:rPr>
        <w:t xml:space="preserve">legend.text =</w:t>
      </w:r>
      <w:r>
        <w:rPr>
          <w:rStyle w:val="NormalTok"/>
        </w:rPr>
        <w:t xml:space="preserve"> T)</w:t>
      </w:r>
    </w:p>
    <w:p>
      <w:pPr>
        <w:pStyle w:val="FirstParagraph"/>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w:t>
      </w:r>
      <w:r>
        <w:t xml:space="preserve"> </w:t>
      </w:r>
      <w:r>
        <w:t xml:space="preserve">(Kurelec et al., 2000)</w:t>
      </w:r>
      <w:r>
        <w:t xml:space="preserve">, but, until done, the relevance of the MXR phenotype analysis must be restricted to the statistical context.</w:t>
      </w:r>
    </w:p>
    <w:p>
      <w:pPr>
        <w:pStyle w:val="BodyText"/>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w:t>
      </w:r>
      <w:r>
        <w:t xml:space="preserve"> </w:t>
      </w:r>
      <w:r>
        <w:t xml:space="preserve">(Masullo et al., 2020)</w:t>
      </w:r>
      <w:r>
        <w:t xml:space="preserve"> </w:t>
      </w:r>
      <w:r>
        <w:t xml:space="preserve">paper and presenting quantifiable data that can complement studies with analysis of historical and geographical data, such as the one from</w:t>
      </w:r>
      <w:r>
        <w:t xml:space="preserve"> </w:t>
      </w:r>
      <w:r>
        <w:t xml:space="preserve">(Assis et al., 2021)</w:t>
      </w:r>
      <w:r>
        <w:t xml:space="preserve">.</w:t>
      </w:r>
    </w:p>
    <w:bookmarkEnd w:id="31"/>
    <w:bookmarkStart w:id="32" w:name="conclusions"/>
    <w:p>
      <w:pPr>
        <w:pStyle w:val="Heading1"/>
      </w:pPr>
      <w:r>
        <w:t xml:space="preserve">Conclusions</w:t>
      </w:r>
    </w:p>
    <w:bookmarkEnd w:id="32"/>
    <w:bookmarkStart w:id="33" w:name="acknowledgements"/>
    <w:p>
      <w:pPr>
        <w:pStyle w:val="Heading1"/>
      </w:pPr>
      <w:r>
        <w:t xml:space="preserve">Acknowledgements</w:t>
      </w:r>
    </w:p>
    <w:bookmarkEnd w:id="33"/>
    <w:bookmarkStart w:id="34"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BodyText"/>
      </w:pPr>
      <w:r>
        <w:t xml:space="preserve">Adamastor Coutinho Pinto: Conceptualization, Data curation, Formal analysis, Investigation, Software, Visualization, Writing – review &amp; editing, Writing – original draft.</w:t>
      </w:r>
    </w:p>
    <w:p>
      <w:pPr>
        <w:pStyle w:val="BodyText"/>
      </w:pPr>
      <w:r>
        <w:t xml:space="preserve">Mayara Mirelly da Silva Monteiro: Data curation, Formal analysis, Software, Writing – review &amp; editing.</w:t>
      </w:r>
    </w:p>
    <w:p>
      <w:pPr>
        <w:pStyle w:val="BodyText"/>
      </w:pPr>
      <w:r>
        <w:t xml:space="preserve">Alice da Silva Barros: Data curation, Formal analysis, Software, Writing – review &amp; editing.</w:t>
      </w:r>
    </w:p>
    <w:p>
      <w:pPr>
        <w:pStyle w:val="BodyText"/>
      </w:pPr>
      <w:r>
        <w:t xml:space="preserve">Larissa Rafaela Caetano da Silva:Data curation, Formal analysis, Software, Writing – review &amp; editing.</w:t>
      </w:r>
    </w:p>
    <w:p>
      <w:pPr>
        <w:pStyle w:val="BodyText"/>
      </w:pPr>
      <w:r>
        <w:t xml:space="preserve">Enelise Marcelle Amado: Conceptualization, Data curation, Methodology, Project administration, Resources, Supervision, Validation, Writing – review &amp; editing.</w:t>
      </w:r>
    </w:p>
    <w:p>
      <w:pPr>
        <w:pStyle w:val="BodyText"/>
      </w:pPr>
      <w:r>
        <w:t xml:space="preserve">Elvio Sérgio Figueredo Medeiros: Conceptualization, Data curation, Formal analysis, Funding acquisition, Methodology, Project administration, Resources, Software, Supervision, Validation, Writing – review &amp; editing.</w:t>
      </w:r>
    </w:p>
    <w:bookmarkEnd w:id="34"/>
    <w:bookmarkStart w:id="35" w:name="ethical-approval"/>
    <w:p>
      <w:pPr>
        <w:pStyle w:val="Heading1"/>
      </w:pPr>
      <w:r>
        <w:t xml:space="preserve">Ethical approval</w:t>
      </w:r>
    </w:p>
    <w:p>
      <w:pPr>
        <w:pStyle w:val="FirstParagraph"/>
      </w:pPr>
      <w:r>
        <w:t xml:space="preserve">This study did not require ethical approval as it did not involve human participants or sensitive data. Field surveys were conducted based on collection permit number (CEUA-048/2023 and SISBIO-89415-2).</w:t>
      </w:r>
    </w:p>
    <w:bookmarkEnd w:id="35"/>
    <w:bookmarkStart w:id="78" w:name="references"/>
    <w:p>
      <w:pPr>
        <w:pStyle w:val="Heading1"/>
      </w:pPr>
      <w:r>
        <w:t xml:space="preserve">References</w:t>
      </w:r>
    </w:p>
    <w:bookmarkStart w:id="77" w:name="refs"/>
    <w:bookmarkStart w:id="37" w:name="ref-amoatey2019"/>
    <w:p>
      <w:pPr>
        <w:pStyle w:val="Bibliography"/>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36">
        <w:r>
          <w:rPr>
            <w:rStyle w:val="Hyperlink"/>
          </w:rPr>
          <w:t xml:space="preserve">https://doi.org/10.1002/wer.1221</w:t>
        </w:r>
      </w:hyperlink>
    </w:p>
    <w:bookmarkEnd w:id="37"/>
    <w:bookmarkStart w:id="38" w:name="ref-arruda2013"/>
    <w:p>
      <w:pPr>
        <w:pStyle w:val="Bibliography"/>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8"/>
    <w:bookmarkStart w:id="40" w:name="ref-assis2021"/>
    <w:p>
      <w:pPr>
        <w:pStyle w:val="Bibliography"/>
      </w:pPr>
      <w:r>
        <w:t xml:space="preserve">Assis, P., Faria, K., &amp; Bayer, M. (2021). Unidades de conservação e sua efetividade na proteção dos recursos hídricos na bacia do rio araguaia.</w:t>
      </w:r>
      <w:r>
        <w:t xml:space="preserve"> </w:t>
      </w:r>
      <w:r>
        <w:rPr>
          <w:i/>
          <w:iCs/>
        </w:rPr>
        <w:t xml:space="preserve">Sociedade &amp; Natureza</w:t>
      </w:r>
      <w:r>
        <w:t xml:space="preserve">,</w:t>
      </w:r>
      <w:r>
        <w:t xml:space="preserve"> </w:t>
      </w:r>
      <w:r>
        <w:rPr>
          <w:i/>
          <w:iCs/>
        </w:rPr>
        <w:t xml:space="preserve">34</w:t>
      </w:r>
      <w:r>
        <w:t xml:space="preserve">.</w:t>
      </w:r>
      <w:r>
        <w:t xml:space="preserve"> </w:t>
      </w:r>
      <w:hyperlink r:id="rId39">
        <w:r>
          <w:rPr>
            <w:rStyle w:val="Hyperlink"/>
          </w:rPr>
          <w:t xml:space="preserve">https://doi.org/10.14393/SN-v34-2022-60335</w:t>
        </w:r>
      </w:hyperlink>
    </w:p>
    <w:bookmarkEnd w:id="40"/>
    <w:bookmarkStart w:id="42" w:name="ref-ayrapetyan2012"/>
    <w:p>
      <w:pPr>
        <w:pStyle w:val="Bibliography"/>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41">
        <w:r>
          <w:rPr>
            <w:rStyle w:val="Hyperlink"/>
          </w:rPr>
          <w:t xml:space="preserve">https://doi.org/10.1007/s10669-011-9380-3</w:t>
        </w:r>
      </w:hyperlink>
    </w:p>
    <w:bookmarkEnd w:id="42"/>
    <w:bookmarkStart w:id="43" w:name="ref-bradford1976"/>
    <w:p>
      <w:pPr>
        <w:pStyle w:val="Bibliography"/>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43"/>
    <w:bookmarkStart w:id="45" w:name="ref-credit2026"/>
    <w:p>
      <w:pPr>
        <w:pStyle w:val="Bibliography"/>
      </w:pPr>
      <w:r>
        <w:t xml:space="preserve">CRediT. (2026). CRediT - contributor role taxonomy.</w:t>
      </w:r>
      <w:r>
        <w:t xml:space="preserve"> </w:t>
      </w:r>
      <w:r>
        <w:rPr>
          <w:i/>
          <w:iCs/>
        </w:rPr>
        <w:t xml:space="preserve">NISO/CRediT Standing Committee</w:t>
      </w:r>
      <w:r>
        <w:t xml:space="preserve">.</w:t>
      </w:r>
      <w:r>
        <w:t xml:space="preserve"> </w:t>
      </w:r>
      <w:hyperlink r:id="rId44">
        <w:r>
          <w:rPr>
            <w:rStyle w:val="Hyperlink"/>
          </w:rPr>
          <w:t xml:space="preserve">https://credit.niso.org/</w:t>
        </w:r>
      </w:hyperlink>
    </w:p>
    <w:bookmarkEnd w:id="45"/>
    <w:bookmarkStart w:id="47" w:name="ref-david2018"/>
    <w:p>
      <w:pPr>
        <w:pStyle w:val="Bibliography"/>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46">
        <w:r>
          <w:rPr>
            <w:rStyle w:val="Hyperlink"/>
          </w:rPr>
          <w:t xml:space="preserve">https://doi.org/10.1016/j.ecoenv.2018.09.111</w:t>
        </w:r>
      </w:hyperlink>
    </w:p>
    <w:bookmarkEnd w:id="47"/>
    <w:bookmarkStart w:id="48" w:name="ref-eschmeyer2016"/>
    <w:p>
      <w:pPr>
        <w:pStyle w:val="Bibliography"/>
      </w:pPr>
      <w:r>
        <w:t xml:space="preserve">Eschmeyer, W., Fricke, R., &amp; Van der Laan, R. (2016).</w:t>
      </w:r>
      <w:r>
        <w:t xml:space="preserve"> </w:t>
      </w:r>
      <w:r>
        <w:rPr>
          <w:i/>
          <w:iCs/>
        </w:rPr>
        <w:t xml:space="preserve">Catalog of fishes: Genera, species, references</w:t>
      </w:r>
      <w:r>
        <w:t xml:space="preserve">.</w:t>
      </w:r>
    </w:p>
    <w:bookmarkEnd w:id="48"/>
    <w:bookmarkStart w:id="49" w:name="ref-evans1987"/>
    <w:p>
      <w:pPr>
        <w:pStyle w:val="Bibliography"/>
      </w:pPr>
      <w:r>
        <w:t xml:space="preserve">Evans, D. H. (1987).</w:t>
      </w:r>
      <w:r>
        <w:t xml:space="preserve"> </w:t>
      </w:r>
      <w:r>
        <w:rPr>
          <w:i/>
          <w:iCs/>
        </w:rPr>
        <w:t xml:space="preserve">The Fish Gill: Site of Action and Model for Toxic Effects of Environmental Pollutants</w:t>
      </w:r>
      <w:r>
        <w:t xml:space="preserve">.</w:t>
      </w:r>
    </w:p>
    <w:bookmarkEnd w:id="49"/>
    <w:bookmarkStart w:id="51" w:name="ref-gouveia2017"/>
    <w:p>
      <w:pPr>
        <w:pStyle w:val="Bibliography"/>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50">
        <w:r>
          <w:rPr>
            <w:rStyle w:val="Hyperlink"/>
          </w:rPr>
          <w:t xml:space="preserve">https://doi.org/10.15560/13.5.581</w:t>
        </w:r>
      </w:hyperlink>
    </w:p>
    <w:bookmarkEnd w:id="51"/>
    <w:bookmarkStart w:id="53" w:name="ref-haredi2020"/>
    <w:p>
      <w:pPr>
        <w:pStyle w:val="Bibliography"/>
      </w:pPr>
      <w:r>
        <w:t xml:space="preserve">Haredi, A. M. M., Mourad, M., Tanekhy, M., Wassif, E., &amp; Abdel-Tawab, H. S. (2020). Lake edku pollutants induced biochemical and histopathological alterations in muscle tissues of nile tilapia (oreochromis niloticus).</w:t>
      </w:r>
      <w:r>
        <w:t xml:space="preserve"> </w:t>
      </w:r>
      <w:r>
        <w:rPr>
          <w:i/>
          <w:iCs/>
        </w:rPr>
        <w:t xml:space="preserve">Toxicology and Environmental Health Sciences</w:t>
      </w:r>
      <w:r>
        <w:t xml:space="preserve">,</w:t>
      </w:r>
      <w:r>
        <w:t xml:space="preserve"> </w:t>
      </w:r>
      <w:r>
        <w:rPr>
          <w:i/>
          <w:iCs/>
        </w:rPr>
        <w:t xml:space="preserve">12</w:t>
      </w:r>
      <w:r>
        <w:t xml:space="preserve">(3), 247–255.</w:t>
      </w:r>
      <w:r>
        <w:t xml:space="preserve"> </w:t>
      </w:r>
      <w:hyperlink r:id="rId52">
        <w:r>
          <w:rPr>
            <w:rStyle w:val="Hyperlink"/>
          </w:rPr>
          <w:t xml:space="preserve">https://doi.org/10.1007/s13530-020-00042-w</w:t>
        </w:r>
      </w:hyperlink>
    </w:p>
    <w:bookmarkEnd w:id="53"/>
    <w:bookmarkStart w:id="54" w:name="ref-júnior2021"/>
    <w:p>
      <w:pPr>
        <w:pStyle w:val="Bibliography"/>
      </w:pPr>
      <w:r>
        <w:t xml:space="preserve">Júnior, M. M. C. (2021).</w:t>
      </w:r>
      <w:r>
        <w:t xml:space="preserve"> </w:t>
      </w:r>
      <w:r>
        <w:rPr>
          <w:i/>
          <w:iCs/>
        </w:rPr>
        <w:t xml:space="preserve">Funcionamento de Rios Intermitentes sob Influência da Transposição do Rio São Francisco</w:t>
      </w:r>
      <w:r>
        <w:t xml:space="preserve">.</w:t>
      </w:r>
    </w:p>
    <w:bookmarkEnd w:id="54"/>
    <w:bookmarkStart w:id="56" w:name="ref-kurelec2000"/>
    <w:p>
      <w:pPr>
        <w:pStyle w:val="Bibliography"/>
      </w:pPr>
      <w:r>
        <w:t xml:space="preserve">Kurelec, B., Smital, T., Pivèeviæ, B., Eufemia, N., &amp; Epel, D. (2000). Multixenobiotic resistance, p-glycoprotein, and chemosensitizers.</w:t>
      </w:r>
      <w:r>
        <w:t xml:space="preserve"> </w:t>
      </w:r>
      <w:r>
        <w:rPr>
          <w:i/>
          <w:iCs/>
        </w:rPr>
        <w:t xml:space="preserve">Ecotoxicology</w:t>
      </w:r>
      <w:r>
        <w:t xml:space="preserve">,</w:t>
      </w:r>
      <w:r>
        <w:t xml:space="preserve"> </w:t>
      </w:r>
      <w:r>
        <w:rPr>
          <w:i/>
          <w:iCs/>
        </w:rPr>
        <w:t xml:space="preserve">9</w:t>
      </w:r>
      <w:r>
        <w:t xml:space="preserve">(5), 307–327.</w:t>
      </w:r>
      <w:r>
        <w:t xml:space="preserve"> </w:t>
      </w:r>
      <w:hyperlink r:id="rId55">
        <w:r>
          <w:rPr>
            <w:rStyle w:val="Hyperlink"/>
          </w:rPr>
          <w:t xml:space="preserve">https://doi.org/10.1023/A:1026560922731</w:t>
        </w:r>
      </w:hyperlink>
    </w:p>
    <w:bookmarkEnd w:id="56"/>
    <w:bookmarkStart w:id="58" w:name="ref-masullo2020"/>
    <w:p>
      <w:pPr>
        <w:pStyle w:val="Bibliography"/>
      </w:pPr>
      <w:r>
        <w:t xml:space="preserve">Masullo, Y. A. G., Gurgel, H. da C., Laques, A.-E., &amp; Carvalho, D. S. (2020). AVALIAÇÃO DA EFETIVIDADE EM UNIDADES DE CONSERVAÇÃO: UM ESTUDO DE CASO NO ESTADO DO MARANHÃO, BRASIL.</w:t>
      </w:r>
      <w:r>
        <w:t xml:space="preserve"> </w:t>
      </w:r>
      <w:r>
        <w:rPr>
          <w:i/>
          <w:iCs/>
        </w:rPr>
        <w:t xml:space="preserve">Revista Tamoios</w:t>
      </w:r>
      <w:r>
        <w:t xml:space="preserve">,</w:t>
      </w:r>
      <w:r>
        <w:t xml:space="preserve"> </w:t>
      </w:r>
      <w:r>
        <w:rPr>
          <w:i/>
          <w:iCs/>
        </w:rPr>
        <w:t xml:space="preserve">16</w:t>
      </w:r>
      <w:r>
        <w:t xml:space="preserve">(3). https://doi.org/</w:t>
      </w:r>
      <w:hyperlink r:id="rId57">
        <w:r>
          <w:rPr>
            <w:rStyle w:val="Hyperlink"/>
          </w:rPr>
          <w:t xml:space="preserve">https://doi.org/10.12957/tamoios.2020.51272</w:t>
        </w:r>
      </w:hyperlink>
    </w:p>
    <w:bookmarkEnd w:id="58"/>
    <w:bookmarkStart w:id="60" w:name="ref-ministériodomeioambiente"/>
    <w:p>
      <w:pPr>
        <w:pStyle w:val="Bibliography"/>
      </w:pPr>
      <w:r>
        <w:t xml:space="preserve">Ministério do Meio Ambiente. (n.d.).</w:t>
      </w:r>
      <w:r>
        <w:t xml:space="preserve"> </w:t>
      </w:r>
      <w:r>
        <w:rPr>
          <w:i/>
          <w:iCs/>
        </w:rPr>
        <w:t xml:space="preserve">Painel unidades de conservação</w:t>
      </w:r>
      <w:r>
        <w:t xml:space="preserve">. Retrieved</w:t>
      </w:r>
      <w:r>
        <w:t xml:space="preserve"> </w:t>
      </w:r>
      <w:hyperlink r:id="rId59">
        <w:r>
          <w:rPr>
            <w:rStyle w:val="Hyperlink"/>
          </w:rPr>
          <w:t xml:space="preserve">https://app.powerbi.com/view?r=eyJrIjoiMGNmMGY3NGMtNWZlOC00ZmRmLWExZWItNTNiNDhkZDg0MmY4IiwidCI6IjM5NTdhMzY3LTZkMzgtNGMxZi1hNGJhLTMzZThmM2M1NTBlNyJ9&amp;pageName=ReportSectione0a112a2a9e0cf52a827</w:t>
        </w:r>
      </w:hyperlink>
    </w:p>
    <w:bookmarkEnd w:id="60"/>
    <w:bookmarkStart w:id="61" w:name="ref-miranda2012"/>
    <w:p>
      <w:pPr>
        <w:pStyle w:val="Bibliography"/>
      </w:pPr>
      <w:r>
        <w:t xml:space="preserve">Miranda, J. (2012). Ameaças aos peixes de riachos da mata atlântica.</w:t>
      </w:r>
      <w:r>
        <w:t xml:space="preserve"> </w:t>
      </w:r>
      <w:r>
        <w:rPr>
          <w:i/>
          <w:iCs/>
        </w:rPr>
        <w:t xml:space="preserve">Ameaças Aos Peixes de Riachos Da Mata Atlântica</w:t>
      </w:r>
      <w:r>
        <w:t xml:space="preserve">.</w:t>
      </w:r>
    </w:p>
    <w:bookmarkEnd w:id="61"/>
    <w:bookmarkStart w:id="63" w:name="ref-myers2000"/>
    <w:p>
      <w:pPr>
        <w:pStyle w:val="Bibliography"/>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62">
        <w:r>
          <w:rPr>
            <w:rStyle w:val="Hyperlink"/>
          </w:rPr>
          <w:t xml:space="preserve">https://doi.org/10.1038/35002501</w:t>
        </w:r>
      </w:hyperlink>
    </w:p>
    <w:bookmarkEnd w:id="63"/>
    <w:bookmarkStart w:id="65" w:name="ref-piedras2006"/>
    <w:p>
      <w:pPr>
        <w:pStyle w:val="Bibliography"/>
      </w:pPr>
      <w:r>
        <w:t xml:space="preserve">Piedras, S., Oliveira, J., Moraes, P., &amp; Bager, A. (2006). Toxicidade aguda da amônia não ionizada e do nitrito em alevinos de cichlasoma facetum (jenyns, 1842).</w:t>
      </w:r>
      <w:r>
        <w:t xml:space="preserve"> </w:t>
      </w:r>
      <w:r>
        <w:rPr>
          <w:i/>
          <w:iCs/>
        </w:rPr>
        <w:t xml:space="preserve">Ciência e Agrotecnologia</w:t>
      </w:r>
      <w:r>
        <w:t xml:space="preserve">,</w:t>
      </w:r>
      <w:r>
        <w:t xml:space="preserve"> </w:t>
      </w:r>
      <w:r>
        <w:rPr>
          <w:i/>
          <w:iCs/>
        </w:rPr>
        <w:t xml:space="preserve">30</w:t>
      </w:r>
      <w:r>
        <w:t xml:space="preserve">, 1008–1012.</w:t>
      </w:r>
      <w:r>
        <w:t xml:space="preserve"> </w:t>
      </w:r>
      <w:hyperlink r:id="rId64">
        <w:r>
          <w:rPr>
            <w:rStyle w:val="Hyperlink"/>
          </w:rPr>
          <w:t xml:space="preserve">https://doi.org/10.1590/S1413-70542006000500027</w:t>
        </w:r>
      </w:hyperlink>
    </w:p>
    <w:bookmarkEnd w:id="65"/>
    <w:bookmarkStart w:id="67"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66">
        <w:r>
          <w:rPr>
            <w:rStyle w:val="Hyperlink"/>
          </w:rPr>
          <w:t xml:space="preserve">https://www.R-project.org/</w:t>
        </w:r>
      </w:hyperlink>
    </w:p>
    <w:bookmarkEnd w:id="67"/>
    <w:bookmarkStart w:id="68" w:name="ref-rstudioteam"/>
    <w:p>
      <w:pPr>
        <w:pStyle w:val="Bibliography"/>
      </w:pPr>
      <w:r>
        <w:t xml:space="preserve">RStudio Team. (n.d.).</w:t>
      </w:r>
      <w:r>
        <w:t xml:space="preserve"> </w:t>
      </w:r>
      <w:r>
        <w:rPr>
          <w:i/>
          <w:iCs/>
        </w:rPr>
        <w:t xml:space="preserve">RStudio: Integrated Development Environment for R</w:t>
      </w:r>
      <w:r>
        <w:t xml:space="preserve">.</w:t>
      </w:r>
    </w:p>
    <w:bookmarkEnd w:id="68"/>
    <w:bookmarkStart w:id="69" w:name="ref-sabae2015"/>
    <w:p>
      <w:pPr>
        <w:pStyle w:val="Bibliography"/>
      </w:pPr>
      <w:r>
        <w:t xml:space="preserve">Sabae, S. Z., &amp; Mohamed, F. A. S. (2015).</w:t>
      </w:r>
      <w:r>
        <w:t xml:space="preserve"> </w:t>
      </w:r>
      <w:r>
        <w:rPr>
          <w:i/>
          <w:iCs/>
        </w:rPr>
        <w:t xml:space="preserve">Effect of Environmental Pollution on the Health of Tilapia spp. from Lake Qarun</w:t>
      </w:r>
      <w:r>
        <w:t xml:space="preserve">.</w:t>
      </w:r>
    </w:p>
    <w:bookmarkEnd w:id="69"/>
    <w:bookmarkStart w:id="71" w:name="ref-serra2010"/>
    <w:p>
      <w:pPr>
        <w:pStyle w:val="Bibliography"/>
      </w:pPr>
      <w:r>
        <w:t xml:space="preserve">Serra, P. P. (2010).</w:t>
      </w:r>
      <w:r>
        <w:t xml:space="preserve"> </w:t>
      </w:r>
      <w:r>
        <w:rPr>
          <w:i/>
          <w:iCs/>
        </w:rPr>
        <w:t xml:space="preserve">Análise filogenética das espécies de Hemigrammus Gill, 1858 (Characiformes, Characidae)</w:t>
      </w:r>
      <w:r>
        <w:t xml:space="preserve"> </w:t>
      </w:r>
      <w:r>
        <w:t xml:space="preserve">[PhD thesis].</w:t>
      </w:r>
      <w:r>
        <w:t xml:space="preserve"> </w:t>
      </w:r>
      <w:hyperlink r:id="rId70">
        <w:r>
          <w:rPr>
            <w:rStyle w:val="Hyperlink"/>
          </w:rPr>
          <w:t xml:space="preserve">https://doi.org/10.5016/DT000610176</w:t>
        </w:r>
      </w:hyperlink>
    </w:p>
    <w:bookmarkEnd w:id="71"/>
    <w:bookmarkStart w:id="73" w:name="ref-smital1998"/>
    <w:p>
      <w:pPr>
        <w:pStyle w:val="Bibliography"/>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72">
        <w:r>
          <w:rPr>
            <w:rStyle w:val="Hyperlink"/>
          </w:rPr>
          <w:t xml:space="preserve">https://doi.org/10.1016/S0027-5107(97)00265-0</w:t>
        </w:r>
      </w:hyperlink>
    </w:p>
    <w:bookmarkEnd w:id="73"/>
    <w:bookmarkStart w:id="75" w:name="ref-smital2004"/>
    <w:p>
      <w:pPr>
        <w:pStyle w:val="Bibliography"/>
      </w:pPr>
      <w:r>
        <w:t xml:space="preserve">Smital, T., Luckenbach, T., Sauerborn Klobucar, R., Hamdoun, A., Vega, R., &amp; Epel, D. (2004). Emerging contaminants - pesticides, PPCPs, microbial degradation products and natural substances as inhibitors of multixenobiotic defense in aquatic organisms.</w:t>
      </w:r>
      <w:r>
        <w:t xml:space="preserve"> </w:t>
      </w:r>
      <w:r>
        <w:rPr>
          <w:i/>
          <w:iCs/>
        </w:rPr>
        <w:t xml:space="preserve">Mutation Research</w:t>
      </w:r>
      <w:r>
        <w:t xml:space="preserve">,</w:t>
      </w:r>
      <w:r>
        <w:t xml:space="preserve"> </w:t>
      </w:r>
      <w:r>
        <w:rPr>
          <w:i/>
          <w:iCs/>
        </w:rPr>
        <w:t xml:space="preserve">552</w:t>
      </w:r>
      <w:r>
        <w:t xml:space="preserve">, 101–117.</w:t>
      </w:r>
      <w:r>
        <w:t xml:space="preserve"> </w:t>
      </w:r>
      <w:hyperlink r:id="rId74">
        <w:r>
          <w:rPr>
            <w:rStyle w:val="Hyperlink"/>
          </w:rPr>
          <w:t xml:space="preserve">https://doi.org/10.1016/j.mrfmmm.2004.06.006</w:t>
        </w:r>
      </w:hyperlink>
    </w:p>
    <w:bookmarkEnd w:id="75"/>
    <w:bookmarkStart w:id="76" w:name="ref-udvardy1975"/>
    <w:p>
      <w:pPr>
        <w:pStyle w:val="Bibliography"/>
      </w:pPr>
      <w:r>
        <w:t xml:space="preserve">Udvardy, M. (1975).</w:t>
      </w:r>
      <w:r>
        <w:t xml:space="preserve"> </w:t>
      </w:r>
      <w:r>
        <w:rPr>
          <w:i/>
          <w:iCs/>
        </w:rPr>
        <w:t xml:space="preserve">A classification of the biogeographical provinces of the world</w:t>
      </w:r>
      <w:r>
        <w:t xml:space="preserve"> </w:t>
      </w:r>
      <w:r>
        <w:t xml:space="preserve">[Unpublished manuscript].</w:t>
      </w:r>
    </w:p>
    <w:bookmarkEnd w:id="76"/>
    <w:bookmarkEnd w:id="77"/>
    <w:bookmarkEnd w:id="78"/>
    <w:bookmarkStart w:id="121" w:name="figures-and-tables"/>
    <w:p>
      <w:pPr>
        <w:pStyle w:val="Heading1"/>
      </w:pPr>
      <w:r>
        <w:t xml:space="preserve">Figures and Tables</w:t>
      </w:r>
    </w:p>
    <w:bookmarkStart w:id="119"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83" w:name="fig-fig.1"/>
          <w:p>
            <w:pPr>
              <w:pStyle w:val="Compact"/>
              <w:jc w:val="center"/>
            </w:pPr>
            <w:bookmarkStart w:id="82" w:name="fig-fig.1"/>
            <w:r>
              <w:drawing>
                <wp:inline>
                  <wp:extent cx="6108700" cy="4318723"/>
                  <wp:effectExtent b="0" l="0" r="0" t="0"/>
                  <wp:docPr descr="" title="Location of sampling sites within (P5 - 06°43'06,58555'' S, 35°10'54,70041''W -, P6 - 06°42'38,71927''S, 35°10'38,68013''W - and P7 - 06°43'06,58555''S, 35°10'54,70041''W) and surrounding ReBio Guaribas (P8 - 06°41'46,29119''S, 35°10'36,09933''W -, P9 - 06°40'56,47593''S, 35°10'27,84963''W - and P10 - 06°40'18,97010''S, 35°10'34,68148''W). In total, 92 fish were collected inside the Conservation Unity and 97 outside it." id="80" name="Picture"/>
                  <a:graphic>
                    <a:graphicData uri="http://schemas.openxmlformats.org/drawingml/2006/picture">
                      <pic:pic>
                        <pic:nvPicPr>
                          <pic:cNvPr descr="imagens/mapa.png" id="81" name="Picture"/>
                          <pic:cNvPicPr>
                            <a:picLocks noChangeArrowheads="1" noChangeAspect="1"/>
                          </pic:cNvPicPr>
                        </pic:nvPicPr>
                        <pic:blipFill>
                          <a:blip r:embed="rId79"/>
                          <a:stretch>
                            <a:fillRect/>
                          </a:stretch>
                        </pic:blipFill>
                        <pic:spPr bwMode="auto">
                          <a:xfrm>
                            <a:off x="0" y="0"/>
                            <a:ext cx="6108700" cy="4318723"/>
                          </a:xfrm>
                          <a:prstGeom prst="rect">
                            <a:avLst/>
                          </a:prstGeom>
                          <a:noFill/>
                          <a:ln w="9525">
                            <a:noFill/>
                            <a:headEnd/>
                            <a:tailEnd/>
                          </a:ln>
                        </pic:spPr>
                      </pic:pic>
                    </a:graphicData>
                  </a:graphic>
                </wp:inline>
              </w:drawing>
            </w:r>
            <w:bookmarkEnd w:id="82"/>
          </w:p>
          <w:p>
            <w:pPr>
              <w:jc w:val="center"/>
            </w:pPr>
            <w:pPr>
              <w:jc w:val="left"/>
              <w:spacing w:before="200"/>
              <w:pStyle w:val="ImageCaption"/>
            </w:pPr>
            <w:r>
              <w:t xml:space="preserve">Figure 1</w:t>
            </w:r>
          </w:p>
          <w:bookmarkEnd w:id="8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8" w:name="fig-fig.2"/>
          <w:p>
            <w:pPr>
              <w:pStyle w:val="Compact"/>
              <w:jc w:val="center"/>
            </w:pPr>
            <w:bookmarkStart w:id="87" w:name="fig-fig.2"/>
            <w:r>
              <w:drawing>
                <wp:inline>
                  <wp:extent cx="5778393" cy="3964961"/>
                  <wp:effectExtent b="0" l="0" r="0" t="0"/>
                  <wp:docPr descr="" title="Total protein (mg) variance of data inside and outside ReBio Guaribas." id="85" name="Picture"/>
                  <a:graphic>
                    <a:graphicData uri="http://schemas.openxmlformats.org/drawingml/2006/picture">
                      <pic:pic>
                        <pic:nvPicPr>
                          <pic:cNvPr descr="imagens/Figura%203.png" id="86" name="Picture"/>
                          <pic:cNvPicPr>
                            <a:picLocks noChangeArrowheads="1" noChangeAspect="1"/>
                          </pic:cNvPicPr>
                        </pic:nvPicPr>
                        <pic:blipFill>
                          <a:blip r:embed="rId84"/>
                          <a:stretch>
                            <a:fillRect/>
                          </a:stretch>
                        </pic:blipFill>
                        <pic:spPr bwMode="auto">
                          <a:xfrm>
                            <a:off x="0" y="0"/>
                            <a:ext cx="5778393" cy="3964961"/>
                          </a:xfrm>
                          <a:prstGeom prst="rect">
                            <a:avLst/>
                          </a:prstGeom>
                          <a:noFill/>
                          <a:ln w="9525">
                            <a:noFill/>
                            <a:headEnd/>
                            <a:tailEnd/>
                          </a:ln>
                        </pic:spPr>
                      </pic:pic>
                    </a:graphicData>
                  </a:graphic>
                </wp:inline>
              </w:drawing>
            </w:r>
            <w:bookmarkEnd w:id="87"/>
          </w:p>
          <w:p>
            <w:pPr>
              <w:jc w:val="center"/>
            </w:pPr>
            <w:pPr>
              <w:jc w:val="left"/>
              <w:spacing w:before="200"/>
              <w:pStyle w:val="ImageCaption"/>
            </w:pPr>
            <w:r>
              <w:t xml:space="preserve">Figure 2</w:t>
            </w:r>
          </w:p>
          <w:bookmarkEnd w:id="8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3" w:name="fig-fig.3"/>
          <w:p>
            <w:pPr>
              <w:pStyle w:val="Compact"/>
              <w:jc w:val="center"/>
            </w:pPr>
            <w:bookmarkStart w:id="92" w:name="fig-fig.3"/>
            <w:r>
              <w:drawing>
                <wp:inline>
                  <wp:extent cx="5778393" cy="3964961"/>
                  <wp:effectExtent b="0" l="0" r="0" t="0"/>
                  <wp:docPr descr="" title="Boxplot with total protein data of collected fish from the sampling sites inside (green) and outside ReBio Guaribas (red), including its respective grouping by similarity above each box." id="90" name="Picture"/>
                  <a:graphic>
                    <a:graphicData uri="http://schemas.openxmlformats.org/drawingml/2006/picture">
                      <pic:pic>
                        <pic:nvPicPr>
                          <pic:cNvPr descr="imagens/Figura%204.png" id="91" name="Picture"/>
                          <pic:cNvPicPr>
                            <a:picLocks noChangeArrowheads="1" noChangeAspect="1"/>
                          </pic:cNvPicPr>
                        </pic:nvPicPr>
                        <pic:blipFill>
                          <a:blip r:embed="rId89"/>
                          <a:stretch>
                            <a:fillRect/>
                          </a:stretch>
                        </pic:blipFill>
                        <pic:spPr bwMode="auto">
                          <a:xfrm>
                            <a:off x="0" y="0"/>
                            <a:ext cx="5778393" cy="3964961"/>
                          </a:xfrm>
                          <a:prstGeom prst="rect">
                            <a:avLst/>
                          </a:prstGeom>
                          <a:noFill/>
                          <a:ln w="9525">
                            <a:noFill/>
                            <a:headEnd/>
                            <a:tailEnd/>
                          </a:ln>
                        </pic:spPr>
                      </pic:pic>
                    </a:graphicData>
                  </a:graphic>
                </wp:inline>
              </w:drawing>
            </w:r>
            <w:bookmarkEnd w:id="92"/>
          </w:p>
          <w:p>
            <w:pPr>
              <w:jc w:val="center"/>
            </w:pPr>
            <w:pPr>
              <w:jc w:val="left"/>
              <w:spacing w:before="200"/>
              <w:pStyle w:val="ImageCaption"/>
            </w:pPr>
            <w:r>
              <w:t xml:space="preserve">Figure 3</w:t>
            </w:r>
          </w:p>
          <w:bookmarkEnd w:id="9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8" w:name="fig-fig.4"/>
          <w:p>
            <w:pPr>
              <w:pStyle w:val="Compact"/>
              <w:jc w:val="center"/>
            </w:pPr>
            <w:bookmarkStart w:id="97" w:name="fig-fig.4"/>
            <w:r>
              <w:drawing>
                <wp:inline>
                  <wp:extent cx="5778393" cy="3964961"/>
                  <wp:effectExtent b="0" l="0" r="0" t="0"/>
                  <wp:docPr descr="" title="Moisture content (%) of tissues from sampling sites inside and outside the ReBio Guaribas, with the respective p-value between each locality." id="95" name="Picture"/>
                  <a:graphic>
                    <a:graphicData uri="http://schemas.openxmlformats.org/drawingml/2006/picture">
                      <pic:pic>
                        <pic:nvPicPr>
                          <pic:cNvPr descr="imagens/Figura%205.png" id="96" name="Picture"/>
                          <pic:cNvPicPr>
                            <a:picLocks noChangeArrowheads="1" noChangeAspect="1"/>
                          </pic:cNvPicPr>
                        </pic:nvPicPr>
                        <pic:blipFill>
                          <a:blip r:embed="rId94"/>
                          <a:stretch>
                            <a:fillRect/>
                          </a:stretch>
                        </pic:blipFill>
                        <pic:spPr bwMode="auto">
                          <a:xfrm>
                            <a:off x="0" y="0"/>
                            <a:ext cx="5778393" cy="3964961"/>
                          </a:xfrm>
                          <a:prstGeom prst="rect">
                            <a:avLst/>
                          </a:prstGeom>
                          <a:noFill/>
                          <a:ln w="9525">
                            <a:noFill/>
                            <a:headEnd/>
                            <a:tailEnd/>
                          </a:ln>
                        </pic:spPr>
                      </pic:pic>
                    </a:graphicData>
                  </a:graphic>
                </wp:inline>
              </w:drawing>
            </w:r>
            <w:bookmarkEnd w:id="97"/>
          </w:p>
          <w:p>
            <w:pPr>
              <w:jc w:val="center"/>
            </w:pPr>
            <w:pPr>
              <w:jc w:val="left"/>
              <w:spacing w:before="200"/>
              <w:pStyle w:val="ImageCaption"/>
            </w:pPr>
            <w:r>
              <w:t xml:space="preserve">Figure 4</w:t>
            </w:r>
          </w:p>
          <w:bookmarkEnd w:id="9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3" w:name="fig-fig.5"/>
          <w:p>
            <w:pPr>
              <w:pStyle w:val="Compact"/>
              <w:jc w:val="center"/>
            </w:pPr>
            <w:bookmarkStart w:id="102" w:name="fig-fig.5"/>
            <w:r>
              <w:drawing>
                <wp:inline>
                  <wp:extent cx="5778393" cy="3964961"/>
                  <wp:effectExtent b="0" l="0" r="0" t="0"/>
                  <wp:docPr descr="" title="Boxplot with gill and muscle moisture content data of fish collected from sites inside (green) and outside ReBio Guaribas (red), with its respective grouping by similarity above each box." id="100" name="Picture"/>
                  <a:graphic>
                    <a:graphicData uri="http://schemas.openxmlformats.org/drawingml/2006/picture">
                      <pic:pic>
                        <pic:nvPicPr>
                          <pic:cNvPr descr="imagens/Figura%206.png" id="101" name="Picture"/>
                          <pic:cNvPicPr>
                            <a:picLocks noChangeArrowheads="1" noChangeAspect="1"/>
                          </pic:cNvPicPr>
                        </pic:nvPicPr>
                        <pic:blipFill>
                          <a:blip r:embed="rId99"/>
                          <a:stretch>
                            <a:fillRect/>
                          </a:stretch>
                        </pic:blipFill>
                        <pic:spPr bwMode="auto">
                          <a:xfrm>
                            <a:off x="0" y="0"/>
                            <a:ext cx="5778393" cy="3964961"/>
                          </a:xfrm>
                          <a:prstGeom prst="rect">
                            <a:avLst/>
                          </a:prstGeom>
                          <a:noFill/>
                          <a:ln w="9525">
                            <a:noFill/>
                            <a:headEnd/>
                            <a:tailEnd/>
                          </a:ln>
                        </pic:spPr>
                      </pic:pic>
                    </a:graphicData>
                  </a:graphic>
                </wp:inline>
              </w:drawing>
            </w:r>
            <w:bookmarkEnd w:id="102"/>
          </w:p>
          <w:p>
            <w:pPr>
              <w:jc w:val="center"/>
            </w:pPr>
            <w:pPr>
              <w:jc w:val="left"/>
              <w:spacing w:before="200"/>
              <w:pStyle w:val="ImageCaption"/>
            </w:pPr>
            <w:r>
              <w:t xml:space="preserve">Figure 5</w:t>
            </w:r>
          </w:p>
          <w:bookmarkEnd w:id="10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8" w:name="fig-fig.6"/>
          <w:p>
            <w:pPr>
              <w:pStyle w:val="Compact"/>
              <w:jc w:val="center"/>
            </w:pPr>
            <w:bookmarkStart w:id="107" w:name="fig-fig.6"/>
            <w:r>
              <w:drawing>
                <wp:inline>
                  <wp:extent cx="5778393" cy="3964961"/>
                  <wp:effectExtent b="0" l="0" r="0" t="0"/>
                  <wp:docPr descr="" title="Average fluorescence data from sampling sites inside and outside the ReBio Guaribas, expressed by relative fluorescence units/milligrammes of tissue (gill)." id="105" name="Picture"/>
                  <a:graphic>
                    <a:graphicData uri="http://schemas.openxmlformats.org/drawingml/2006/picture">
                      <pic:pic>
                        <pic:nvPicPr>
                          <pic:cNvPr descr="imagens/Figura%207.png" id="106" name="Picture"/>
                          <pic:cNvPicPr>
                            <a:picLocks noChangeArrowheads="1" noChangeAspect="1"/>
                          </pic:cNvPicPr>
                        </pic:nvPicPr>
                        <pic:blipFill>
                          <a:blip r:embed="rId104"/>
                          <a:stretch>
                            <a:fillRect/>
                          </a:stretch>
                        </pic:blipFill>
                        <pic:spPr bwMode="auto">
                          <a:xfrm>
                            <a:off x="0" y="0"/>
                            <a:ext cx="5778393" cy="3964961"/>
                          </a:xfrm>
                          <a:prstGeom prst="rect">
                            <a:avLst/>
                          </a:prstGeom>
                          <a:noFill/>
                          <a:ln w="9525">
                            <a:noFill/>
                            <a:headEnd/>
                            <a:tailEnd/>
                          </a:ln>
                        </pic:spPr>
                      </pic:pic>
                    </a:graphicData>
                  </a:graphic>
                </wp:inline>
              </w:drawing>
            </w:r>
            <w:bookmarkEnd w:id="107"/>
          </w:p>
          <w:p>
            <w:pPr>
              <w:jc w:val="center"/>
            </w:pPr>
            <w:pPr>
              <w:jc w:val="left"/>
              <w:spacing w:before="200"/>
              <w:pStyle w:val="ImageCaption"/>
            </w:pPr>
            <w:r>
              <w:t xml:space="preserve">Figure 6</w:t>
            </w:r>
          </w:p>
          <w:bookmarkEnd w:id="10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3" w:name="fig-fig.7"/>
          <w:p>
            <w:pPr>
              <w:pStyle w:val="Compact"/>
              <w:jc w:val="center"/>
            </w:pPr>
            <w:bookmarkStart w:id="112" w:name="fig-fig.7"/>
            <w:r>
              <w:drawing>
                <wp:inline>
                  <wp:extent cx="5778393" cy="3964961"/>
                  <wp:effectExtent b="0" l="0" r="0" t="0"/>
                  <wp:docPr descr="" title="Boxplot with the MXR phenotype activity data of fish collected from sites inside (green) and outside the ReBio Guaribas (red), with its respective grouping by similarity above each box." id="110" name="Picture"/>
                  <a:graphic>
                    <a:graphicData uri="http://schemas.openxmlformats.org/drawingml/2006/picture">
                      <pic:pic>
                        <pic:nvPicPr>
                          <pic:cNvPr descr="imagens/Figura%208.png" id="111" name="Picture"/>
                          <pic:cNvPicPr>
                            <a:picLocks noChangeArrowheads="1" noChangeAspect="1"/>
                          </pic:cNvPicPr>
                        </pic:nvPicPr>
                        <pic:blipFill>
                          <a:blip r:embed="rId109"/>
                          <a:stretch>
                            <a:fillRect/>
                          </a:stretch>
                        </pic:blipFill>
                        <pic:spPr bwMode="auto">
                          <a:xfrm>
                            <a:off x="0" y="0"/>
                            <a:ext cx="5778393" cy="3964961"/>
                          </a:xfrm>
                          <a:prstGeom prst="rect">
                            <a:avLst/>
                          </a:prstGeom>
                          <a:noFill/>
                          <a:ln w="9525">
                            <a:noFill/>
                            <a:headEnd/>
                            <a:tailEnd/>
                          </a:ln>
                        </pic:spPr>
                      </pic:pic>
                    </a:graphicData>
                  </a:graphic>
                </wp:inline>
              </w:drawing>
            </w:r>
            <w:bookmarkEnd w:id="112"/>
          </w:p>
          <w:p>
            <w:pPr>
              <w:jc w:val="center"/>
            </w:pPr>
            <w:pPr>
              <w:jc w:val="left"/>
              <w:spacing w:before="200"/>
              <w:pStyle w:val="ImageCaption"/>
            </w:pPr>
            <w:r>
              <w:t xml:space="preserve">Figure 7</w:t>
            </w:r>
          </w:p>
          <w:bookmarkEnd w:id="11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8" w:name="fig-fig.8"/>
          <w:p>
            <w:pPr>
              <w:pStyle w:val="Compact"/>
              <w:jc w:val="center"/>
            </w:pPr>
            <w:bookmarkStart w:id="117" w:name="fig-fig.8"/>
            <w:r>
              <w:drawing>
                <wp:inline>
                  <wp:extent cx="5778393" cy="3964961"/>
                  <wp:effectExtent b="0" l="0" r="0" t="0"/>
                  <wp:docPr descr="" title="Proportion between average values for each physiological marker analysed, comparing themselves in order to its relationship with the ReBio Guaribas, highlighting the disparity among data of total protein (“TP”) and the MXR phenotype activity (“MXR”), and higher proximity among data of muscle (“MMC”) and gill moisture content (“GMC”)." id="115" name="Picture"/>
                  <a:graphic>
                    <a:graphicData uri="http://schemas.openxmlformats.org/drawingml/2006/picture">
                      <pic:pic>
                        <pic:nvPicPr>
                          <pic:cNvPr descr="imagens/Figure%209.png" id="116" name="Picture"/>
                          <pic:cNvPicPr>
                            <a:picLocks noChangeArrowheads="1" noChangeAspect="1"/>
                          </pic:cNvPicPr>
                        </pic:nvPicPr>
                        <pic:blipFill>
                          <a:blip r:embed="rId114"/>
                          <a:stretch>
                            <a:fillRect/>
                          </a:stretch>
                        </pic:blipFill>
                        <pic:spPr bwMode="auto">
                          <a:xfrm>
                            <a:off x="0" y="0"/>
                            <a:ext cx="5778393" cy="3964961"/>
                          </a:xfrm>
                          <a:prstGeom prst="rect">
                            <a:avLst/>
                          </a:prstGeom>
                          <a:noFill/>
                          <a:ln w="9525">
                            <a:noFill/>
                            <a:headEnd/>
                            <a:tailEnd/>
                          </a:ln>
                        </pic:spPr>
                      </pic:pic>
                    </a:graphicData>
                  </a:graphic>
                </wp:inline>
              </w:drawing>
            </w:r>
            <w:bookmarkEnd w:id="117"/>
          </w:p>
          <w:p>
            <w:pPr>
              <w:jc w:val="center"/>
            </w:pPr>
            <w:pPr>
              <w:jc w:val="left"/>
              <w:spacing w:before="200"/>
              <w:pStyle w:val="ImageCaption"/>
            </w:pPr>
            <w:r>
              <w:t xml:space="preserve">Figure 8</w:t>
            </w:r>
          </w:p>
          <w:bookmarkEnd w:id="118"/>
        </w:tc>
      </w:tr>
    </w:tbl>
    <w:bookmarkEnd w:id="119"/>
    <w:bookmarkStart w:id="120" w:name="tables"/>
    <w:p>
      <w:pPr>
        <w:pStyle w:val="Heading2"/>
      </w:pPr>
      <w:r>
        <w:t xml:space="preserve">Tables</w:t>
      </w:r>
    </w:p>
    <w:bookmarkEnd w:id="120"/>
    <w:bookmarkEnd w:id="121"/>
    <w:bookmarkStart w:id="122" w:name="apendices"/>
    <w:p>
      <w:pPr>
        <w:pStyle w:val="Heading1"/>
      </w:pPr>
      <w:r>
        <w:t xml:space="preserve">Apendices</w:t>
      </w:r>
    </w:p>
    <w:bookmarkEnd w:id="122"/>
    <w:bookmarkStart w:id="126"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C:\PROGRA~1\RStudio\RESOUR~1\app\bin\quarto\share\formats\docx\warning.png" id="125" name="Picture"/>
                          <pic:cNvPicPr>
                            <a:picLocks noChangeArrowheads="1" noChangeAspect="1"/>
                          </pic:cNvPicPr>
                        </pic:nvPicPr>
                        <pic:blipFill>
                          <a:blip r:embed="rId1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126"/>
    <w:sectPr>
      <w:type w:val="nextPage"/>
      <w:pgSz w:h="16838" w:w="11906"/>
      <w:pgMar w:bottom="1134" w:footer="0" w:gutter="0" w:header="0" w:left="1134" w:right="1134" w:top="1134"/>
      <w:pgNumType w:fmt="decimal"/>
      <w:formProt w:val="false"/>
      <w:textDirection w:val="lrTb"/>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rial">
    <w:charset w:val="01"/>
    <w:family w:val="swiss"/>
    <w:pitch w:val="default"/>
  </w:font>
  <w:font w:name="Liberation Sans">
    <w:altName w:val="Arial"/>
    <w:charset w:val="01"/>
    <w:family w:val="swiss"/>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val="0004"/>
  <w:doNotTrackMoves/>
  <w:defaultTabStop w:val="709"/>
  <w:autoHyphenation w:val="true"/>
  <w:hyphenationZone w:val="0"/>
  <w:drawingGridHorizontalSpacing w:val="360"/>
  <w:drawingGridVerticalSpacing w:val="360"/>
  <w:displayHorizontalDrawingGridEvery w:val="0"/>
  <w:displayVerticalDrawingGridEvery w:val="0"/>
  <w:characterSpacingControl w:val="doNotCompress"/>
  <w:savePreviewPicture/>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rial" w:cs="Lucida Sans" w:eastAsia="NSimSun" w:hAnsi="Arial"/>
        <w:kern w:val="2"/>
        <w:sz w:val="24"/>
        <w:szCs w:val="24"/>
        <w:lang w:bidi="hi-IN" w:eastAsia="zh-CN" w:val="en-US"/>
      </w:rPr>
    </w:rPrDefault>
    <w:pPrDefault>
      <w:pPr>
        <w:widowControl/>
        <w:suppressAutoHyphens w:val="true"/>
      </w:pPr>
    </w:pPrDefault>
  </w:docDefaults>
  <w:style w:styleId="Normal" w:type="paragraph">
    <w:name w:val="Normal"/>
    <w:qFormat/>
    <w:pPr>
      <w:widowControl/>
      <w:bidi w:val="0"/>
    </w:pPr>
    <w:rPr>
      <w:rFonts w:ascii="Arial" w:cs="Lucida Sans" w:eastAsia="NSimSun" w:hAnsi="Arial"/>
      <w:color w:val="auto"/>
      <w:kern w:val="2"/>
      <w:sz w:val="24"/>
      <w:szCs w:val="24"/>
      <w:lang w:bidi="hi-IN" w:eastAsia="zh-CN" w:val="en-US"/>
    </w:rPr>
  </w:style>
  <w:style w:styleId="Ttulo" w:type="paragraph">
    <w:name w:val="Título"/>
    <w:basedOn w:val="Normal"/>
    <w:next w:val="BodyText"/>
    <w:qFormat/>
    <w:pPr>
      <w:keepNext w:val="true"/>
      <w:spacing w:after="120" w:before="240"/>
    </w:pPr>
    <w:rPr>
      <w:rFonts w:ascii="Liberation Sans;Arial" w:cs="Lucida Sans" w:eastAsia="Microsoft YaHei" w:hAnsi="Liberation Sans;Arial"/>
      <w:sz w:val="28"/>
      <w:szCs w:val="28"/>
    </w:rPr>
  </w:style>
  <w:style w:styleId="BodyText" w:type="paragraph">
    <w:name w:val="Body Text"/>
    <w:basedOn w:val="Normal"/>
    <w:pPr>
      <w:spacing w:after="140" w:before="0" w:line="276" w:lineRule="auto"/>
    </w:pPr>
    <w:rPr/>
  </w:style>
  <w:style w:styleId="List" w:type="paragraph">
    <w:name w:val="List"/>
    <w:basedOn w:val="BodyText"/>
    <w:pPr/>
    <w:rPr>
      <w:rFonts w:ascii="Arial" w:cs="Lucida Sans" w:hAnsi="Arial"/>
    </w:rPr>
  </w:style>
  <w:style w:styleId="Caption" w:type="paragraph">
    <w:name w:val="caption"/>
    <w:basedOn w:val="Normal"/>
    <w:qFormat/>
    <w:pPr>
      <w:suppressLineNumbers/>
      <w:spacing w:after="120" w:before="120"/>
    </w:pPr>
    <w:rPr>
      <w:rFonts w:ascii="Arial" w:cs="Lucida Sans" w:hAnsi="Arial"/>
      <w:i/>
      <w:iCs/>
      <w:sz w:val="24"/>
      <w:szCs w:val="24"/>
    </w:rPr>
  </w:style>
  <w:style w:styleId="ndice" w:type="paragraph">
    <w:name w:val="Índice"/>
    <w:basedOn w:val="Normal"/>
    <w:qFormat/>
    <w:pPr>
      <w:suppressLineNumbers/>
    </w:pPr>
    <w:rPr>
      <w:rFonts w:ascii="Arial" w:cs="Lucida Sans"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3" Target="media/rId123.png" /><Relationship Type="http://schemas.openxmlformats.org/officeDocument/2006/relationships/image" Id="rId84" Target="media/rId84.png" /><Relationship Type="http://schemas.openxmlformats.org/officeDocument/2006/relationships/image" Id="rId89" Target="media/rId89.png" /><Relationship Type="http://schemas.openxmlformats.org/officeDocument/2006/relationships/image" Id="rId94" Target="media/rId94.png" /><Relationship Type="http://schemas.openxmlformats.org/officeDocument/2006/relationships/image" Id="rId99" Target="media/rId99.png" /><Relationship Type="http://schemas.openxmlformats.org/officeDocument/2006/relationships/image" Id="rId104" Target="media/rId104.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79" Target="media/rId79.png" /><Relationship Type="http://schemas.openxmlformats.org/officeDocument/2006/relationships/hyperlink" Id="rId59" Target="https://app.powerbi.com/view?r=eyJrIjoiMGNmMGY3NGMtNWZlOC00ZmRmLWExZWItNTNiNDhkZDg0MmY4IiwidCI6IjM5NTdhMzY3LTZkMzgtNGMxZi1hNGJhLTMzZThmM2M1NTBlNyJ9&amp;pageName=ReportSectione0a112a2a9e0cf52a827" TargetMode="External" /><Relationship Type="http://schemas.openxmlformats.org/officeDocument/2006/relationships/hyperlink" Id="rId44" Target="https://credit.niso.org/" TargetMode="External" /><Relationship Type="http://schemas.openxmlformats.org/officeDocument/2006/relationships/hyperlink" Id="rId36" Target="https://doi.org/10.1002/wer.1221" TargetMode="External" /><Relationship Type="http://schemas.openxmlformats.org/officeDocument/2006/relationships/hyperlink" Id="rId41" Target="https://doi.org/10.1007/s10669-011-9380-3" TargetMode="External" /><Relationship Type="http://schemas.openxmlformats.org/officeDocument/2006/relationships/hyperlink" Id="rId52" Target="https://doi.org/10.1007/s13530-020-00042-w" TargetMode="External" /><Relationship Type="http://schemas.openxmlformats.org/officeDocument/2006/relationships/hyperlink" Id="rId72" Target="https://doi.org/10.1016/S0027-5107(97)00265-0" TargetMode="External" /><Relationship Type="http://schemas.openxmlformats.org/officeDocument/2006/relationships/hyperlink" Id="rId46" Target="https://doi.org/10.1016/j.ecoenv.2018.09.111" TargetMode="External" /><Relationship Type="http://schemas.openxmlformats.org/officeDocument/2006/relationships/hyperlink" Id="rId74" Target="https://doi.org/10.1016/j.mrfmmm.2004.06.006" TargetMode="External" /><Relationship Type="http://schemas.openxmlformats.org/officeDocument/2006/relationships/hyperlink" Id="rId55" Target="https://doi.org/10.1023/A:1026560922731" TargetMode="External" /><Relationship Type="http://schemas.openxmlformats.org/officeDocument/2006/relationships/hyperlink" Id="rId62" Target="https://doi.org/10.1038/35002501" TargetMode="External" /><Relationship Type="http://schemas.openxmlformats.org/officeDocument/2006/relationships/hyperlink" Id="rId57" Target="https://doi.org/10.12957/tamoios.2020.51272" TargetMode="External" /><Relationship Type="http://schemas.openxmlformats.org/officeDocument/2006/relationships/hyperlink" Id="rId39" Target="https://doi.org/10.14393/SN-v34-2022-60335" TargetMode="External" /><Relationship Type="http://schemas.openxmlformats.org/officeDocument/2006/relationships/hyperlink" Id="rId50" Target="https://doi.org/10.15560/13.5.581" TargetMode="External" /><Relationship Type="http://schemas.openxmlformats.org/officeDocument/2006/relationships/hyperlink" Id="rId64" Target="https://doi.org/10.1590/S1413-70542006000500027" TargetMode="External" /><Relationship Type="http://schemas.openxmlformats.org/officeDocument/2006/relationships/hyperlink" Id="rId70" Target="https://doi.org/10.5016/DT000610176" TargetMode="External" /><Relationship Type="http://schemas.openxmlformats.org/officeDocument/2006/relationships/hyperlink" Id="rId66"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59" Target="https://app.powerbi.com/view?r=eyJrIjoiMGNmMGY3NGMtNWZlOC00ZmRmLWExZWItNTNiNDhkZDg0MmY4IiwidCI6IjM5NTdhMzY3LTZkMzgtNGMxZi1hNGJhLTMzZThmM2M1NTBlNyJ9&amp;pageName=ReportSectione0a112a2a9e0cf52a827" TargetMode="External" /><Relationship Type="http://schemas.openxmlformats.org/officeDocument/2006/relationships/hyperlink" Id="rId44" Target="https://credit.niso.org/" TargetMode="External" /><Relationship Type="http://schemas.openxmlformats.org/officeDocument/2006/relationships/hyperlink" Id="rId36" Target="https://doi.org/10.1002/wer.1221" TargetMode="External" /><Relationship Type="http://schemas.openxmlformats.org/officeDocument/2006/relationships/hyperlink" Id="rId41" Target="https://doi.org/10.1007/s10669-011-9380-3" TargetMode="External" /><Relationship Type="http://schemas.openxmlformats.org/officeDocument/2006/relationships/hyperlink" Id="rId52" Target="https://doi.org/10.1007/s13530-020-00042-w" TargetMode="External" /><Relationship Type="http://schemas.openxmlformats.org/officeDocument/2006/relationships/hyperlink" Id="rId72" Target="https://doi.org/10.1016/S0027-5107(97)00265-0" TargetMode="External" /><Relationship Type="http://schemas.openxmlformats.org/officeDocument/2006/relationships/hyperlink" Id="rId46" Target="https://doi.org/10.1016/j.ecoenv.2018.09.111" TargetMode="External" /><Relationship Type="http://schemas.openxmlformats.org/officeDocument/2006/relationships/hyperlink" Id="rId74" Target="https://doi.org/10.1016/j.mrfmmm.2004.06.006" TargetMode="External" /><Relationship Type="http://schemas.openxmlformats.org/officeDocument/2006/relationships/hyperlink" Id="rId55" Target="https://doi.org/10.1023/A:1026560922731" TargetMode="External" /><Relationship Type="http://schemas.openxmlformats.org/officeDocument/2006/relationships/hyperlink" Id="rId62" Target="https://doi.org/10.1038/35002501" TargetMode="External" /><Relationship Type="http://schemas.openxmlformats.org/officeDocument/2006/relationships/hyperlink" Id="rId57" Target="https://doi.org/10.12957/tamoios.2020.51272" TargetMode="External" /><Relationship Type="http://schemas.openxmlformats.org/officeDocument/2006/relationships/hyperlink" Id="rId39" Target="https://doi.org/10.14393/SN-v34-2022-60335" TargetMode="External" /><Relationship Type="http://schemas.openxmlformats.org/officeDocument/2006/relationships/hyperlink" Id="rId50" Target="https://doi.org/10.15560/13.5.581" TargetMode="External" /><Relationship Type="http://schemas.openxmlformats.org/officeDocument/2006/relationships/hyperlink" Id="rId64" Target="https://doi.org/10.1590/S1413-70542006000500027" TargetMode="External" /><Relationship Type="http://schemas.openxmlformats.org/officeDocument/2006/relationships/hyperlink" Id="rId70" Target="https://doi.org/10.5016/DT000610176" TargetMode="External" /><Relationship Type="http://schemas.openxmlformats.org/officeDocument/2006/relationships/hyperlink" Id="rId66" Target="https://www.R-project.org/" TargetMode="Externa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LibreOffice/26.2.1.2$Windows_X86_64 LibreOffice_project/620$Build-2</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Physiological biomarkers of stream fish from the Atlantic Forest within a Conservation Unit and its surroundings</dc:title>
  <dc:creator>Adamastor Coutinho Pinto; Mayara Mirelly da Silva Monteiro; Alice da Silva Barros; Larissa Rafaela Caetano da Silva; Enelise Marcelle Amado; Elvio Sergio Figueredo Medeiros</dc:creator>
  <dc:language>en-US</dc:language>
  <cp:keywords>Ecological Health, Physiological Stress</cp:keywords>
  <dcterms:created xsi:type="dcterms:W3CDTF">2026-03-12T00:21:07Z</dcterms:created>
  <dcterms:modified xsi:type="dcterms:W3CDTF">2026-03-12T00:21:07Z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2026-03-11</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subtitle">
    <vt:lpwstr/>
  </property>
  <property fmtid="{D5CDD505-2E9C-101B-9397-08002B2CF9AE}" pid="20" name="toc-title">
    <vt:lpwstr>Table of contents</vt:lpwstr>
  </property>
</Properties>
</file>