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4.png" ContentType="image/png"/>
  <Override PartName="/word/media/rId223.png" ContentType="image/png"/>
  <Override PartName="/word/media/rId21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w:t>
      </w:r>
      <w:r>
        <w:t xml:space="preserve"> </w:t>
      </w:r>
      <w:r>
        <w:rPr>
          <w:i/>
          <w:iCs/>
        </w:rPr>
        <w:t xml:space="preserve">et al.</w:t>
      </w:r>
      <w:r>
        <w:t xml:space="preserve">, 2025; Silva</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Michelan;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5" w:name="discussão"/>
    <w:p>
      <w:pPr>
        <w:pStyle w:val="Heading1"/>
      </w:pPr>
      <w:r>
        <w:t xml:space="preserve">7. Discussão</w:t>
      </w:r>
    </w:p>
    <w:bookmarkStart w:id="34" w:name="variáveis-ambientais-1"/>
    <w:p>
      <w:pPr>
        <w:pStyle w:val="Heading2"/>
      </w:pPr>
      <w:r>
        <w:t xml:space="preserve">7.1 Variáveis ambientais</w:t>
      </w:r>
    </w:p>
    <w:p>
      <w:pPr>
        <w:pStyle w:val="FirstParagraph"/>
      </w:pPr>
      <w:r>
        <w:t xml:space="preserve">As condições ambientais variaram entre os pontos amostrados, considerando o nível de preservação e a localização em relação à REBIO Guaribas. A composição do substrato variou entre os pontos, com predomínio de lama nos pontos 1 e 2, ambos localizados dentro da unidade de conservação, enquanto a areia foi predominante nos pontos 14, 9 e 10, fora da unidade de conservação. Essa diferença indica que os pontos localizados dentro apresentaram maior percentual de lama, enquanto pontos externos à unidade de conservação apresentaram maior percentual de areia, mesmo quando classificados como preservados (Pontos 9 e 14). Esse padrão pode estar relacionado à influência do uso e da cobertura do solo decorrente das atividades antrópicas na região.</w:t>
      </w:r>
      <w:r>
        <w:t xml:space="preserve"> </w:t>
      </w:r>
      <w:r>
        <w:t xml:space="preserve">Beltrão; Medeiros; Ramos (2009)</w:t>
      </w:r>
      <w:r>
        <w:t xml:space="preserve"> </w:t>
      </w:r>
      <w:r>
        <w:t xml:space="preserve">observaram que riachos com margens florestadas apresentavam maior variedade de micro-hábitats, substrato mais lodoso e presença de raízes e galhos, enquanto locais com retirada da vegetação e uso agrícola apresentavam sinais de erosão e substratos mais arenosos, resultados que condizem com os do presente estudo.</w:t>
      </w:r>
      <w:r>
        <w:t xml:space="preserve"> </w:t>
      </w:r>
      <w:r>
        <w:t xml:space="preserve">Myers</w:t>
      </w:r>
      <w:r>
        <w:t xml:space="preserve"> </w:t>
      </w:r>
      <w:r>
        <w:rPr>
          <w:i/>
          <w:iCs/>
        </w:rPr>
        <w:t xml:space="preserve">et al.</w:t>
      </w:r>
      <w:r>
        <w:t xml:space="preserve"> </w:t>
      </w:r>
      <w:r>
        <w:t xml:space="preserve">(2021)</w:t>
      </w:r>
      <w:r>
        <w:t xml:space="preserve"> </w:t>
      </w:r>
      <w:r>
        <w:t xml:space="preserve">também destacaram que alterações no uso do solo podem modificar a geomorfologia dos riachos e favorecer o acúmulo de sedimentos finos. A cobertura vegetal também variou entre os pontos amostrados. Os maiores valores foram registrados nos pontos 7, 3, 2 e 5. Entre eles, os pontos 2 e 3 estavam localizados dentro da REBIO Guaribas, enquanto os pontos 5 e 7 estavam fora da unidade de conservação, mas foram classificados como preservados. Esses resultados indicam que a cobertura vegetal não esteve relacionada apenas à localização dos pontos, mas também ao nível de preservação das áreas amostradas. Por outro lado, o ponto 11 apresentou a menor cobertura vegetal e foi classificado como tipo IV, ou seja, localizado fora da reserva e não preservado. Nesse ponto, gramíneas e macrófitas foram mais representativas. O maior percentual de gramíneas e macrófitas no ponto 11 pode estar relacionado a sua menor cobertura vegetal, que leva à maior disponibilidade de luz pela abertura do dossel, favorecendo o desenvolvimento de gramíneas e macrófitas. Os pontos inseridos na REBIO Guaribas, apresentaram associação com maior cobertura vegetal, acúmulo de liteira e maior complexidade estrutural do hábitat. Esses atributos aumentam a heterogeneidade ambiental e a disponibilidade de micro-hábitats</w:t>
      </w:r>
      <w:r>
        <w:t xml:space="preserve"> </w:t>
      </w:r>
      <w:r>
        <w:t xml:space="preserve">(Granjeiro</w:t>
      </w:r>
      <w:r>
        <w:t xml:space="preserve"> </w:t>
      </w:r>
      <w:r>
        <w:rPr>
          <w:i/>
          <w:iCs/>
        </w:rPr>
        <w:t xml:space="preserve">et al.</w:t>
      </w:r>
      <w:r>
        <w:t xml:space="preserve">, 2024; Rasvailer; Scoarize; Benedito, 2024)</w:t>
      </w:r>
      <w:r>
        <w:t xml:space="preserve">. Entretanto, os resultados também mostram que a localização e o nível de preservação precisam ser considerados em conjunto. Os pontos situados dentro da reserva, mesmo quando apresentaram alterações, mantiveram algumas características ambientais semelhantes às do ponto de referência. Por sua vez, os pontos localizados fora da unidade de conservação apresentaram condições distintas, inclusive entre aqueles classificados como preservados.</w:t>
      </w:r>
    </w:p>
    <w:p>
      <w:pPr>
        <w:pStyle w:val="TextBody"/>
      </w:pPr>
      <w:r>
        <w:t xml:space="preserve">As variáveis relacionadas à morfologia do canal e à dinâmica da água também apresentaram variação entre os pontos. A velocidade da água variou de 0 a 0,41 m/s, enquanto a largura do canal variou de 1,1 a 19,5 m e a profundidade média, de 12,8 a 72,4 cm. Os pontos classificados como tipo III e IV apresentaram canais mais largos e maiores profundidades. Essas características indicam diferenças nas condições de escoamento e na estrutura física dos ambientes, que podem influenciar o transporte e a deposição de sedimentos, além da disponibilidade de diferentes condições de hábitat.</w:t>
      </w:r>
      <w:r>
        <w:t xml:space="preserve"> </w:t>
      </w:r>
      <w:r>
        <w:t xml:space="preserve">Medeiros; Silva; Ramos (2008)</w:t>
      </w:r>
      <w:r>
        <w:t xml:space="preserve"> </w:t>
      </w:r>
      <w:r>
        <w:t xml:space="preserve">destacaram a importância de variáveis como a profundidade e a largura na caracterização de ambientes aquáticos.</w:t>
      </w:r>
      <w:r>
        <w:t xml:space="preserve"> </w:t>
      </w:r>
      <w:r>
        <w:t xml:space="preserve">Dodds</w:t>
      </w:r>
      <w:r>
        <w:t xml:space="preserve"> </w:t>
      </w:r>
      <w:r>
        <w:rPr>
          <w:i/>
          <w:iCs/>
        </w:rPr>
        <w:t xml:space="preserve">et al.</w:t>
      </w:r>
      <w:r>
        <w:t xml:space="preserve"> </w:t>
      </w:r>
      <w:r>
        <w:t xml:space="preserve">(2023)</w:t>
      </w:r>
      <w:r>
        <w:t xml:space="preserve"> </w:t>
      </w:r>
      <w:r>
        <w:t xml:space="preserve">relacionaram a remoção da vegetação lenhosa das margens a alterações na morfologia do canal e na distribuição dos sedimentos. Essas relações ajudam a compreender as diferenças estruturais observadas entre áreas com diferentes níveis de preservação. Entre as variáveis físico-químicas da água, os maiores valores de condutividade, pH e turbidez foram medidos nos pontos que estavam localizados fora da área de proteção. A turbidez pode estar relacionada à presença de partículas suspensas, ao transporte de sedimentos e ao escoamento superficial.</w:t>
      </w:r>
      <w:r>
        <w:t xml:space="preserve"> </w:t>
      </w:r>
      <w:r>
        <w:t xml:space="preserve">Granjeiro</w:t>
      </w:r>
      <w:r>
        <w:t xml:space="preserve"> </w:t>
      </w:r>
      <w:r>
        <w:rPr>
          <w:i/>
          <w:iCs/>
        </w:rPr>
        <w:t xml:space="preserve">et al.</w:t>
      </w:r>
      <w:r>
        <w:t xml:space="preserve"> </w:t>
      </w:r>
      <w:r>
        <w:t xml:space="preserve">(2024)</w:t>
      </w:r>
      <w:r>
        <w:t xml:space="preserve"> </w:t>
      </w:r>
      <w:r>
        <w:t xml:space="preserve">discutiram que a retirada da vegetação ripária pode favorecer a erosão e aumentar a turbidez, enquanto</w:t>
      </w:r>
      <w:r>
        <w:t xml:space="preserve"> </w:t>
      </w:r>
      <w:r>
        <w:t xml:space="preserve">Bomfim</w:t>
      </w:r>
      <w:r>
        <w:t xml:space="preserve"> </w:t>
      </w:r>
      <w:r>
        <w:rPr>
          <w:i/>
          <w:iCs/>
        </w:rPr>
        <w:t xml:space="preserve">et al.</w:t>
      </w:r>
      <w:r>
        <w:t xml:space="preserve"> </w:t>
      </w:r>
      <w:r>
        <w:t xml:space="preserve">(2023)</w:t>
      </w:r>
      <w:r>
        <w:t xml:space="preserve"> </w:t>
      </w:r>
      <w:r>
        <w:t xml:space="preserve">observaram relações entre alterações no uso do solo, redução da cobertura ripária e aumento de sólidos suspensos em riachos.</w:t>
      </w:r>
    </w:p>
    <w:p>
      <w:pPr>
        <w:pStyle w:val="TextBody"/>
      </w:pPr>
      <w:r>
        <w:t xml:space="preserve">A Análise de Componentes Principais (PCA) explicou 40,0% da variação ambiental nos dois primeiros eixos, sendo 23,2% explicados pelo primeiro eixo e 16,8% pelo segundo. O tipo II, localizado dentro da REBIO Guaribas e caracterizado por alterações no nível de preservação, apresentou maior proximidade com o tipo I, também localizado dentro da reserva e utilizado como referência. Ambos estiveram associados a variáveis como altitude, liteira e oxigênio dissolvido. Essa proximidade indica semelhanças nas condições ambientais representadas pela ordenação, apesar das diferenças previstas na classificação quanto ao nível de preservação. Assim, os pontos localizados dentro da unidade de conservação apresentaram condições ambientais relativamente semelhantes entre si, mesmo quando submetidos a diferentes níveis de alteração. O tipo III, localizado fora da REBIO Guaribas e classificado como preservado, esteve associado à largura do canal, à vegetação submersa, às gramíneas, às macrófitas, à lama e às algas, mostrando características de um local de transição entre ambientes degradados e preservados. Esse resultado mostra que os pontos externos à reserva também apresentaram características ambientais próprias, distintas daquelas associadas aos tipos I e II. Portanto, a localização fora da unidade de conservação não implicou necessariamente condições semelhantes às do tipo IV, indicando que os pontos externos não constituíram um conjunto ambiental semelhante. O tipo IV, também localizado fora da reserva, apresentou maior dispersão na PCA, com alguns pontos associados à areia, à velocidade da água e à turbidez. Essa distribuição indica maior heterogeneidade nas condições ambientais desse grupo, que apresentou diferenças entre os pontos amostrados. A maior dispersão pode estar relacionada à variação das características físicas e ambientais dos locais, evidenciando que os ambientes classificados como alterados não apresentaram condições uniformes.</w:t>
      </w:r>
      <w:r>
        <w:t xml:space="preserve"> </w:t>
      </w:r>
      <w:r>
        <w:t xml:space="preserve">Shi; Czerniawski (2025)</w:t>
      </w:r>
      <w:r>
        <w:t xml:space="preserve"> </w:t>
      </w:r>
      <w:r>
        <w:t xml:space="preserve">destacaram que características como o fluxo da água, tipo de substrato, profundidade e presença de macrófitas podem contribuir para a diferenciação dos hábitats em pequenos rios e riachos, padrão que foi observado na separação entre os quatro tipos estudados neste trabalho.</w:t>
      </w:r>
    </w:p>
    <w:p>
      <w:pPr>
        <w:pStyle w:val="TextBody"/>
      </w:pPr>
      <w:r>
        <w:t xml:space="preserve">A PERMANOVA confirmou diferenças significativas nas condições ambientais entre os tipos. Por outro lado, não foi observada diferença significativa entre os tipos I e II. A ausência de diferença estatística entre esses dois grupos indica que as variáveis ambientais avaliadas não foram suficientemente distintas para separá-los estatisticamente, apesar das diferenças previstas na classificação quanto ao nível de preservação. Como ambos estão localizados dentro da REBIO Guaribas, esse resultado é compatível com as semelhanças observadas na PCA. As diferenças entre os tipos I e III mostram que os pontos de referência localizados dentro da reserva apresentaram condições ambientais distintas das encontradas nos pontos externos mesmo quando bem preservados. Já as diferenças entre os tipos I e IV e entre os tipos II e IV mostram que os pontos externos com sinais de perturbação apresentaram condições distintas das encontradas nos dois grupos localizados dentro da reserva. A diferença entre os tipos III e IV também demonstra que os pontos externos não formaram um grupo ambiental homogêneo, uma vez que apresentaram diferenças mesmo estando localizados fora da unidade de conservação.</w:t>
      </w:r>
    </w:p>
    <w:bookmarkEnd w:id="34"/>
    <w:bookmarkEnd w:id="35"/>
    <w:bookmarkStart w:id="36" w:name="conclusão"/>
    <w:p>
      <w:pPr>
        <w:pStyle w:val="Heading1"/>
      </w:pPr>
      <w:r>
        <w:t xml:space="preserve">8. Conclusão</w:t>
      </w:r>
    </w:p>
    <w:p>
      <w:pPr>
        <w:pStyle w:val="FirstParagraph"/>
      </w:pPr>
      <w:r>
        <w:t xml:space="preserve">Em conjunto, os resultados da PCA e da PERMANOVA mostram que as condições ambientais variaram entre os locais amostrados e estiveram relacionadas tanto ao nível de preservação quanto à localização em relação à REBIO Guaribas. A semelhança entre os tipos I e II e as diferenças observadas entre os grupos externos e internos indicam que a localização dos pontos deve ser considerada juntamente com o nível de preservação.</w:t>
      </w:r>
    </w:p>
    <w:bookmarkEnd w:id="36"/>
    <w:bookmarkStart w:id="37"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7"/>
    <w:bookmarkStart w:id="218" w:name="referências"/>
    <w:p>
      <w:pPr>
        <w:pStyle w:val="Heading1"/>
      </w:pPr>
      <w:r>
        <w:t xml:space="preserve">Referências</w:t>
      </w:r>
    </w:p>
    <w:bookmarkStart w:id="217" w:name="refs"/>
    <w:bookmarkStart w:id="39"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8">
        <w:r>
          <w:rPr>
            <w:rStyle w:val="Hyperlink"/>
          </w:rPr>
          <w:t xml:space="preserve">https://link.springer.com/10.1007/s42974-022-00099-2</w:t>
        </w:r>
      </w:hyperlink>
      <w:r>
        <w:t xml:space="preserve">.</w:t>
      </w:r>
    </w:p>
    <w:bookmarkEnd w:id="39"/>
    <w:bookmarkStart w:id="41"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40">
        <w:r>
          <w:rPr>
            <w:rStyle w:val="Hyperlink"/>
          </w:rPr>
          <w:t xml:space="preserve">http://www.scielo.br/scielo.php?script=sci_arttext&amp;pid=S0001-37652022000301009&amp;tlng=en</w:t>
        </w:r>
      </w:hyperlink>
      <w:r>
        <w:t xml:space="preserve">.</w:t>
      </w:r>
    </w:p>
    <w:bookmarkEnd w:id="41"/>
    <w:bookmarkStart w:id="43"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2">
        <w:r>
          <w:rPr>
            <w:rStyle w:val="Hyperlink"/>
          </w:rPr>
          <w:t xml:space="preserve">https://onlinelibrary.wiley.com/doi/10.1111/j.1442-9993.2001.01070.pp.x</w:t>
        </w:r>
      </w:hyperlink>
      <w:r>
        <w:t xml:space="preserve">.</w:t>
      </w:r>
    </w:p>
    <w:bookmarkEnd w:id="43"/>
    <w:bookmarkStart w:id="45"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4">
        <w:r>
          <w:rPr>
            <w:rStyle w:val="Hyperlink"/>
          </w:rPr>
          <w:t xml:space="preserve">http://www.scielo.br/scielo.php?script=sci_arttext&amp;pid=S2179-975X2022000100715&amp;tlng=en</w:t>
        </w:r>
      </w:hyperlink>
      <w:r>
        <w:t xml:space="preserve">.</w:t>
      </w:r>
    </w:p>
    <w:bookmarkEnd w:id="45"/>
    <w:bookmarkStart w:id="46"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6"/>
    <w:bookmarkStart w:id="48"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7">
        <w:r>
          <w:rPr>
            <w:rStyle w:val="Hyperlink"/>
          </w:rPr>
          <w:t xml:space="preserve">https://linkinghub.elsevier.com/retrieve/pii/S0075951124000239</w:t>
        </w:r>
      </w:hyperlink>
      <w:r>
        <w:t xml:space="preserve">.</w:t>
      </w:r>
    </w:p>
    <w:bookmarkEnd w:id="48"/>
    <w:bookmarkStart w:id="50"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9">
        <w:r>
          <w:rPr>
            <w:rStyle w:val="Hyperlink"/>
          </w:rPr>
          <w:t xml:space="preserve">https://linkinghub.elsevier.com/retrieve/pii/S0006320722002488</w:t>
        </w:r>
      </w:hyperlink>
      <w:r>
        <w:t xml:space="preserve">.</w:t>
      </w:r>
    </w:p>
    <w:bookmarkEnd w:id="50"/>
    <w:bookmarkStart w:id="52"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1">
        <w:r>
          <w:rPr>
            <w:rStyle w:val="Hyperlink"/>
          </w:rPr>
          <w:t xml:space="preserve">https://linkinghub.elsevier.com/retrieve/pii/S0048969724050563</w:t>
        </w:r>
      </w:hyperlink>
      <w:r>
        <w:t xml:space="preserve">.</w:t>
      </w:r>
    </w:p>
    <w:bookmarkEnd w:id="52"/>
    <w:bookmarkStart w:id="54"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3">
        <w:r>
          <w:rPr>
            <w:rStyle w:val="Hyperlink"/>
          </w:rPr>
          <w:t xml:space="preserve">http://www.scielo.br/scielo.php?script=sci_arttext&amp;pid=S1676-06032009000400003&amp;lng=en&amp;tlng=en</w:t>
        </w:r>
      </w:hyperlink>
      <w:r>
        <w:t xml:space="preserve">.</w:t>
      </w:r>
    </w:p>
    <w:bookmarkEnd w:id="54"/>
    <w:bookmarkStart w:id="56"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5">
        <w:r>
          <w:rPr>
            <w:rStyle w:val="Hyperlink"/>
          </w:rPr>
          <w:t xml:space="preserve">https://esajournals.onlinelibrary.wiley.com/doi/10.1890/07-0986.1</w:t>
        </w:r>
      </w:hyperlink>
      <w:r>
        <w:t xml:space="preserve">.</w:t>
      </w:r>
    </w:p>
    <w:bookmarkEnd w:id="56"/>
    <w:bookmarkStart w:id="58"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7">
        <w:r>
          <w:rPr>
            <w:rStyle w:val="Hyperlink"/>
          </w:rPr>
          <w:t xml:space="preserve">https://doi.org/10.1371/journal.pone.0288385</w:t>
        </w:r>
      </w:hyperlink>
      <w:r>
        <w:t xml:space="preserve">.</w:t>
      </w:r>
    </w:p>
    <w:bookmarkEnd w:id="58"/>
    <w:bookmarkStart w:id="60"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9">
        <w:r>
          <w:rPr>
            <w:rStyle w:val="Hyperlink"/>
          </w:rPr>
          <w:t xml:space="preserve">http://www.scielo.br/scielo.php?script=sci_arttext&amp;pid=S0001-37652022000301010&amp;tlng=en</w:t>
        </w:r>
      </w:hyperlink>
      <w:r>
        <w:t xml:space="preserve">.</w:t>
      </w:r>
    </w:p>
    <w:bookmarkEnd w:id="60"/>
    <w:bookmarkStart w:id="62"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1">
        <w:r>
          <w:rPr>
            <w:rStyle w:val="Hyperlink"/>
          </w:rPr>
          <w:t xml:space="preserve">https://link.springer.com/10.1007/s10750-024-05485-7</w:t>
        </w:r>
      </w:hyperlink>
      <w:r>
        <w:t xml:space="preserve">.</w:t>
      </w:r>
    </w:p>
    <w:bookmarkEnd w:id="62"/>
    <w:bookmarkStart w:id="63"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3"/>
    <w:bookmarkStart w:id="65" w:name="ref-brasil2000"/>
    <w:p>
      <w:pPr>
        <w:pStyle w:val="Bibliography"/>
      </w:pPr>
      <w:r>
        <w:t xml:space="preserve">BRASIL. Lei nº 9.985, de 18 de julho de 2000. [</w:t>
      </w:r>
      <w:r>
        <w:rPr>
          <w:i/>
          <w:iCs/>
        </w:rPr>
        <w:t xml:space="preserve">s. l.</w:t>
      </w:r>
      <w:r>
        <w:t xml:space="preserve">], 18 Jul. 2000. Available at:</w:t>
      </w:r>
      <w:r>
        <w:t xml:space="preserve"> </w:t>
      </w:r>
      <w:hyperlink r:id="rId64">
        <w:r>
          <w:rPr>
            <w:rStyle w:val="Hyperlink"/>
          </w:rPr>
          <w:t xml:space="preserve">https://planalto.gov.br/ccivil_03/leis/l9985.htm</w:t>
        </w:r>
      </w:hyperlink>
      <w:r>
        <w:t xml:space="preserve">.</w:t>
      </w:r>
    </w:p>
    <w:bookmarkEnd w:id="65"/>
    <w:bookmarkStart w:id="67"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6">
        <w:r>
          <w:rPr>
            <w:rStyle w:val="Hyperlink"/>
          </w:rPr>
          <w:t xml:space="preserve">https://linkinghub.elsevier.com/retrieve/pii/S0075951123000063</w:t>
        </w:r>
      </w:hyperlink>
      <w:r>
        <w:t xml:space="preserve">.</w:t>
      </w:r>
    </w:p>
    <w:bookmarkEnd w:id="67"/>
    <w:bookmarkStart w:id="69"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8">
        <w:r>
          <w:rPr>
            <w:rStyle w:val="Hyperlink"/>
          </w:rPr>
          <w:t xml:space="preserve">https://linkinghub.elsevier.com/retrieve/pii/S0195925522001950</w:t>
        </w:r>
      </w:hyperlink>
      <w:r>
        <w:t xml:space="preserve">.</w:t>
      </w:r>
    </w:p>
    <w:bookmarkEnd w:id="69"/>
    <w:bookmarkStart w:id="71"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70">
        <w:r>
          <w:rPr>
            <w:rStyle w:val="Hyperlink"/>
          </w:rPr>
          <w:t xml:space="preserve">https://onlinelibrary.wiley.com/doi/10.1111/j.1442-9993.1993.tb00438.x</w:t>
        </w:r>
      </w:hyperlink>
      <w:r>
        <w:t xml:space="preserve">.</w:t>
      </w:r>
    </w:p>
    <w:bookmarkEnd w:id="71"/>
    <w:bookmarkStart w:id="73"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2">
        <w:r>
          <w:rPr>
            <w:rStyle w:val="Hyperlink"/>
          </w:rPr>
          <w:t xml:space="preserve">https://www.frontiersin.org/articles/10.3389/ffwsc.2026.1776529/full</w:t>
        </w:r>
      </w:hyperlink>
      <w:r>
        <w:t xml:space="preserve">.</w:t>
      </w:r>
    </w:p>
    <w:bookmarkEnd w:id="73"/>
    <w:bookmarkStart w:id="75" w:name="ref-dodds2023"/>
    <w:p>
      <w:pPr>
        <w:pStyle w:val="Bibliography"/>
      </w:pPr>
      <w:r>
        <w:t xml:space="preserve">DODDS, W. K.</w:t>
      </w:r>
      <w:r>
        <w:t xml:space="preserve"> </w:t>
      </w:r>
      <w:r>
        <w:rPr>
          <w:i/>
          <w:iCs/>
        </w:rPr>
        <w:t xml:space="preserve">et al.</w:t>
      </w:r>
      <w:r>
        <w:t xml:space="preserve"> Trajectories and state changes of a grassland stream and riparian zone after a decade of woody vegetation removal.</w:t>
      </w:r>
      <w:r>
        <w:t xml:space="preserve"> </w:t>
      </w:r>
      <w:r>
        <w:rPr>
          <w:b/>
          <w:bCs/>
        </w:rPr>
        <w:t xml:space="preserve">Ecological Applications</w:t>
      </w:r>
      <w:r>
        <w:t xml:space="preserve">, [</w:t>
      </w:r>
      <w:r>
        <w:rPr>
          <w:i/>
          <w:iCs/>
        </w:rPr>
        <w:t xml:space="preserve">s. l.</w:t>
      </w:r>
      <w:r>
        <w:t xml:space="preserve">], vol. 33, no. 4, p. e2830, Jun. 2023. Available at:</w:t>
      </w:r>
      <w:r>
        <w:t xml:space="preserve"> </w:t>
      </w:r>
      <w:hyperlink r:id="rId74">
        <w:r>
          <w:rPr>
            <w:rStyle w:val="Hyperlink"/>
          </w:rPr>
          <w:t xml:space="preserve">https://esajournals.onlinelibrary.wiley.com/doi/10.1002/eap.2830</w:t>
        </w:r>
      </w:hyperlink>
      <w:r>
        <w:t xml:space="preserve">.</w:t>
      </w:r>
    </w:p>
    <w:bookmarkEnd w:id="75"/>
    <w:bookmarkStart w:id="77"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6">
        <w:r>
          <w:rPr>
            <w:rStyle w:val="Hyperlink"/>
          </w:rPr>
          <w:t xml:space="preserve">http://doi.wiley.com/10.1890/0012-9615(1997)067[0345:SAAIST]2.0.CO;2</w:t>
        </w:r>
      </w:hyperlink>
      <w:r>
        <w:t xml:space="preserve">.</w:t>
      </w:r>
    </w:p>
    <w:bookmarkEnd w:id="77"/>
    <w:bookmarkStart w:id="79"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8">
        <w:r>
          <w:rPr>
            <w:rStyle w:val="Hyperlink"/>
          </w:rPr>
          <w:t xml:space="preserve">https://revistas.ufrj.br/index.php/oa/article/view/64328</w:t>
        </w:r>
      </w:hyperlink>
      <w:r>
        <w:t xml:space="preserve">.</w:t>
      </w:r>
    </w:p>
    <w:bookmarkEnd w:id="79"/>
    <w:bookmarkStart w:id="80"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80"/>
    <w:bookmarkStart w:id="81"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81"/>
    <w:bookmarkStart w:id="83"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82">
        <w:r>
          <w:rPr>
            <w:rStyle w:val="Hyperlink"/>
          </w:rPr>
          <w:t xml:space="preserve">https://www.mdpi.com/2673-4060/4/4/40</w:t>
        </w:r>
      </w:hyperlink>
      <w:r>
        <w:t xml:space="preserve">.</w:t>
      </w:r>
    </w:p>
    <w:bookmarkEnd w:id="83"/>
    <w:bookmarkStart w:id="85"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4">
        <w:r>
          <w:rPr>
            <w:rStyle w:val="Hyperlink"/>
          </w:rPr>
          <w:t xml:space="preserve">https://publicacoes.amigosdanatureza.org.br/index.php/forum_ambiental/article/view/3076</w:t>
        </w:r>
      </w:hyperlink>
      <w:r>
        <w:t xml:space="preserve">.</w:t>
      </w:r>
    </w:p>
    <w:bookmarkEnd w:id="85"/>
    <w:bookmarkStart w:id="87"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6">
        <w:r>
          <w:rPr>
            <w:rStyle w:val="Hyperlink"/>
          </w:rPr>
          <w:t xml:space="preserve">https://doi.org/10.1577/1548-8659-125.1.154</w:t>
        </w:r>
      </w:hyperlink>
      <w:r>
        <w:t xml:space="preserve">.</w:t>
      </w:r>
    </w:p>
    <w:bookmarkEnd w:id="87"/>
    <w:bookmarkStart w:id="89"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8">
        <w:r>
          <w:rPr>
            <w:rStyle w:val="Hyperlink"/>
          </w:rPr>
          <w:t xml:space="preserve">https://www.sciencedirect.com/science/article/pii/0006320785900552</w:t>
        </w:r>
      </w:hyperlink>
      <w:r>
        <w:t xml:space="preserve">.</w:t>
      </w:r>
    </w:p>
    <w:bookmarkEnd w:id="89"/>
    <w:bookmarkStart w:id="91"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90">
        <w:r>
          <w:rPr>
            <w:rStyle w:val="Hyperlink"/>
          </w:rPr>
          <w:t xml:space="preserve">http://www.scielo.br/scielo.php?script=sci_arttext&amp;pid=S1679-62252023000200218&amp;tlng=en</w:t>
        </w:r>
      </w:hyperlink>
      <w:r>
        <w:t xml:space="preserve">.</w:t>
      </w:r>
    </w:p>
    <w:bookmarkEnd w:id="91"/>
    <w:bookmarkStart w:id="93"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92">
        <w:r>
          <w:rPr>
            <w:rStyle w:val="Hyperlink"/>
          </w:rPr>
          <w:t xml:space="preserve">http://link.springer.com/10.1007/s42974-020-00008-5</w:t>
        </w:r>
      </w:hyperlink>
      <w:r>
        <w:t xml:space="preserve">.</w:t>
      </w:r>
    </w:p>
    <w:bookmarkEnd w:id="93"/>
    <w:bookmarkStart w:id="95"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4">
        <w:r>
          <w:rPr>
            <w:rStyle w:val="Hyperlink"/>
          </w:rPr>
          <w:t xml:space="preserve">https://checklist.pensoft.net/articles.php?id=21379</w:t>
        </w:r>
      </w:hyperlink>
      <w:r>
        <w:t xml:space="preserve">.</w:t>
      </w:r>
    </w:p>
    <w:bookmarkEnd w:id="95"/>
    <w:bookmarkStart w:id="97"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w:t>
      </w:r>
      <w:r>
        <w:rPr>
          <w:i/>
          <w:iCs/>
        </w:rPr>
        <w:t xml:space="preserve">s. l.</w:t>
      </w:r>
      <w:r>
        <w:t xml:space="preserve">], vol. 36, p. e34, 2024. Available at:</w:t>
      </w:r>
      <w:r>
        <w:t xml:space="preserve"> </w:t>
      </w:r>
      <w:hyperlink r:id="rId96">
        <w:r>
          <w:rPr>
            <w:rStyle w:val="Hyperlink"/>
          </w:rPr>
          <w:t xml:space="preserve">http://www.scielo.br/scielo.php?script=sci_arttext&amp;pid=S2179-975X2024000100728&amp;tlng=en</w:t>
        </w:r>
      </w:hyperlink>
      <w:r>
        <w:t xml:space="preserve">.</w:t>
      </w:r>
    </w:p>
    <w:bookmarkEnd w:id="97"/>
    <w:bookmarkStart w:id="99"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8">
        <w:r>
          <w:rPr>
            <w:rStyle w:val="Hyperlink"/>
          </w:rPr>
          <w:t xml:space="preserve">https://onlinelibrary.wiley.com/doi/10.1002/eco.2432</w:t>
        </w:r>
      </w:hyperlink>
      <w:r>
        <w:t xml:space="preserve">.</w:t>
      </w:r>
    </w:p>
    <w:bookmarkEnd w:id="99"/>
    <w:bookmarkStart w:id="101"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100">
        <w:r>
          <w:rPr>
            <w:rStyle w:val="Hyperlink"/>
          </w:rPr>
          <w:t xml:space="preserve">https://doi.org/10.4319/lo.1973.18.2.0331</w:t>
        </w:r>
      </w:hyperlink>
      <w:r>
        <w:t xml:space="preserve">.</w:t>
      </w:r>
    </w:p>
    <w:bookmarkEnd w:id="101"/>
    <w:bookmarkStart w:id="103"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102">
        <w:r>
          <w:rPr>
            <w:rStyle w:val="Hyperlink"/>
          </w:rPr>
          <w:t xml:space="preserve">http://link.springer.com/10.1007/978-3-319-58374-7_11</w:t>
        </w:r>
      </w:hyperlink>
      <w:r>
        <w:t xml:space="preserve">.</w:t>
      </w:r>
    </w:p>
    <w:bookmarkEnd w:id="103"/>
    <w:bookmarkStart w:id="105"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104">
        <w:r>
          <w:rPr>
            <w:rStyle w:val="Hyperlink"/>
          </w:rPr>
          <w:t xml:space="preserve">http://www.scielo.br/scielo.php?script=sci_arttext&amp;pid=S2179-975X2023000100726&amp;tlng=en</w:t>
        </w:r>
      </w:hyperlink>
      <w:r>
        <w:t xml:space="preserve">.</w:t>
      </w:r>
    </w:p>
    <w:bookmarkEnd w:id="105"/>
    <w:bookmarkStart w:id="106"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6"/>
    <w:bookmarkStart w:id="108" w:name="ref-koste1987"/>
    <w:p>
      <w:pPr>
        <w:pStyle w:val="Bibliography"/>
      </w:pPr>
      <w:r>
        <w:t xml:space="preserve">KOSTE, W.; SHIEL, R.</w:t>
      </w:r>
      <w:r>
        <w:t xml:space="preserve"> </w:t>
      </w:r>
      <w:hyperlink r:id="rId107">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8"/>
    <w:bookmarkStart w:id="110"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9">
        <w:r>
          <w:rPr>
            <w:rStyle w:val="Hyperlink"/>
          </w:rPr>
          <w:t xml:space="preserve">http://www.jstatsoft.org/v25/i01/</w:t>
        </w:r>
      </w:hyperlink>
      <w:r>
        <w:t xml:space="preserve">.</w:t>
      </w:r>
    </w:p>
    <w:bookmarkEnd w:id="110"/>
    <w:bookmarkStart w:id="111"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11"/>
    <w:bookmarkStart w:id="113"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12">
        <w:r>
          <w:rPr>
            <w:rStyle w:val="Hyperlink"/>
          </w:rPr>
          <w:t xml:space="preserve">https://www.nature.com/articles/s41467-020-20217-w</w:t>
        </w:r>
      </w:hyperlink>
      <w:r>
        <w:t xml:space="preserve">.</w:t>
      </w:r>
    </w:p>
    <w:bookmarkEnd w:id="113"/>
    <w:bookmarkStart w:id="115"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14">
        <w:r>
          <w:rPr>
            <w:rStyle w:val="Hyperlink"/>
          </w:rPr>
          <w:t xml:space="preserve">https://linkinghub.elsevier.com/retrieve/pii/S0341816222001230</w:t>
        </w:r>
      </w:hyperlink>
      <w:r>
        <w:t xml:space="preserve">.</w:t>
      </w:r>
    </w:p>
    <w:bookmarkEnd w:id="115"/>
    <w:bookmarkStart w:id="117"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6">
        <w:r>
          <w:rPr>
            <w:rStyle w:val="Hyperlink"/>
          </w:rPr>
          <w:t xml:space="preserve">https://doi.org/10.1007/978-94-011-7852-5_5</w:t>
        </w:r>
      </w:hyperlink>
      <w:r>
        <w:t xml:space="preserve">.</w:t>
      </w:r>
    </w:p>
    <w:bookmarkEnd w:id="117"/>
    <w:bookmarkStart w:id="119"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8">
        <w:r>
          <w:rPr>
            <w:rStyle w:val="Hyperlink"/>
          </w:rPr>
          <w:t xml:space="preserve">http://link.springer.com/10.1007/s10641-010-9614-0</w:t>
        </w:r>
      </w:hyperlink>
      <w:r>
        <w:t xml:space="preserve">.</w:t>
      </w:r>
    </w:p>
    <w:bookmarkEnd w:id="119"/>
    <w:bookmarkStart w:id="121" w:name="ref-maltchik2006"/>
    <w:p>
      <w:pPr>
        <w:pStyle w:val="Bibliography"/>
      </w:pPr>
      <w:r>
        <w:t xml:space="preserve">MALTCHIK, L.; MEDEIROS, E.</w:t>
      </w:r>
      <w:r>
        <w:t xml:space="preserve"> </w:t>
      </w:r>
      <w:hyperlink r:id="rId120">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21"/>
    <w:bookmarkStart w:id="123"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22">
        <w:r>
          <w:rPr>
            <w:rStyle w:val="Hyperlink"/>
          </w:rPr>
          <w:t xml:space="preserve">https://link.springer.com/10.1007/978-3-030-55322-7_1</w:t>
        </w:r>
      </w:hyperlink>
      <w:r>
        <w:t xml:space="preserve">.</w:t>
      </w:r>
    </w:p>
    <w:bookmarkEnd w:id="123"/>
    <w:bookmarkStart w:id="125"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24">
        <w:r>
          <w:rPr>
            <w:rStyle w:val="Hyperlink"/>
          </w:rPr>
          <w:t xml:space="preserve">https://academic.oup.com/aob/article/131/2/261/6682811</w:t>
        </w:r>
      </w:hyperlink>
      <w:r>
        <w:t xml:space="preserve">.</w:t>
      </w:r>
    </w:p>
    <w:bookmarkEnd w:id="125"/>
    <w:bookmarkStart w:id="126"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6"/>
    <w:bookmarkStart w:id="127"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7"/>
    <w:bookmarkStart w:id="129"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8">
        <w:r>
          <w:rPr>
            <w:rStyle w:val="Hyperlink"/>
          </w:rPr>
          <w:t xml:space="preserve">https://link.springer.com/10.1007/s10750-023-05332-1</w:t>
        </w:r>
      </w:hyperlink>
      <w:r>
        <w:t xml:space="preserve">.</w:t>
      </w:r>
    </w:p>
    <w:bookmarkEnd w:id="129"/>
    <w:bookmarkStart w:id="131"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30">
        <w:r>
          <w:rPr>
            <w:rStyle w:val="Hyperlink"/>
          </w:rPr>
          <w:t xml:space="preserve">https://encurtador.com.br/kLle</w:t>
        </w:r>
      </w:hyperlink>
      <w:r>
        <w:t xml:space="preserve">.</w:t>
      </w:r>
    </w:p>
    <w:bookmarkEnd w:id="131"/>
    <w:bookmarkStart w:id="133"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32">
        <w:r>
          <w:rPr>
            <w:rStyle w:val="Hyperlink"/>
          </w:rPr>
          <w:t xml:space="preserve">https://bit.ly/4gtUh3i</w:t>
        </w:r>
      </w:hyperlink>
      <w:r>
        <w:t xml:space="preserve">.</w:t>
      </w:r>
    </w:p>
    <w:bookmarkEnd w:id="133"/>
    <w:bookmarkStart w:id="135"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34">
        <w:r>
          <w:rPr>
            <w:rStyle w:val="Hyperlink"/>
          </w:rPr>
          <w:t xml:space="preserve">https://seer.ufu.br/index.php/revistabrasileiracartografia/article/view/72589</w:t>
        </w:r>
      </w:hyperlink>
      <w:r>
        <w:t xml:space="preserve">.</w:t>
      </w:r>
    </w:p>
    <w:bookmarkEnd w:id="135"/>
    <w:bookmarkStart w:id="137"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6">
        <w:r>
          <w:rPr>
            <w:rStyle w:val="Hyperlink"/>
          </w:rPr>
          <w:t xml:space="preserve">http://link.springer.com/10.1007/s10750-006-0252-7</w:t>
        </w:r>
      </w:hyperlink>
      <w:r>
        <w:t xml:space="preserve">.</w:t>
      </w:r>
    </w:p>
    <w:bookmarkEnd w:id="137"/>
    <w:bookmarkStart w:id="139" w:name="ref-myers2000"/>
    <w:p>
      <w:pPr>
        <w:pStyle w:val="Bibliography"/>
      </w:pPr>
      <w:r>
        <w:t xml:space="preserve">MYERS, N.</w:t>
      </w:r>
      <w:r>
        <w:t xml:space="preserve"> </w:t>
      </w:r>
      <w:r>
        <w:rPr>
          <w:i/>
          <w:iCs/>
        </w:rPr>
        <w:t xml:space="preserve">et al.</w:t>
      </w:r>
      <w:r>
        <w:t xml:space="preserve"> </w:t>
      </w:r>
      <w:hyperlink r:id="rId138">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39"/>
    <w:bookmarkStart w:id="141" w:name="ref-myers2021"/>
    <w:p>
      <w:pPr>
        <w:pStyle w:val="Bibliography"/>
      </w:pPr>
      <w:r>
        <w:t xml:space="preserve">MYERS, N.</w:t>
      </w:r>
      <w:r>
        <w:t xml:space="preserve"> </w:t>
      </w:r>
      <w:r>
        <w:rPr>
          <w:i/>
          <w:iCs/>
        </w:rPr>
        <w:t xml:space="preserve">et al.</w:t>
      </w:r>
      <w:r>
        <w:t xml:space="preserve"> Relating environmental variables with aquatic community structure in an agricultural/urban coldwater stream.</w:t>
      </w:r>
      <w:r>
        <w:t xml:space="preserve"> </w:t>
      </w:r>
      <w:r>
        <w:rPr>
          <w:b/>
          <w:bCs/>
        </w:rPr>
        <w:t xml:space="preserve">Ecological Processes</w:t>
      </w:r>
      <w:r>
        <w:t xml:space="preserve">, [</w:t>
      </w:r>
      <w:r>
        <w:rPr>
          <w:i/>
          <w:iCs/>
        </w:rPr>
        <w:t xml:space="preserve">s. l.</w:t>
      </w:r>
      <w:r>
        <w:t xml:space="preserve">], vol. 10, no. 1, p. 37, Dec. 2021. Available at:</w:t>
      </w:r>
      <w:r>
        <w:t xml:space="preserve"> </w:t>
      </w:r>
      <w:hyperlink r:id="rId140">
        <w:r>
          <w:rPr>
            <w:rStyle w:val="Hyperlink"/>
          </w:rPr>
          <w:t xml:space="preserve">https://ecologicalprocesses.springeropen.com/articles/10.1186/s13717-021-00312-6</w:t>
        </w:r>
      </w:hyperlink>
      <w:r>
        <w:t xml:space="preserve">.</w:t>
      </w:r>
    </w:p>
    <w:bookmarkEnd w:id="141"/>
    <w:bookmarkStart w:id="143"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42">
        <w:r>
          <w:rPr>
            <w:rStyle w:val="Hyperlink"/>
          </w:rPr>
          <w:t xml:space="preserve">https://www.annualreviews.org/doi/10.1146/annurev.ecolsys.28.1.621</w:t>
        </w:r>
      </w:hyperlink>
      <w:r>
        <w:t xml:space="preserve">.</w:t>
      </w:r>
    </w:p>
    <w:bookmarkEnd w:id="143"/>
    <w:bookmarkStart w:id="145"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44">
        <w:r>
          <w:rPr>
            <w:rStyle w:val="Hyperlink"/>
          </w:rPr>
          <w:t xml:space="preserve">http://link.springer.com/10.1007/s11135-006-9018-6</w:t>
        </w:r>
      </w:hyperlink>
      <w:r>
        <w:t xml:space="preserve">.</w:t>
      </w:r>
    </w:p>
    <w:bookmarkEnd w:id="145"/>
    <w:bookmarkStart w:id="147"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46">
        <w:r>
          <w:rPr>
            <w:rStyle w:val="Hyperlink"/>
          </w:rPr>
          <w:t xml:space="preserve">https://link.springer.com/10.1007/s10021-025-01024-0</w:t>
        </w:r>
      </w:hyperlink>
      <w:r>
        <w:t xml:space="preserve">.</w:t>
      </w:r>
    </w:p>
    <w:bookmarkEnd w:id="147"/>
    <w:bookmarkStart w:id="149" w:name="ref-oksanen"/>
    <w:p>
      <w:pPr>
        <w:pStyle w:val="Bibliography"/>
      </w:pPr>
      <w:r>
        <w:t xml:space="preserve">OKSANEN, J.</w:t>
      </w:r>
      <w:r>
        <w:t xml:space="preserve"> </w:t>
      </w:r>
      <w:r>
        <w:rPr>
          <w:i/>
          <w:iCs/>
        </w:rPr>
        <w:t xml:space="preserve">et al.</w:t>
      </w:r>
      <w:r>
        <w:t xml:space="preserve"> </w:t>
      </w:r>
      <w:hyperlink r:id="rId148">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9"/>
    <w:bookmarkStart w:id="151"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50">
        <w:r>
          <w:rPr>
            <w:rStyle w:val="Hyperlink"/>
          </w:rPr>
          <w:t xml:space="preserve">https://www.nature.com/articles/s41598-017-08707-2</w:t>
        </w:r>
      </w:hyperlink>
      <w:r>
        <w:t xml:space="preserve">.</w:t>
      </w:r>
    </w:p>
    <w:bookmarkEnd w:id="151"/>
    <w:bookmarkStart w:id="153" w:name="ref-oliveira2025"/>
    <w:p>
      <w:pPr>
        <w:pStyle w:val="Bibliography"/>
      </w:pPr>
      <w:r>
        <w:t xml:space="preserve">OLIVEIRA</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52">
        <w:r>
          <w:rPr>
            <w:rStyle w:val="Hyperlink"/>
          </w:rPr>
          <w:t xml:space="preserve">https://linkinghub.elsevier.com/retrieve/pii/S0048969724084146</w:t>
        </w:r>
      </w:hyperlink>
      <w:r>
        <w:t xml:space="preserve">.</w:t>
      </w:r>
    </w:p>
    <w:bookmarkEnd w:id="153"/>
    <w:bookmarkStart w:id="155"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54">
        <w:r>
          <w:rPr>
            <w:rStyle w:val="Hyperlink"/>
          </w:rPr>
          <w:t xml:space="preserve">https://academic.oup.com/bioscience/article/51/11/933-938/227116</w:t>
        </w:r>
      </w:hyperlink>
      <w:r>
        <w:t xml:space="preserve">.</w:t>
      </w:r>
    </w:p>
    <w:bookmarkEnd w:id="155"/>
    <w:bookmarkStart w:id="157"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56">
        <w:r>
          <w:rPr>
            <w:rStyle w:val="Hyperlink"/>
          </w:rPr>
          <w:t xml:space="preserve">https://link.springer.com/10.1007/s42974-020-00014-7</w:t>
        </w:r>
      </w:hyperlink>
      <w:r>
        <w:t xml:space="preserve">.</w:t>
      </w:r>
    </w:p>
    <w:bookmarkEnd w:id="157"/>
    <w:bookmarkStart w:id="158"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8"/>
    <w:bookmarkStart w:id="159"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9"/>
    <w:bookmarkStart w:id="160"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60"/>
    <w:bookmarkStart w:id="162"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61">
        <w:r>
          <w:rPr>
            <w:rStyle w:val="Hyperlink"/>
          </w:rPr>
          <w:t xml:space="preserve">https://www.R-project.org/</w:t>
        </w:r>
      </w:hyperlink>
      <w:r>
        <w:t xml:space="preserve">.</w:t>
      </w:r>
    </w:p>
    <w:bookmarkEnd w:id="162"/>
    <w:bookmarkStart w:id="164"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63">
        <w:r>
          <w:rPr>
            <w:rStyle w:val="Hyperlink"/>
          </w:rPr>
          <w:t xml:space="preserve">https://link.springer.com/10.1007/s10452-021-09912-y</w:t>
        </w:r>
      </w:hyperlink>
      <w:r>
        <w:t xml:space="preserve">.</w:t>
      </w:r>
    </w:p>
    <w:bookmarkEnd w:id="164"/>
    <w:bookmarkStart w:id="166" w:name="ref-rasvailer2024"/>
    <w:p>
      <w:pPr>
        <w:pStyle w:val="Bibliography"/>
      </w:pPr>
      <w:r>
        <w:t xml:space="preserve">RASVAILER, V. da S.; SCOARIZE, M. M. R.; BENEDITO, E. Aquatic hyphomycetes diversity is higher in environmentally heterogeneous streams.</w:t>
      </w:r>
      <w:r>
        <w:t xml:space="preserve"> </w:t>
      </w:r>
      <w:r>
        <w:rPr>
          <w:b/>
          <w:bCs/>
        </w:rPr>
        <w:t xml:space="preserve">Fungal Biology</w:t>
      </w:r>
      <w:r>
        <w:t xml:space="preserve">, [</w:t>
      </w:r>
      <w:r>
        <w:rPr>
          <w:i/>
          <w:iCs/>
        </w:rPr>
        <w:t xml:space="preserve">s. l.</w:t>
      </w:r>
      <w:r>
        <w:t xml:space="preserve">], vol. 128, no. 8, Part A, p. 2317–2324, 1 Dec. 2024. Available at:</w:t>
      </w:r>
      <w:r>
        <w:t xml:space="preserve"> </w:t>
      </w:r>
      <w:hyperlink r:id="rId165">
        <w:r>
          <w:rPr>
            <w:rStyle w:val="Hyperlink"/>
          </w:rPr>
          <w:t xml:space="preserve">https://www.sciencedirect.com/science/article/pii/S1878614624001430</w:t>
        </w:r>
      </w:hyperlink>
      <w:r>
        <w:t xml:space="preserve">.</w:t>
      </w:r>
    </w:p>
    <w:bookmarkEnd w:id="166"/>
    <w:bookmarkStart w:id="168"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67">
        <w:r>
          <w:rPr>
            <w:rStyle w:val="Hyperlink"/>
          </w:rPr>
          <w:t xml:space="preserve">https://link.springer.com/10.1007/s10750-022-04917-6</w:t>
        </w:r>
      </w:hyperlink>
      <w:r>
        <w:t xml:space="preserve">.</w:t>
      </w:r>
    </w:p>
    <w:bookmarkEnd w:id="168"/>
    <w:bookmarkStart w:id="170"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9">
        <w:r>
          <w:rPr>
            <w:rStyle w:val="Hyperlink"/>
          </w:rPr>
          <w:t xml:space="preserve">https://academic.oup.com/bioscience/article/70/6/501/5824857</w:t>
        </w:r>
      </w:hyperlink>
      <w:r>
        <w:t xml:space="preserve">.</w:t>
      </w:r>
    </w:p>
    <w:bookmarkEnd w:id="170"/>
    <w:bookmarkStart w:id="172"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71">
        <w:r>
          <w:rPr>
            <w:rStyle w:val="Hyperlink"/>
          </w:rPr>
          <w:t xml:space="preserve">https://linkinghub.elsevier.com/retrieve/pii/S0140196312001292</w:t>
        </w:r>
      </w:hyperlink>
      <w:r>
        <w:t xml:space="preserve">.</w:t>
      </w:r>
    </w:p>
    <w:bookmarkEnd w:id="172"/>
    <w:bookmarkStart w:id="174"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73">
        <w:r>
          <w:rPr>
            <w:rStyle w:val="Hyperlink"/>
          </w:rPr>
          <w:t xml:space="preserve">https://linkinghub.elsevier.com/retrieve/pii/S2530064425000057</w:t>
        </w:r>
      </w:hyperlink>
      <w:r>
        <w:t xml:space="preserve">.</w:t>
      </w:r>
    </w:p>
    <w:bookmarkEnd w:id="174"/>
    <w:bookmarkStart w:id="176" w:name="ref-santos2026"/>
    <w:p>
      <w:pPr>
        <w:pStyle w:val="Bibliography"/>
      </w:pPr>
      <w:r>
        <w:t xml:space="preserve">SANTOS, L. A.; MICHELAN, T. S.;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75">
        <w:r>
          <w:rPr>
            <w:rStyle w:val="Hyperlink"/>
          </w:rPr>
          <w:t xml:space="preserve">https://link.springer.com/10.1007/s10531-026-03284-1</w:t>
        </w:r>
      </w:hyperlink>
      <w:r>
        <w:t xml:space="preserve">.</w:t>
      </w:r>
    </w:p>
    <w:bookmarkEnd w:id="176"/>
    <w:bookmarkStart w:id="178" w:name="ref-shi2025"/>
    <w:p>
      <w:pPr>
        <w:pStyle w:val="Bibliography"/>
      </w:pPr>
      <w:r>
        <w:t xml:space="preserve">SHI, X.; CZERNIAWSKI, R. Habitat Heterogeneity and Channelization of Small Rivers and Streams: Fish Community Responses to Ecological Gradients.</w:t>
      </w:r>
      <w:r>
        <w:t xml:space="preserve"> </w:t>
      </w:r>
      <w:r>
        <w:rPr>
          <w:b/>
          <w:bCs/>
        </w:rPr>
        <w:t xml:space="preserve">Ecology and Evolution</w:t>
      </w:r>
      <w:r>
        <w:t xml:space="preserve">, [</w:t>
      </w:r>
      <w:r>
        <w:rPr>
          <w:i/>
          <w:iCs/>
        </w:rPr>
        <w:t xml:space="preserve">s. l.</w:t>
      </w:r>
      <w:r>
        <w:t xml:space="preserve">], vol. 15, no. 9, p. e72092, Sep. 2025. Available at:</w:t>
      </w:r>
      <w:r>
        <w:t xml:space="preserve"> </w:t>
      </w:r>
      <w:hyperlink r:id="rId177">
        <w:r>
          <w:rPr>
            <w:rStyle w:val="Hyperlink"/>
          </w:rPr>
          <w:t xml:space="preserve">https://onlinelibrary.wiley.com/doi/10.1002/ece3.72092</w:t>
        </w:r>
      </w:hyperlink>
      <w:r>
        <w:t xml:space="preserve">.</w:t>
      </w:r>
    </w:p>
    <w:bookmarkEnd w:id="178"/>
    <w:bookmarkStart w:id="180" w:name="ref-silva2024"/>
    <w:p>
      <w:pPr>
        <w:pStyle w:val="Bibliography"/>
      </w:pPr>
      <w:r>
        <w:t xml:space="preserve">SILVA</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79">
        <w:r>
          <w:rPr>
            <w:rStyle w:val="Hyperlink"/>
          </w:rPr>
          <w:t xml:space="preserve">http://www.scielo.br/scielo.php?script=sci_arttext&amp;pid=S1519-69842024000101397&amp;tlng=en</w:t>
        </w:r>
      </w:hyperlink>
      <w:r>
        <w:t xml:space="preserve">.</w:t>
      </w:r>
    </w:p>
    <w:bookmarkEnd w:id="180"/>
    <w:bookmarkStart w:id="182" w:name="ref-silva2017"/>
    <w:p>
      <w:pPr>
        <w:pStyle w:val="Bibliography"/>
      </w:pPr>
      <w:r>
        <w:t xml:space="preserve">SILVA, D. M. A. da; TERESA, F. B.</w:t>
      </w:r>
      <w:r>
        <w:t xml:space="preserve"> </w:t>
      </w:r>
      <w:hyperlink r:id="rId181">
        <w:r>
          <w:rPr>
            <w:rStyle w:val="Hyperlink"/>
          </w:rPr>
          <w:t xml:space="preserve">Response of fish communities to intense drought in brazilian savanna streams</w:t>
        </w:r>
      </w:hyperlink>
      <w:r>
        <w:t xml:space="preserve">.</w:t>
      </w:r>
      <w:r>
        <w:t xml:space="preserve"> </w:t>
      </w:r>
      <w:r>
        <w:rPr>
          <w:b/>
          <w:bCs/>
        </w:rPr>
        <w:t xml:space="preserve">Ambiente e Agua - An Interdisciplinary Journal of Applied Science</w:t>
      </w:r>
      <w:r>
        <w:t xml:space="preserve">, [</w:t>
      </w:r>
      <w:r>
        <w:rPr>
          <w:i/>
          <w:iCs/>
        </w:rPr>
        <w:t xml:space="preserve">s. l.</w:t>
      </w:r>
      <w:r>
        <w:t xml:space="preserve">], vol. 12, no. 4, p. 618, 2017.</w:t>
      </w:r>
    </w:p>
    <w:bookmarkEnd w:id="182"/>
    <w:bookmarkStart w:id="184"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83">
        <w:r>
          <w:rPr>
            <w:rStyle w:val="Hyperlink"/>
          </w:rPr>
          <w:t xml:space="preserve">https://linkinghub.elsevier.com/retrieve/pii/S2530064420300559</w:t>
        </w:r>
      </w:hyperlink>
      <w:r>
        <w:t xml:space="preserve">.</w:t>
      </w:r>
    </w:p>
    <w:bookmarkEnd w:id="184"/>
    <w:bookmarkStart w:id="186"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85">
        <w:r>
          <w:rPr>
            <w:rStyle w:val="Hyperlink"/>
          </w:rPr>
          <w:t xml:space="preserve">https://link.springer.com/10.1007/s13280-026-02403-0</w:t>
        </w:r>
      </w:hyperlink>
      <w:r>
        <w:t xml:space="preserve">.</w:t>
      </w:r>
    </w:p>
    <w:bookmarkEnd w:id="186"/>
    <w:bookmarkStart w:id="188"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87">
        <w:r>
          <w:rPr>
            <w:rStyle w:val="Hyperlink"/>
          </w:rPr>
          <w:t xml:space="preserve">https://onlinelibrary.wiley.com/doi/10.1111/aec.70203</w:t>
        </w:r>
      </w:hyperlink>
      <w:r>
        <w:t xml:space="preserve">.</w:t>
      </w:r>
    </w:p>
    <w:bookmarkEnd w:id="188"/>
    <w:bookmarkStart w:id="189" w:name="ref-soler2004"/>
    <w:p>
      <w:pPr>
        <w:pStyle w:val="Bibliography"/>
      </w:pPr>
      <w:r>
        <w:t xml:space="preserve">SOLER, J. M. P. Planejamento de experimentos e pesquisa em limnologia. São Carlos, SP: BICUDO, C. E. M. BICUDO, D. C., 2004. p. 16–24.</w:t>
      </w:r>
    </w:p>
    <w:bookmarkEnd w:id="189"/>
    <w:bookmarkStart w:id="191"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90">
        <w:r>
          <w:rPr>
            <w:rStyle w:val="Hyperlink"/>
          </w:rPr>
          <w:t xml:space="preserve">https://linkinghub.elsevier.com/retrieve/pii/S0378112721001328</w:t>
        </w:r>
      </w:hyperlink>
      <w:r>
        <w:t xml:space="preserve">.</w:t>
      </w:r>
    </w:p>
    <w:bookmarkEnd w:id="191"/>
    <w:bookmarkStart w:id="193" w:name="ref-souza2023"/>
    <w:p>
      <w:pPr>
        <w:pStyle w:val="Bibliography"/>
      </w:pPr>
      <w:r>
        <w:t xml:space="preserve">SOUZA; SILVA; CAMPIOLO.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92">
        <w:r>
          <w:rPr>
            <w:rStyle w:val="Hyperlink"/>
          </w:rPr>
          <w:t xml:space="preserve">https://rgsa.openaccesspublications.org/rgsa/article/view/3913</w:t>
        </w:r>
      </w:hyperlink>
      <w:r>
        <w:t xml:space="preserve">.</w:t>
      </w:r>
    </w:p>
    <w:bookmarkEnd w:id="193"/>
    <w:bookmarkStart w:id="195"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94">
        <w:r>
          <w:rPr>
            <w:rStyle w:val="Hyperlink"/>
          </w:rPr>
          <w:t xml:space="preserve">https://connectsci.au/mf/article/59/6/540/57957/Environmental-predictors-of-macroinvertebrate</w:t>
        </w:r>
      </w:hyperlink>
      <w:r>
        <w:t xml:space="preserve">.</w:t>
      </w:r>
    </w:p>
    <w:bookmarkEnd w:id="195"/>
    <w:bookmarkStart w:id="197"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96">
        <w:r>
          <w:rPr>
            <w:rStyle w:val="Hyperlink"/>
          </w:rPr>
          <w:t xml:space="preserve">https://agupubs.onlinelibrary.wiley.com/doi/10.1029/TR038i006p00913</w:t>
        </w:r>
      </w:hyperlink>
      <w:r>
        <w:t xml:space="preserve">.</w:t>
      </w:r>
    </w:p>
    <w:bookmarkEnd w:id="197"/>
    <w:bookmarkStart w:id="199"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98">
        <w:r>
          <w:rPr>
            <w:rStyle w:val="Hyperlink"/>
          </w:rPr>
          <w:t xml:space="preserve">https://linkinghub.elsevier.com/retrieve/pii/S0006320710000443</w:t>
        </w:r>
      </w:hyperlink>
      <w:r>
        <w:t xml:space="preserve">.</w:t>
      </w:r>
    </w:p>
    <w:bookmarkEnd w:id="199"/>
    <w:bookmarkStart w:id="201"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200">
        <w:r>
          <w:rPr>
            <w:rStyle w:val="Hyperlink"/>
          </w:rPr>
          <w:t xml:space="preserve">https://onlinelibrary.wiley.com/doi/10.1002/eco.70130</w:t>
        </w:r>
      </w:hyperlink>
      <w:r>
        <w:t xml:space="preserve">.</w:t>
      </w:r>
    </w:p>
    <w:bookmarkEnd w:id="201"/>
    <w:bookmarkStart w:id="203"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202">
        <w:r>
          <w:rPr>
            <w:rStyle w:val="Hyperlink"/>
          </w:rPr>
          <w:t xml:space="preserve">https://www.sciencedirect.com/science/article/pii/S0075951121000797</w:t>
        </w:r>
      </w:hyperlink>
      <w:r>
        <w:t xml:space="preserve">.</w:t>
      </w:r>
    </w:p>
    <w:bookmarkEnd w:id="203"/>
    <w:bookmarkStart w:id="204"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204"/>
    <w:bookmarkStart w:id="20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205">
        <w:r>
          <w:rPr>
            <w:rStyle w:val="Hyperlink"/>
          </w:rPr>
          <w:t xml:space="preserve">https://linkinghub.elsevier.com/retrieve/pii/S0006320724000600</w:t>
        </w:r>
      </w:hyperlink>
      <w:r>
        <w:t xml:space="preserve">.</w:t>
      </w:r>
    </w:p>
    <w:bookmarkEnd w:id="206"/>
    <w:bookmarkStart w:id="208"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207">
        <w:r>
          <w:rPr>
            <w:rStyle w:val="Hyperlink"/>
          </w:rPr>
          <w:t xml:space="preserve">http://www.nrcresearchpress.com/doi/10.1139/f07-131</w:t>
        </w:r>
      </w:hyperlink>
      <w:r>
        <w:t xml:space="preserve">.</w:t>
      </w:r>
    </w:p>
    <w:bookmarkEnd w:id="208"/>
    <w:bookmarkStart w:id="210"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209">
        <w:r>
          <w:rPr>
            <w:rStyle w:val="Hyperlink"/>
          </w:rPr>
          <w:t xml:space="preserve">https://neotropical.pensoft.net/article/103019/</w:t>
        </w:r>
      </w:hyperlink>
      <w:r>
        <w:t xml:space="preserve">.</w:t>
      </w:r>
    </w:p>
    <w:bookmarkEnd w:id="210"/>
    <w:bookmarkStart w:id="212"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11">
        <w:r>
          <w:rPr>
            <w:rStyle w:val="Hyperlink"/>
          </w:rPr>
          <w:t xml:space="preserve">https://www.sciencedirect.com/science/article/pii/S0048969724013354</w:t>
        </w:r>
      </w:hyperlink>
      <w:r>
        <w:t xml:space="preserve">.</w:t>
      </w:r>
    </w:p>
    <w:bookmarkEnd w:id="212"/>
    <w:bookmarkStart w:id="214"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13">
        <w:r>
          <w:rPr>
            <w:rStyle w:val="Hyperlink"/>
          </w:rPr>
          <w:t xml:space="preserve">https://www.sciencedirect.com/science/article/pii/S0048969724012890</w:t>
        </w:r>
      </w:hyperlink>
      <w:r>
        <w:t xml:space="preserve">.</w:t>
      </w:r>
    </w:p>
    <w:bookmarkEnd w:id="214"/>
    <w:bookmarkStart w:id="216"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15">
        <w:r>
          <w:rPr>
            <w:rStyle w:val="Hyperlink"/>
          </w:rPr>
          <w:t xml:space="preserve">http://www.scielo.br/scielo.php?script=sci_arttext&amp;pid=S1676-06032025000200200&amp;tlng=en</w:t>
        </w:r>
      </w:hyperlink>
      <w:r>
        <w:t xml:space="preserve">.</w:t>
      </w:r>
    </w:p>
    <w:bookmarkEnd w:id="216"/>
    <w:bookmarkEnd w:id="217"/>
    <w:bookmarkEnd w:id="218"/>
    <w:bookmarkStart w:id="232"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dos pontos amostrais ao longo dos riachos Barro Branco e Caiana, na Reserva Biológica Guaribas, Mamanguape, Paraíba. O ponto 1 corresponde ao local de referência do estudo.</w:t>
      </w:r>
    </w:p>
    <w:p>
      <w:pPr>
        <w:pStyle w:val="TextBody"/>
      </w:pPr>
      <w:hyperlink w:anchor="fig-PCA_fviz">
        <w:r>
          <w:rPr>
            <w:rStyle w:val="Hyperlink"/>
          </w:rPr>
          <w:t xml:space="preserve">Figure 2</w:t>
        </w:r>
      </w:hyperlink>
      <w:r>
        <w:t xml:space="preserve">: Biplot da Análise de Componentes Principais (PCA) dos pontos de coleta com base nas variáveis ambientais, considerando os quatro tipos de pontos amostrais (I a IV), classificados de acordo com o nível de preservação. Os símbolos representam os pontos amostrais, e os vetores indicam as variáveis ambientais relacionadas à estrutura do habitat.</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27"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22" w:name="fig-mapa"/>
          <w:p>
            <w:pPr>
              <w:pStyle w:val="Compact"/>
              <w:jc w:val="center"/>
            </w:pPr>
            <w:r>
              <w:drawing>
                <wp:inline>
                  <wp:extent cx="5943600" cy="4199989"/>
                  <wp:effectExtent b="0" l="0" r="0" t="0"/>
                  <wp:docPr descr="" title="" id="220" name="Picture"/>
                  <a:graphic>
                    <a:graphicData uri="http://schemas.openxmlformats.org/drawingml/2006/picture">
                      <pic:pic>
                        <pic:nvPicPr>
                          <pic:cNvPr descr="imagens/mapa.jpeg" id="221" name="Picture"/>
                          <pic:cNvPicPr>
                            <a:picLocks noChangeArrowheads="1" noChangeAspect="1"/>
                          </pic:cNvPicPr>
                        </pic:nvPicPr>
                        <pic:blipFill>
                          <a:blip r:embed="rId219"/>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22"/>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26" w:name="fig-PCA_fviz"/>
          <w:p>
            <w:pPr>
              <w:pStyle w:val="Compact"/>
              <w:jc w:val="center"/>
            </w:pPr>
            <w:r>
              <w:drawing>
                <wp:inline>
                  <wp:extent cx="5943600" cy="4862945"/>
                  <wp:effectExtent b="0" l="0" r="0" t="0"/>
                  <wp:docPr descr="" title="" id="224" name="Picture"/>
                  <a:graphic>
                    <a:graphicData uri="http://schemas.openxmlformats.org/drawingml/2006/picture">
                      <pic:pic>
                        <pic:nvPicPr>
                          <pic:cNvPr descr="fig-PCA_fviz.png" id="225" name="Picture"/>
                          <pic:cNvPicPr>
                            <a:picLocks noChangeArrowheads="1" noChangeAspect="1"/>
                          </pic:cNvPicPr>
                        </pic:nvPicPr>
                        <pic:blipFill>
                          <a:blip r:embed="rId22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26"/>
        </w:tc>
      </w:tr>
    </w:tbl>
    <w:bookmarkEnd w:id="227"/>
    <w:bookmarkStart w:id="231"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28"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28"/>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29"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29"/>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30"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30"/>
        </w:tc>
      </w:tr>
    </w:tbl>
    <w:bookmarkEnd w:id="231"/>
    <w:bookmarkEnd w:id="232"/>
    <w:bookmarkStart w:id="233" w:name="apêndices"/>
    <w:p>
      <w:pPr>
        <w:pStyle w:val="Heading1"/>
      </w:pPr>
      <w:r>
        <w:t xml:space="preserve">Apêndices</w:t>
      </w:r>
    </w:p>
    <w:bookmarkEnd w:id="233"/>
    <w:bookmarkStart w:id="237"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PROGRA~1\RStudio\RESOUR~1\app\bin\quarto\share\formats\docx\warning.png" id="236" name="Picture"/>
                          <pic:cNvPicPr>
                            <a:picLocks noChangeArrowheads="1" noChangeAspect="1"/>
                          </pic:cNvPicPr>
                        </pic:nvPicPr>
                        <pic:blipFill>
                          <a:blip r:embed="rId2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3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4" Target="media/rId234.png" /><Relationship Type="http://schemas.openxmlformats.org/officeDocument/2006/relationships/image" Id="rId223" Target="media/rId223.png" /><Relationship Type="http://schemas.openxmlformats.org/officeDocument/2006/relationships/image" Id="rId219" Target="media/rId219.jpg" /><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79"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38"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81" Target="https://doi.org/10.4136/ambi-agua.2093" TargetMode="External" /><Relationship Type="http://schemas.openxmlformats.org/officeDocument/2006/relationships/hyperlink" Id="rId100" Target="https://doi.org/10.4319/lo.1973.18.2.0331" TargetMode="External" /><Relationship Type="http://schemas.openxmlformats.org/officeDocument/2006/relationships/hyperlink" Id="rId140"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2"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0"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_rels/footnotes.xml.rels><?xml version="1.0" encoding="UTF-8"?><Relationships xmlns="http://schemas.openxmlformats.org/package/2006/relationships"><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79"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38"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81" Target="https://doi.org/10.4136/ambi-agua.2093" TargetMode="External" /><Relationship Type="http://schemas.openxmlformats.org/officeDocument/2006/relationships/hyperlink" Id="rId100" Target="https://doi.org/10.4319/lo.1973.18.2.0331" TargetMode="External" /><Relationship Type="http://schemas.openxmlformats.org/officeDocument/2006/relationships/hyperlink" Id="rId140"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2"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0"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2026-10-18T22:32:19Z</dcterms:created>
  <dcterms:modified xsi:type="dcterms:W3CDTF">2026-10-18T22:32:19Z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refs/ABNT_2026.csl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