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zooplâncton.</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w:t>
      </w:r>
      <w:hyperlink w:anchor="fig-mapa">
        <w:r>
          <w:rPr>
            <w:rStyle w:val="Hyperlink"/>
          </w:rPr>
          <w:t xml:space="preserve">Figure 1</w:t>
        </w:r>
      </w:hyperlink>
      <w:r>
        <w:t xml:space="preserve">).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w:t>
      </w:r>
      <w:r>
        <w:t xml:space="preserve"> </w:t>
      </w:r>
      <w:r>
        <w:rPr>
          <w:i/>
          <w:iCs/>
        </w:rPr>
        <w:t xml:space="preserve">a priori</w:t>
      </w:r>
      <w:r>
        <w:t xml:space="preserve">,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unidade amostral,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as unidades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unidade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das estruturas do habitat litorâneo e subaquático foi estimada visualmente. As variáveis de estrutura do habitat incluíram macrófitas aquáticas, gramíneas marginais, serapilheira, algas aderidas, algas filamentosas, vegetação suspensa, vegetação submersa, liteira, pequenos detritos lenhosos, grandes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&amp;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relacionados</w:t>
      </w:r>
      <w:r>
        <w:t xml:space="preserve"> </w:t>
      </w:r>
      <w:r>
        <w:t xml:space="preserve">(Elmoor-Loureiro, 1997; Joko, 2011; Koste &amp; Shiel, 1987)</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&amp;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&amp;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para a unidade de variância.</w:t>
      </w:r>
    </w:p>
    <w:bookmarkEnd w:id="29"/>
    <w:bookmarkEnd w:id="30"/>
    <w:bookmarkStart w:id="34" w:name="results"/>
    <w:p>
      <w:pPr>
        <w:pStyle w:val="Heading1"/>
      </w:pPr>
      <w:r>
        <w:t xml:space="preserve">6. Results</w:t>
      </w:r>
    </w:p>
    <w:p>
      <w:pPr>
        <w:pStyle w:val="FirstParagraph"/>
      </w:pPr>
      <w:r>
        <w:t xml:space="preserve">The results section should follow the model in</w:t>
      </w:r>
      <w:r>
        <w:t xml:space="preserve"> </w:t>
      </w:r>
      <w:hyperlink r:id="rId31">
        <w:r>
          <w:rPr>
            <w:rStyle w:val="Hyperlink"/>
          </w:rPr>
          <w:t xml:space="preserve">https://elviomedeiros.github.io/Bentos2006_Q/</w:t>
        </w:r>
      </w:hyperlink>
      <w:r>
        <w:t xml:space="preserve">.</w:t>
      </w:r>
    </w:p>
    <w:bookmarkStart w:id="32" w:name="environmental-variables"/>
    <w:p>
      <w:pPr>
        <w:pStyle w:val="Heading2"/>
      </w:pPr>
      <w:r>
        <w:t xml:space="preserve">6.1 Environmental variables</w:t>
      </w:r>
    </w:p>
    <w:bookmarkEnd w:id="32"/>
    <w:bookmarkStart w:id="33" w:name="community-structure"/>
    <w:p>
      <w:pPr>
        <w:pStyle w:val="Heading2"/>
      </w:pPr>
      <w:r>
        <w:t xml:space="preserve">6.2 Community structure</w:t>
      </w:r>
    </w:p>
    <w:bookmarkEnd w:id="33"/>
    <w:bookmarkEnd w:id="34"/>
    <w:bookmarkStart w:id="35" w:name="discussion"/>
    <w:p>
      <w:pPr>
        <w:pStyle w:val="Heading1"/>
      </w:pPr>
      <w:r>
        <w:t xml:space="preserve">7. Discussion</w:t>
      </w:r>
    </w:p>
    <w:bookmarkEnd w:id="35"/>
    <w:bookmarkStart w:id="36" w:name="conclusions"/>
    <w:p>
      <w:pPr>
        <w:pStyle w:val="Heading1"/>
      </w:pPr>
      <w:r>
        <w:t xml:space="preserve">Conclusions</w:t>
      </w:r>
    </w:p>
    <w:bookmarkEnd w:id="36"/>
    <w:bookmarkStart w:id="37" w:name="acknowledgements"/>
    <w:p>
      <w:pPr>
        <w:pStyle w:val="Heading1"/>
      </w:pPr>
      <w:r>
        <w:t xml:space="preserve">Acknowledgements</w:t>
      </w:r>
    </w:p>
    <w:bookmarkEnd w:id="37"/>
    <w:bookmarkStart w:id="38"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8"/>
    <w:bookmarkStart w:id="39"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9"/>
    <w:bookmarkStart w:id="71" w:name="referências"/>
    <w:p>
      <w:pPr>
        <w:pStyle w:val="Heading1"/>
      </w:pPr>
      <w:r>
        <w:t xml:space="preserve">Referências</w:t>
      </w:r>
    </w:p>
    <w:bookmarkStart w:id="70" w:name="refs"/>
    <w:bookmarkStart w:id="40"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40"/>
    <w:bookmarkStart w:id="4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3" w:name="ref-elmoor-loureiro1997"/>
    <w:p>
      <w:pPr>
        <w:pStyle w:val="Bibliography"/>
      </w:pPr>
      <w:r>
        <w:t xml:space="preserve">Elmoor-Loureiro, L. (1997).</w:t>
      </w:r>
      <w:r>
        <w:t xml:space="preserve"> </w:t>
      </w:r>
      <w:r>
        <w:rPr>
          <w:i/>
          <w:iCs/>
        </w:rPr>
        <w:t xml:space="preserve">Manual de identificação de cladóceros límnicos do brasil</w:t>
      </w:r>
      <w:r>
        <w:t xml:space="preserve">.</w:t>
      </w:r>
    </w:p>
    <w:bookmarkEnd w:id="43"/>
    <w:bookmarkStart w:id="4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4">
        <w:r>
          <w:rPr>
            <w:rStyle w:val="Hyperlink"/>
          </w:rPr>
          <w:t xml:space="preserve">https://doi.org/10.15560/13.5.581</w:t>
        </w:r>
      </w:hyperlink>
    </w:p>
    <w:bookmarkEnd w:id="45"/>
    <w:bookmarkStart w:id="47" w:name="ref-haney1973"/>
    <w:p>
      <w:pPr>
        <w:pStyle w:val="Bibliography"/>
      </w:pPr>
      <w:r>
        <w:t xml:space="preserve">Haney, J. F., &amp; Hall, D. J. (1973). Sugar-coated daphnia: A preservation technique for cladocera.</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46">
        <w:r>
          <w:rPr>
            <w:rStyle w:val="Hyperlink"/>
          </w:rPr>
          <w:t xml:space="preserve">https://doi.org/10.4319/lo.1973.18.2.0331</w:t>
        </w:r>
      </w:hyperlink>
    </w:p>
    <w:bookmarkEnd w:id="47"/>
    <w:bookmarkStart w:id="49"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8">
        <w:r>
          <w:rPr>
            <w:rStyle w:val="Hyperlink"/>
          </w:rPr>
          <w:t xml:space="preserve">https://doi.org/10.1007/978-3-319-58374-7_11</w:t>
        </w:r>
      </w:hyperlink>
    </w:p>
    <w:bookmarkEnd w:id="49"/>
    <w:bookmarkStart w:id="50"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50"/>
    <w:bookmarkStart w:id="52"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Systematics</w:t>
      </w:r>
      <w:r>
        <w:t xml:space="preserve">,</w:t>
      </w:r>
      <w:r>
        <w:t xml:space="preserve"> </w:t>
      </w:r>
      <w:r>
        <w:rPr>
          <w:i/>
          <w:iCs/>
        </w:rPr>
        <w:t xml:space="preserve">1</w:t>
      </w:r>
      <w:r>
        <w:t xml:space="preserve">, 949–1021.</w:t>
      </w:r>
      <w:r>
        <w:t xml:space="preserve"> </w:t>
      </w:r>
      <w:hyperlink r:id="rId51">
        <w:r>
          <w:rPr>
            <w:rStyle w:val="Hyperlink"/>
          </w:rPr>
          <w:t xml:space="preserve">https://doi.org/10.1071/IT9870949</w:t>
        </w:r>
      </w:hyperlink>
    </w:p>
    <w:bookmarkEnd w:id="52"/>
    <w:bookmarkStart w:id="54" w:name="ref-lê2008"/>
    <w:p>
      <w:pPr>
        <w:pStyle w:val="Bibliography"/>
      </w:pPr>
      <w:r>
        <w:t xml:space="preserve">Lê, S., Josse, J., &amp; Husson, F. (2008).</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i/>
          <w:iCs/>
        </w:rPr>
        <w:t xml:space="preserve">Journal of Statistical Software</w:t>
      </w:r>
      <w:r>
        <w:t xml:space="preserve">,</w:t>
      </w:r>
      <w:r>
        <w:t xml:space="preserve"> </w:t>
      </w:r>
      <w:r>
        <w:rPr>
          <w:i/>
          <w:iCs/>
        </w:rPr>
        <w:t xml:space="preserve">25</w:t>
      </w:r>
      <w:r>
        <w:t xml:space="preserve">(1).</w:t>
      </w:r>
      <w:r>
        <w:t xml:space="preserve"> </w:t>
      </w:r>
      <w:hyperlink r:id="rId53">
        <w:r>
          <w:rPr>
            <w:rStyle w:val="Hyperlink"/>
          </w:rPr>
          <w:t xml:space="preserve">https://doi.org/10.18637/jss.v025.i01</w:t>
        </w:r>
      </w:hyperlink>
    </w:p>
    <w:bookmarkEnd w:id="54"/>
    <w:bookmarkStart w:id="55"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55"/>
    <w:bookmarkStart w:id="57" w:name="ref-maitland1990"/>
    <w:p>
      <w:pPr>
        <w:pStyle w:val="Bibliography"/>
      </w:pPr>
      <w:r>
        <w:t xml:space="preserve">Maitland, P. S. (1990).</w:t>
      </w:r>
      <w:r>
        <w:t xml:space="preserve"> </w:t>
      </w:r>
      <w:r>
        <w:rPr>
          <w:i/>
          <w:iCs/>
        </w:rPr>
        <w:t xml:space="preserve">Field studies: Sampling in freshwaters</w:t>
      </w:r>
      <w:r>
        <w:t xml:space="preserve"> </w:t>
      </w:r>
      <w:r>
        <w:t xml:space="preserve">(P. S. Maitland, Ed.; pp. 123–148). Springer Netherlands.</w:t>
      </w:r>
      <w:r>
        <w:t xml:space="preserve"> </w:t>
      </w:r>
      <w:hyperlink r:id="rId56">
        <w:r>
          <w:rPr>
            <w:rStyle w:val="Hyperlink"/>
          </w:rPr>
          <w:t xml:space="preserve">https://doi.org/10.1007/978-94-011-7852-5_5</w:t>
        </w:r>
      </w:hyperlink>
    </w:p>
    <w:bookmarkEnd w:id="57"/>
    <w:bookmarkStart w:id="58" w:name="ref-mccune2002"/>
    <w:p>
      <w:pPr>
        <w:pStyle w:val="Bibliography"/>
      </w:pPr>
      <w:r>
        <w:t xml:space="preserve">Mccune, B., &amp; Grace, J. (2002).</w:t>
      </w:r>
      <w:r>
        <w:t xml:space="preserve"> </w:t>
      </w:r>
      <w:r>
        <w:rPr>
          <w:i/>
          <w:iCs/>
        </w:rPr>
        <w:t xml:space="preserve">Analysis of ecological communities. MJM software design, gleneden beach, OR</w:t>
      </w:r>
      <w:r>
        <w:t xml:space="preserve">.</w:t>
      </w:r>
    </w:p>
    <w:bookmarkEnd w:id="58"/>
    <w:bookmarkStart w:id="5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9"/>
    <w:bookmarkStart w:id="61" w:name="ref-mma2003"/>
    <w:p>
      <w:pPr>
        <w:pStyle w:val="Bibliography"/>
      </w:pPr>
      <w:r>
        <w:t xml:space="preserve">MMA. (2003).</w:t>
      </w:r>
      <w:r>
        <w:t xml:space="preserve"> </w:t>
      </w:r>
      <w:r>
        <w:rPr>
          <w:i/>
          <w:iCs/>
        </w:rPr>
        <w:t xml:space="preserve">Plano de manejo reserva biológica guaribas. Fase 2.</w:t>
      </w:r>
      <w:r>
        <w:t xml:space="preserve"> </w:t>
      </w:r>
      <w:hyperlink r:id="rId60">
        <w:r>
          <w:rPr>
            <w:rStyle w:val="Hyperlink"/>
          </w:rPr>
          <w:t xml:space="preserve">https://bit.ly/4gtUh3i</w:t>
        </w:r>
      </w:hyperlink>
    </w:p>
    <w:bookmarkEnd w:id="61"/>
    <w:bookmarkStart w:id="63" w:name="ref-mma2026"/>
    <w:p>
      <w:pPr>
        <w:pStyle w:val="Bibliography"/>
      </w:pPr>
      <w:r>
        <w:t xml:space="preserve">MMA. (2026).</w:t>
      </w:r>
      <w:r>
        <w:t xml:space="preserve"> </w:t>
      </w:r>
      <w:r>
        <w:rPr>
          <w:i/>
          <w:iCs/>
        </w:rPr>
        <w:t xml:space="preserve">Painel de unidades de conservação brasileiras</w:t>
      </w:r>
      <w:r>
        <w:t xml:space="preserve">.</w:t>
      </w:r>
      <w:r>
        <w:t xml:space="preserve"> </w:t>
      </w:r>
      <w:hyperlink r:id="rId62">
        <w:r>
          <w:rPr>
            <w:rStyle w:val="Hyperlink"/>
          </w:rPr>
          <w:t xml:space="preserve">https://encurtador.com.br/kLle</w:t>
        </w:r>
      </w:hyperlink>
    </w:p>
    <w:bookmarkEnd w:id="63"/>
    <w:bookmarkStart w:id="65" w:name="ref-mugodo2006"/>
    <w:p>
      <w:pPr>
        <w:pStyle w:val="Bibliography"/>
      </w:pPr>
      <w:r>
        <w:t xml:space="preserve">Mugodo, J., Kennard, M.,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4">
        <w:r>
          <w:rPr>
            <w:rStyle w:val="Hyperlink"/>
          </w:rPr>
          <w:t xml:space="preserve">https://doi.org/10.1007/s10750-006-0252-7</w:t>
        </w:r>
      </w:hyperlink>
    </w:p>
    <w:bookmarkEnd w:id="65"/>
    <w:bookmarkStart w:id="66"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6"/>
    <w:bookmarkStart w:id="67" w:name="ref-pinto-coelho2004"/>
    <w:p>
      <w:pPr>
        <w:pStyle w:val="Bibliography"/>
      </w:pPr>
      <w:r>
        <w:t xml:space="preserve">Pinto-Coelho, R. (2004). Métodos de coleta, preservação, contagem e determinação de biomassa em zooplâncton de águas epicontinentais.</w:t>
      </w:r>
      <w:r>
        <w:t xml:space="preserve"> </w:t>
      </w:r>
      <w:r>
        <w:rPr>
          <w:i/>
          <w:iCs/>
        </w:rPr>
        <w:t xml:space="preserve">Amostragem Em Limnologia</w:t>
      </w:r>
      <w:r>
        <w:t xml:space="preserve">, 149–166.</w:t>
      </w:r>
    </w:p>
    <w:bookmarkEnd w:id="67"/>
    <w:bookmarkStart w:id="68"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69"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69"/>
    <w:bookmarkEnd w:id="70"/>
    <w:bookmarkEnd w:id="71"/>
    <w:bookmarkStart w:id="78"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bookmarkStart w:id="7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75" w:name="fig-mapa"/>
          <w:p>
            <w:pPr>
              <w:pStyle w:val="Compact"/>
              <w:jc w:val="center"/>
            </w:pPr>
            <w:r>
              <w:drawing>
                <wp:inline>
                  <wp:extent cx="5943600" cy="4199989"/>
                  <wp:effectExtent b="0" l="0" r="0" t="0"/>
                  <wp:docPr descr="" title="" id="73" name="Picture"/>
                  <a:graphic>
                    <a:graphicData uri="http://schemas.openxmlformats.org/drawingml/2006/picture">
                      <pic:pic>
                        <pic:nvPicPr>
                          <pic:cNvPr descr="imagens/mapa.jpeg" id="74" name="Picture"/>
                          <pic:cNvPicPr>
                            <a:picLocks noChangeArrowheads="1" noChangeAspect="1"/>
                          </pic:cNvPicPr>
                        </pic:nvPicPr>
                        <pic:blipFill>
                          <a:blip r:embed="rId72"/>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75"/>
        </w:tc>
      </w:tr>
    </w:tbl>
    <w:bookmarkEnd w:id="76"/>
    <w:bookmarkStart w:id="77" w:name="tables"/>
    <w:p>
      <w:pPr>
        <w:pStyle w:val="Heading2"/>
      </w:pPr>
      <w:r>
        <w:t xml:space="preserve">Tables</w:t>
      </w:r>
    </w:p>
    <w:bookmarkEnd w:id="77"/>
    <w:bookmarkEnd w:id="78"/>
    <w:bookmarkStart w:id="79" w:name="apendices"/>
    <w:p>
      <w:pPr>
        <w:pStyle w:val="Heading1"/>
      </w:pPr>
      <w:r>
        <w:t xml:space="preserve">Apendices</w:t>
      </w:r>
    </w:p>
    <w:bookmarkEnd w:id="79"/>
    <w:bookmarkStart w:id="83"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PROGRA~1\RStudio\RESOUR~1\app\bin\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8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2" Target="media/rId72.jpg" /><Relationship Type="http://schemas.openxmlformats.org/officeDocument/2006/relationships/hyperlink" Id="rId60"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6" Target="https://doi.org/10.1007/978-94-011-7852-5_5" TargetMode="External" /><Relationship Type="http://schemas.openxmlformats.org/officeDocument/2006/relationships/hyperlink" Id="rId64"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53" Target="https://doi.org/10.18637/jss.v025.i0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62"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60" Target="https://bit.ly/4gtUh3i" TargetMode="External" /><Relationship Type="http://schemas.openxmlformats.org/officeDocument/2006/relationships/hyperlink" Id="rId41" Target="https://credit.niso.org/" TargetMode="External" /><Relationship Type="http://schemas.openxmlformats.org/officeDocument/2006/relationships/hyperlink" Id="rId48" Target="https://doi.org/10.1007/978-3-319-58374-7_11" TargetMode="External" /><Relationship Type="http://schemas.openxmlformats.org/officeDocument/2006/relationships/hyperlink" Id="rId56" Target="https://doi.org/10.1007/978-94-011-7852-5_5" TargetMode="External" /><Relationship Type="http://schemas.openxmlformats.org/officeDocument/2006/relationships/hyperlink" Id="rId64" Target="https://doi.org/10.1007/s10750-006-0252-7" TargetMode="External" /><Relationship Type="http://schemas.openxmlformats.org/officeDocument/2006/relationships/hyperlink" Id="rId51" Target="https://doi.org/10.1071/IT9870949" TargetMode="External" /><Relationship Type="http://schemas.openxmlformats.org/officeDocument/2006/relationships/hyperlink" Id="rId44" Target="https://doi.org/10.15560/13.5.581" TargetMode="External" /><Relationship Type="http://schemas.openxmlformats.org/officeDocument/2006/relationships/hyperlink" Id="rId53" Target="https://doi.org/10.18637/jss.v025.i01" TargetMode="External" /><Relationship Type="http://schemas.openxmlformats.org/officeDocument/2006/relationships/hyperlink" Id="rId46" Target="https://doi.org/10.4319/lo.1973.18.2.0331" TargetMode="External" /><Relationship Type="http://schemas.openxmlformats.org/officeDocument/2006/relationships/hyperlink" Id="rId31" Target="https://elviomedeiros.github.io/Bentos2006_Q/" TargetMode="External" /><Relationship Type="http://schemas.openxmlformats.org/officeDocument/2006/relationships/hyperlink" Id="rId62"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2026-09-14T22:03:28Z</dcterms:created>
  <dcterms:modified xsi:type="dcterms:W3CDTF">2026-09-14T22:03:28Z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2026-09-14</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zooplâncton.</vt:lpwstr>
  </property>
  <property fmtid="{D5CDD505-2E9C-101B-9397-08002B2CF9AE}" pid="21" name="toc-title">
    <vt:lpwstr>Table of contents</vt:lpwstr>
  </property>
</Properties>
</file>