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48.jpg" ContentType="image/jpe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Preditores ambientais da comunidade zooplanctônica em riachos da floresta atlântica.</w:t>
      </w:r>
    </w:p>
    <w:p>
      <w:pPr>
        <w:pStyle w:val="Subtitle"/>
      </w:pPr>
      <w:r>
        <w:t xml:space="preserve">Influência dos níveis de preservação ambiental e da sazonalidade sobre a composição da comunidade do zooplâncton.</w:t>
      </w:r>
    </w:p>
    <w:p>
      <w:pPr>
        <w:pStyle w:val="Author"/>
      </w:pPr>
      <w:r>
        <w:t xml:space="preserve">Mayara Mirelly da Silva Monteiro</w:t>
      </w:r>
    </w:p>
    <w:p>
      <w:pPr>
        <w:pStyle w:val="Author"/>
      </w:pPr>
      <w:r>
        <w:t xml:space="preserve">Ellen Gomes da Silva</w:t>
      </w:r>
    </w:p>
    <w:p>
      <w:pPr>
        <w:pStyle w:val="Author"/>
      </w:pPr>
      <w:r>
        <w:t xml:space="preserve">Marcela Vitória Bernardo da Silva</w:t>
      </w:r>
    </w:p>
    <w:p>
      <w:pPr>
        <w:pStyle w:val="Author"/>
      </w:pPr>
      <w:r>
        <w:t xml:space="preserve">Thais Xavier de Melo</w:t>
      </w:r>
    </w:p>
    <w:p>
      <w:pPr>
        <w:pStyle w:val="Author"/>
      </w:pPr>
      <w:r>
        <w:t xml:space="preserve">Elvio Sergio Figueredo Medeiros</w:t>
      </w:r>
    </w:p>
    <w:p>
      <w:pPr>
        <w:pStyle w:val="Date"/>
      </w:pPr>
      <w:r>
        <w:t xml:space="preserve">2026-09-10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1" w:name="perguntas"/>
    <w:p>
      <w:pPr>
        <w:pStyle w:val="Heading1"/>
      </w:pPr>
      <w:r>
        <w:t xml:space="preserve">2. Perguntas</w:t>
      </w:r>
    </w:p>
    <w:p>
      <w:pPr>
        <w:pStyle w:val="FirstParagraph"/>
      </w:pPr>
      <w:r>
        <w:t xml:space="preserve">O presente estudo propõe-se a responder às seguintes questões:</w:t>
      </w:r>
    </w:p>
    <w:p>
      <w:pPr>
        <w:pStyle w:val="Compact"/>
        <w:numPr>
          <w:ilvl w:val="0"/>
          <w:numId w:val="1001"/>
        </w:numPr>
      </w:pPr>
      <w:r>
        <w:t xml:space="preserve">Como as condições ambientais variam em riachos da Floresta Atlântica considerando os diferentes níveis de preservação ambiental e os períodos seco e chuvoso?</w:t>
      </w:r>
    </w:p>
    <w:p>
      <w:pPr>
        <w:pStyle w:val="Compact"/>
        <w:numPr>
          <w:ilvl w:val="0"/>
          <w:numId w:val="1001"/>
        </w:numPr>
      </w:pPr>
      <w:r>
        <w:t xml:space="preserve">A composição da comunidade zooplanctônica difere entre diferentes níveis de preservação ambiental e entre os períodos seco e chuvoso?</w:t>
      </w:r>
    </w:p>
    <w:p>
      <w:pPr>
        <w:pStyle w:val="Compact"/>
        <w:numPr>
          <w:ilvl w:val="0"/>
          <w:numId w:val="1001"/>
        </w:numPr>
      </w:pPr>
      <w:r>
        <w:t xml:space="preserve">Quais variáveis ambientais apresentam maior associação com a variação da composição da comunidade zooplanctônica?</w:t>
      </w:r>
    </w:p>
    <w:p>
      <w:pPr>
        <w:pStyle w:val="Compact"/>
        <w:numPr>
          <w:ilvl w:val="0"/>
          <w:numId w:val="1001"/>
        </w:numPr>
      </w:pPr>
      <w:r>
        <w:t xml:space="preserve">Quais táxons apresentam maior associação com os diferentes níveis de preservação ambiental?</w:t>
      </w:r>
    </w:p>
    <w:bookmarkEnd w:id="21"/>
    <w:bookmarkStart w:id="22" w:name="hipóteses"/>
    <w:p>
      <w:pPr>
        <w:pStyle w:val="Heading1"/>
      </w:pPr>
      <w:r>
        <w:t xml:space="preserve">3. Hipóteses</w:t>
      </w:r>
    </w:p>
    <w:p>
      <w:pPr>
        <w:pStyle w:val="FirstParagraph"/>
      </w:pPr>
      <w:r>
        <w:t xml:space="preserve">Hipótese 1 – Variação das condições ambientais: Espera-se que as condições ambientais dos riachos apresentem variação ao longo dos gradientes de preservação ambiental e entre os períodos seco e chuvoso, refletindo diferenças na estrutura do habitat e nas características físico-químicas da água.</w:t>
      </w:r>
    </w:p>
    <w:p>
      <w:pPr>
        <w:pStyle w:val="TextBody"/>
      </w:pPr>
      <w:r>
        <w:t xml:space="preserve">Hipótese 2 – Variação da composição da comunidade zooplanctônica: Mudanças na estrutura do habitat e nas características ambientais podem modificar os recursos disponíveis para o zooplâncton. Dessa forma, espera-se que a composição da comunidade zooplanctônica se altere entre os diferentes níveis de preservação ambiental e entre os períodos seco e chuvoso.</w:t>
      </w:r>
    </w:p>
    <w:p>
      <w:pPr>
        <w:pStyle w:val="TextBody"/>
      </w:pPr>
      <w:r>
        <w:t xml:space="preserve">Hipótese 3 – Associação entre os preditores ambientais e a comunidade zooplanctônica: Considerando que as características ambientais dos riachos podem atuar de forma conjunta sobre a comunidade zooplanctônica, espera-se que parte da variação na composição da comunidade seja explicada pelas variáveis relacionadas às condições ambientais, com algumas variáveis apresentando maior contribuição do que outras.</w:t>
      </w:r>
    </w:p>
    <w:p>
      <w:pPr>
        <w:pStyle w:val="TextBody"/>
      </w:pPr>
      <w:r>
        <w:t xml:space="preserve">Hipótese 4 – Táxons indicadores: Tendo em vista que diferentes condições ambientais podem favorecer determinados grupos, espera-se que alguns táxons da comunidade zooplanctônica estejam mais associados a determinados níveis de preservação ambiental, podendo atuar como indicadores do nível de preservação.</w:t>
      </w:r>
    </w:p>
    <w:bookmarkEnd w:id="22"/>
    <w:bookmarkStart w:id="25" w:name="objetivos"/>
    <w:p>
      <w:pPr>
        <w:pStyle w:val="Heading1"/>
      </w:pPr>
      <w:r>
        <w:t xml:space="preserve">4. Objetivos</w:t>
      </w:r>
    </w:p>
    <w:bookmarkStart w:id="23" w:name="objetivo-geral"/>
    <w:p>
      <w:pPr>
        <w:pStyle w:val="Heading2"/>
      </w:pPr>
      <w:r>
        <w:t xml:space="preserve">4.1 Objetivo geral</w:t>
      </w:r>
    </w:p>
    <w:p>
      <w:pPr>
        <w:pStyle w:val="FirstParagraph"/>
      </w:pPr>
      <w:r>
        <w:t xml:space="preserve">Identificar os principais preditores ambientais associados à composição da comunidade zooplanctônica em riachos inseridos em um remanescente de Floresta Atlântica, considerando diferentes níveis de preservação ambiental e os períodos seco e chuvoso.</w:t>
      </w:r>
    </w:p>
    <w:bookmarkEnd w:id="23"/>
    <w:bookmarkStart w:id="24" w:name="objetivos-específicos"/>
    <w:p>
      <w:pPr>
        <w:pStyle w:val="Heading2"/>
      </w:pPr>
      <w:r>
        <w:t xml:space="preserve">4.2 Objetivos Específicos</w:t>
      </w:r>
    </w:p>
    <w:p>
      <w:pPr>
        <w:numPr>
          <w:ilvl w:val="0"/>
          <w:numId w:val="1002"/>
        </w:numPr>
      </w:pPr>
      <w:r>
        <w:t xml:space="preserve">Caracterizar os principais gradientes de estrutura do habitat e das condições ambientais ao longo dos riachos, considerando os diferentes níveis de preservação ambiental e os períodos seco e chuvoso.</w:t>
      </w:r>
    </w:p>
    <w:p>
      <w:pPr>
        <w:numPr>
          <w:ilvl w:val="0"/>
          <w:numId w:val="1002"/>
        </w:numPr>
      </w:pPr>
      <w:r>
        <w:t xml:space="preserve">Avaliar a variação da composição da comunidade zooplanctônica, entre os diferentes níveis de preservação ambiental e os períodos seco e chuvoso.</w:t>
      </w:r>
    </w:p>
    <w:p>
      <w:pPr>
        <w:numPr>
          <w:ilvl w:val="0"/>
          <w:numId w:val="1002"/>
        </w:numPr>
      </w:pPr>
      <w:r>
        <w:t xml:space="preserve">Identificar as variáveis ambientais que apresentam maior associação com a variação na composição da comunidade zooplanctônica.</w:t>
      </w:r>
    </w:p>
    <w:p>
      <w:pPr>
        <w:numPr>
          <w:ilvl w:val="0"/>
          <w:numId w:val="1002"/>
        </w:numPr>
      </w:pPr>
      <w:r>
        <w:t xml:space="preserve">Determinar quais preditores ambientais selecionados apresentam maior contribuição para explicar a variação da composição da comunidade zooplanctônica.</w:t>
      </w:r>
    </w:p>
    <w:p>
      <w:pPr>
        <w:numPr>
          <w:ilvl w:val="0"/>
          <w:numId w:val="1002"/>
        </w:numPr>
      </w:pPr>
      <w:r>
        <w:t xml:space="preserve">Identificar os táxons associados aos diferentes níveis de preservação ambiental e aos períodos seco e chuvoso.</w:t>
      </w:r>
    </w:p>
    <w:bookmarkEnd w:id="24"/>
    <w:bookmarkEnd w:id="25"/>
    <w:bookmarkStart w:id="30" w:name="material-and-methods"/>
    <w:p>
      <w:pPr>
        <w:pStyle w:val="Heading1"/>
      </w:pPr>
      <w:r>
        <w:t xml:space="preserve">5.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5.2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6" w:name="study-area-and-sampling-design"/>
    <w:p>
      <w:pPr>
        <w:pStyle w:val="Heading2"/>
      </w:pPr>
      <w:r>
        <w:t xml:space="preserve">5.1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6"/>
    <w:bookmarkStart w:id="27" w:name="sec-data-col"/>
    <w:p>
      <w:pPr>
        <w:pStyle w:val="Heading2"/>
      </w:pPr>
      <w:r>
        <w:t xml:space="preserve">5.2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7"/>
    <w:bookmarkStart w:id="29" w:name="statistical-analyses"/>
    <w:p>
      <w:pPr>
        <w:pStyle w:val="Heading2"/>
      </w:pPr>
      <w:r>
        <w:t xml:space="preserve">5.3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8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9"/>
    <w:bookmarkEnd w:id="30"/>
    <w:bookmarkStart w:id="33" w:name="results"/>
    <w:p>
      <w:pPr>
        <w:pStyle w:val="Heading1"/>
      </w:pPr>
      <w:r>
        <w:t xml:space="preserve">6.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8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31" w:name="environmental-variables"/>
    <w:p>
      <w:pPr>
        <w:pStyle w:val="Heading2"/>
      </w:pPr>
      <w:r>
        <w:t xml:space="preserve">6.1 Environmental variables</w:t>
      </w:r>
    </w:p>
    <w:bookmarkEnd w:id="31"/>
    <w:bookmarkStart w:id="32" w:name="community-structure"/>
    <w:p>
      <w:pPr>
        <w:pStyle w:val="Heading2"/>
      </w:pPr>
      <w:r>
        <w:t xml:space="preserve">6.2 Community structure</w:t>
      </w:r>
    </w:p>
    <w:bookmarkEnd w:id="32"/>
    <w:bookmarkEnd w:id="33"/>
    <w:bookmarkStart w:id="34" w:name="discussion"/>
    <w:p>
      <w:pPr>
        <w:pStyle w:val="Heading1"/>
      </w:pPr>
      <w:r>
        <w:t xml:space="preserve">7. Discussion</w:t>
      </w:r>
    </w:p>
    <w:bookmarkEnd w:id="34"/>
    <w:bookmarkStart w:id="35" w:name="conclusions"/>
    <w:p>
      <w:pPr>
        <w:pStyle w:val="Heading1"/>
      </w:pPr>
      <w:r>
        <w:t xml:space="preserve">Conclusions</w:t>
      </w:r>
    </w:p>
    <w:bookmarkEnd w:id="35"/>
    <w:bookmarkStart w:id="36" w:name="acknowledgements"/>
    <w:p>
      <w:pPr>
        <w:pStyle w:val="Heading1"/>
      </w:pPr>
      <w:r>
        <w:t xml:space="preserve">Acknowledgements</w:t>
      </w:r>
    </w:p>
    <w:bookmarkEnd w:id="36"/>
    <w:bookmarkStart w:id="37" w:name="authorship-contribution-statement"/>
    <w:p>
      <w:pPr>
        <w:pStyle w:val="Heading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TextBody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7"/>
    <w:bookmarkStart w:id="38" w:name="ethical-approval"/>
    <w:p>
      <w:pPr>
        <w:pStyle w:val="Heading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8"/>
    <w:bookmarkStart w:id="47" w:name="references"/>
    <w:p>
      <w:pPr>
        <w:pStyle w:val="Heading1"/>
      </w:pPr>
      <w:r>
        <w:t xml:space="preserve">References</w:t>
      </w:r>
    </w:p>
    <w:bookmarkStart w:id="46" w:name="refs"/>
    <w:bookmarkStart w:id="40" w:name="ref-credit2026"/>
    <w:p>
      <w:pPr>
        <w:pStyle w:val="Bibliography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https://credit.niso.org/</w:t>
        </w:r>
      </w:hyperlink>
    </w:p>
    <w:bookmarkEnd w:id="40"/>
    <w:bookmarkStart w:id="42" w:name="ref-gouveia2017"/>
    <w:p>
      <w:pPr>
        <w:pStyle w:val="Bibliography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41">
        <w:r>
          <w:rPr>
            <w:rStyle w:val="Hyperlink"/>
          </w:rPr>
          <w:t xml:space="preserve">https://doi.org/10.15560/13.5.581</w:t>
        </w:r>
      </w:hyperlink>
    </w:p>
    <w:bookmarkEnd w:id="42"/>
    <w:bookmarkStart w:id="44" w:name="ref-macêdo2019"/>
    <w:p>
      <w:pPr>
        <w:pStyle w:val="Bibliography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43">
        <w:r>
          <w:rPr>
            <w:rStyle w:val="Hyperlink"/>
          </w:rPr>
          <w:t xml:space="preserve">https://doi.org/10.1002/jez.2320</w:t>
        </w:r>
      </w:hyperlink>
    </w:p>
    <w:bookmarkEnd w:id="44"/>
    <w:bookmarkStart w:id="45" w:name="ref-medeiros2008"/>
    <w:p>
      <w:pPr>
        <w:pStyle w:val="Bibliography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5"/>
    <w:bookmarkEnd w:id="46"/>
    <w:bookmarkEnd w:id="47"/>
    <w:bookmarkStart w:id="54" w:name="figures-and-tables"/>
    <w:p>
      <w:pPr>
        <w:pStyle w:val="Heading1"/>
      </w:pPr>
      <w:r>
        <w:t xml:space="preserve">Figures and Tables</w:t>
      </w:r>
    </w:p>
    <w:bookmarkStart w:id="52" w:name="figures"/>
    <w:p>
      <w:pPr>
        <w:pStyle w:val="Heading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51"/>
        </w:tc>
      </w:tr>
    </w:tbl>
    <w:bookmarkEnd w:id="52"/>
    <w:bookmarkStart w:id="53" w:name="tables"/>
    <w:p>
      <w:pPr>
        <w:pStyle w:val="Heading2"/>
      </w:pPr>
      <w:r>
        <w:t xml:space="preserve">Tables</w:t>
      </w:r>
    </w:p>
    <w:bookmarkEnd w:id="53"/>
    <w:bookmarkEnd w:id="54"/>
    <w:bookmarkStart w:id="55" w:name="apendices"/>
    <w:p>
      <w:pPr>
        <w:pStyle w:val="Heading1"/>
      </w:pPr>
      <w:r>
        <w:t xml:space="preserve">Apendices</w:t>
      </w:r>
    </w:p>
    <w:bookmarkEnd w:id="55"/>
    <w:bookmarkStart w:id="59" w:name="non-used-figures-and-tables"/>
    <w:p>
      <w:pPr>
        <w:pStyle w:val="Heading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</w:tc>
      </w:tr>
    </w:tbl>
    <w:bookmarkEnd w:id="59"/>
    <w:sectPr>
      <w:type w:val="nextPage"/>
      <w:pgSz w:h="15840" w:w="12240"/>
      <w:pgMar w:bottom="1440" w:footer="0" w:gutter="0" w:header="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Palatino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alatino Linotype"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Cs w:val="24"/>
        <w:lang w:bidi="ar-SA" w:eastAsia="en-US" w:val="en-US"/>
      </w:rPr>
    </w:rPrDefault>
    <w:pPrDefault>
      <w:pPr/>
    </w:pPrDefault>
  </w:docDefaults>
  <w:latentStyles w:count="380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uiPriority w:val="9"/>
    <w:qFormat/>
    <w:rsid w:val="00d9624b"/>
    <w:pPr>
      <w:keepNext w:val="true"/>
      <w:keepLines/>
      <w:spacing w:after="0" w:before="480"/>
      <w:outlineLvl w:val="0"/>
    </w:pPr>
    <w:rPr>
      <w:rFonts w:ascii="Palatino" w:cs="" w:cstheme="majorBidi" w:eastAsia="" w:eastAsiaTheme="majorEastAsia" w:hAnsi="Palatino"/>
      <w:b/>
      <w:bCs/>
      <w:color w:themeColor="text1" w:val="000000"/>
      <w:szCs w:val="32"/>
    </w:rPr>
  </w:style>
  <w:style w:styleId="Heading2" w:type="paragraph">
    <w:name w:val="Heading 2"/>
    <w:basedOn w:val="Normal"/>
    <w:uiPriority w:val="9"/>
    <w:unhideWhenUsed/>
    <w:qFormat/>
    <w:rsid w:val="00d9624b"/>
    <w:pPr>
      <w:keepNext w:val="true"/>
      <w:keepLines/>
      <w:spacing w:after="0" w:before="200"/>
      <w:outlineLvl w:val="1"/>
    </w:pPr>
    <w:rPr>
      <w:rFonts w:ascii="Palatino" w:cs="" w:cstheme="majorBidi" w:eastAsia="" w:eastAsiaTheme="majorEastAsia" w:hAnsi="Palatino"/>
      <w:b w:val="false"/>
      <w:bCs/>
      <w:i/>
      <w:color w:themeColor="text1" w:val="000000"/>
      <w:szCs w:val="32"/>
    </w:rPr>
  </w:style>
  <w:style w:styleId="Heading3" w:type="paragraph">
    <w:name w:val="Heading 3"/>
    <w:basedOn w:val="Normal"/>
    <w:uiPriority w:val="9"/>
    <w:unhideWhenUsed/>
    <w:qFormat/>
    <w:pPr>
      <w:keepNext w:val="true"/>
      <w:keepLines/>
      <w:spacing w:after="0" w:before="200"/>
      <w:outlineLvl w:val="2"/>
    </w:pPr>
    <w:rPr>
      <w:rFonts w:ascii="Palatino" w:cs="" w:cstheme="majorBidi" w:eastAsia="" w:eastAsiaTheme="majorEastAsia" w:hAnsi="Palatino"/>
      <w:b w:val="false"/>
      <w:bCs/>
      <w:i/>
      <w:color w:val="000000"/>
      <w:sz w:val="24"/>
      <w:szCs w:val="28"/>
    </w:rPr>
  </w:style>
  <w:style w:styleId="Heading4" w:type="paragraph">
    <w:name w:val="Heading 4"/>
    <w:basedOn w:val="Normal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link w:val="SourceCode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Internet Link"/>
    <w:basedOn w:val="CaptionChar"/>
    <w:rPr>
      <w:color w:themeColor="accent1" w:val="4F81BD"/>
    </w:rPr>
  </w:style>
  <w:style w:customStyle="1" w:styleId="KeywordTok" w:type="character">
    <w:name w:val="Keyword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DataTypeTok" w:type="character">
    <w:name w:val="DataType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DecValTok" w:type="character">
    <w:name w:val="DecVal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BaseNTok" w:type="character">
    <w:name w:val="BaseN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FloatTok" w:type="character">
    <w:name w:val="Float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ConstantTok" w:type="character">
    <w:name w:val="Constant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CharTok" w:type="character">
    <w:name w:val="Char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SpecialCharTok" w:type="character">
    <w:name w:val="SpecialChar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StringTok" w:type="character">
    <w:name w:val="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VerbatimStringTok" w:type="character">
    <w:name w:val="Verbatim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SpecialStringTok" w:type="character">
    <w:name w:val="Special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ImportTok" w:type="character">
    <w:name w:val="ImportTok"/>
    <w:basedOn w:val="VerbatimChar"/>
    <w:qFormat/>
    <w:rPr>
      <w:rFonts w:ascii="Consolas" w:hAnsi="Consolas"/>
      <w:sz w:val="22"/>
      <w:shd w:fill="F8F8F8" w:val="clear"/>
    </w:rPr>
  </w:style>
  <w:style w:customStyle="1" w:styleId="CommentTok" w:type="character">
    <w:name w:val="Comment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DocumentationTok" w:type="character">
    <w:name w:val="Document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nnotationTok" w:type="character">
    <w:name w:val="Annot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CommentVarTok" w:type="character">
    <w:name w:val="CommentVar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OtherTok" w:type="character">
    <w:name w:val="OtherTok"/>
    <w:basedOn w:val="VerbatimChar"/>
    <w:qFormat/>
    <w:rPr>
      <w:rFonts w:ascii="Consolas" w:hAnsi="Consolas"/>
      <w:color w:val="8F5902"/>
      <w:sz w:val="22"/>
      <w:shd w:fill="F8F8F8" w:val="clear"/>
    </w:rPr>
  </w:style>
  <w:style w:customStyle="1" w:styleId="FunctionTok" w:type="character">
    <w:name w:val="Function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VariableTok" w:type="character">
    <w:name w:val="Variable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ControlFlowTok" w:type="character">
    <w:name w:val="ControlFlow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OperatorTok" w:type="character">
    <w:name w:val="OperatorTok"/>
    <w:basedOn w:val="VerbatimChar"/>
    <w:qFormat/>
    <w:rPr>
      <w:rFonts w:ascii="Consolas" w:hAnsi="Consolas"/>
      <w:color w:val="CE5C00"/>
      <w:sz w:val="22"/>
      <w:shd w:fill="F8F8F8" w:val="clear"/>
    </w:rPr>
  </w:style>
  <w:style w:customStyle="1" w:styleId="BuiltInTok" w:type="character">
    <w:name w:val="BuiltInTok"/>
    <w:basedOn w:val="VerbatimChar"/>
    <w:qFormat/>
    <w:rPr>
      <w:rFonts w:ascii="Consolas" w:hAnsi="Consolas"/>
      <w:sz w:val="22"/>
      <w:shd w:fill="F8F8F8" w:val="clear"/>
    </w:rPr>
  </w:style>
  <w:style w:customStyle="1" w:styleId="ExtensionTok" w:type="character">
    <w:name w:val="ExtensionTok"/>
    <w:basedOn w:val="VerbatimChar"/>
    <w:qFormat/>
    <w:rPr>
      <w:rFonts w:ascii="Consolas" w:hAnsi="Consolas"/>
      <w:sz w:val="22"/>
      <w:shd w:fill="F8F8F8" w:val="clear"/>
    </w:rPr>
  </w:style>
  <w:style w:customStyle="1" w:styleId="PreprocessorTok" w:type="character">
    <w:name w:val="Preprocessor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ttributeTok" w:type="character">
    <w:name w:val="AttributeTok"/>
    <w:basedOn w:val="VerbatimChar"/>
    <w:qFormat/>
    <w:rPr>
      <w:rFonts w:ascii="Consolas" w:hAnsi="Consolas"/>
      <w:color w:val="C4A000"/>
      <w:sz w:val="22"/>
      <w:shd w:fill="F8F8F8" w:val="clear"/>
    </w:rPr>
  </w:style>
  <w:style w:customStyle="1" w:styleId="RegionMarkerTok" w:type="character">
    <w:name w:val="RegionMarkerTok"/>
    <w:basedOn w:val="VerbatimChar"/>
    <w:qFormat/>
    <w:rPr>
      <w:rFonts w:ascii="Consolas" w:hAnsi="Consolas"/>
      <w:sz w:val="22"/>
      <w:shd w:fill="F8F8F8" w:val="clear"/>
    </w:rPr>
  </w:style>
  <w:style w:customStyle="1" w:styleId="InformationTok" w:type="character">
    <w:name w:val="Inform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WarningTok" w:type="character">
    <w:name w:val="Warning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lertTok" w:type="character">
    <w:name w:val="AlertTok"/>
    <w:basedOn w:val="VerbatimChar"/>
    <w:qFormat/>
    <w:rPr>
      <w:rFonts w:ascii="Consolas" w:hAnsi="Consolas"/>
      <w:color w:val="EF2929"/>
      <w:sz w:val="22"/>
      <w:shd w:fill="F8F8F8" w:val="clear"/>
    </w:rPr>
  </w:style>
  <w:style w:customStyle="1" w:styleId="ErrorTok" w:type="character">
    <w:name w:val="ErrorTok"/>
    <w:basedOn w:val="VerbatimChar"/>
    <w:qFormat/>
    <w:rPr>
      <w:rFonts w:ascii="Consolas" w:hAnsi="Consolas"/>
      <w:color w:val="A40000"/>
      <w:sz w:val="22"/>
      <w:shd w:fill="F8F8F8" w:val="clear"/>
    </w:rPr>
  </w:style>
  <w:style w:customStyle="1" w:styleId="NormalTok" w:type="character">
    <w:name w:val="NormalTok"/>
    <w:basedOn w:val="VerbatimChar"/>
    <w:qFormat/>
    <w:rPr>
      <w:rFonts w:ascii="Consolas" w:hAnsi="Consolas"/>
      <w:sz w:val="22"/>
      <w:shd w:fill="F8F8F8" w:val="clear"/>
    </w:rPr>
  </w:style>
  <w:style w:customStyle="1" w:styleId="BodyTextChar" w:type="character">
    <w:name w:val="Body Text Char"/>
    <w:basedOn w:val="DefaultParagraphFont"/>
    <w:link w:val="BodyText"/>
    <w:qFormat/>
    <w:rsid w:val="0046359f"/>
    <w:rPr/>
  </w:style>
  <w:style w:styleId="ListLabel1" w:type="character">
    <w:name w:val="ListLabel 1"/>
    <w:qFormat/>
    <w:rPr>
      <w:rFonts w:cs="Courier New"/>
    </w:rPr>
  </w:style>
  <w:style w:styleId="ListLabel2" w:type="character">
    <w:name w:val="ListLabel 2"/>
    <w:qFormat/>
    <w:rPr>
      <w:rFonts w:cs="Courier New"/>
    </w:rPr>
  </w:style>
  <w:style w:styleId="ListLabel3" w:type="character">
    <w:name w:val="ListLabel 3"/>
    <w:qFormat/>
    <w:rPr/>
  </w:style>
  <w:style w:styleId="ListLabel4" w:type="character">
    <w:name w:val="ListLabel 4"/>
    <w:qFormat/>
    <w:rPr/>
  </w:style>
  <w:style w:styleId="ListLabel5" w:type="character">
    <w:name w:val="ListLabel 5"/>
    <w:qFormat/>
    <w:rPr/>
  </w:style>
  <w:style w:styleId="ListLabel6" w:type="character">
    <w:name w:val="ListLabel 6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Lohit Devanagari" w:eastAsia="AR PL SungtiL GB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pPr>
      <w:spacing w:after="180" w:before="180"/>
      <w:jc w:val="both"/>
    </w:pPr>
    <w:rPr>
      <w:rFonts w:ascii="Palatino" w:hAnsi="Palatino"/>
    </w:rPr>
  </w:style>
  <w:style w:styleId="List" w:type="paragraph">
    <w:name w:val="List"/>
    <w:basedOn w:val="TextBody"/>
    <w:pPr/>
    <w:rPr>
      <w:rFonts w:cs="Lohit Devanagari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Lohit Devanagari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Lohit Devanagari"/>
    </w:rPr>
  </w:style>
  <w:style w:customStyle="1" w:styleId="FirstParagraph" w:type="paragraph">
    <w:name w:val="First Paragraph"/>
    <w:basedOn w:val="TextBody"/>
    <w:qFormat/>
    <w:rsid w:val="008959bb"/>
    <w:pPr>
      <w:jc w:val="both"/>
    </w:pPr>
    <w:rPr>
      <w:rFonts w:ascii="Palatino" w:hAnsi="Palatino"/>
    </w:rPr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qFormat/>
    <w:rsid w:val="002e505d"/>
    <w:pPr>
      <w:keepNext w:val="true"/>
      <w:keepLines/>
      <w:spacing w:after="240" w:before="480"/>
      <w:jc w:val="center"/>
    </w:pPr>
    <w:rPr>
      <w:rFonts w:ascii="Palatino" w:cs="" w:cstheme="majorBidi" w:eastAsia="" w:eastAsiaTheme="majorEastAsia" w:hAnsi="Palatino"/>
      <w:bCs/>
      <w:color w:themeColor="text1" w:val="000000"/>
      <w:sz w:val="36"/>
      <w:szCs w:val="36"/>
    </w:rPr>
  </w:style>
  <w:style w:styleId="Subtitle" w:type="paragraph">
    <w:name w:val="Subtitle"/>
    <w:basedOn w:val="Title"/>
    <w:qFormat/>
    <w:pPr>
      <w:spacing w:after="240" w:before="240"/>
    </w:pPr>
    <w:rPr>
      <w:sz w:val="30"/>
      <w:szCs w:val="30"/>
    </w:rPr>
  </w:style>
  <w:style w:customStyle="1" w:styleId="Author" w:type="paragraph">
    <w:name w:val="Author"/>
    <w:qFormat/>
    <w:pPr>
      <w:keepNext w:val="true"/>
      <w:keepLines/>
      <w:widowControl/>
      <w:bidi w:val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Date" w:type="paragraph">
    <w:name w:val="Date"/>
    <w:qFormat/>
    <w:pPr>
      <w:keepNext w:val="true"/>
      <w:keepLines/>
      <w:widowControl/>
      <w:bidi w:val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uiPriority w:val="9"/>
    <w:unhideWhenUsed/>
    <w:qFormat/>
    <w:pPr>
      <w:spacing w:after="100" w:before="100"/>
    </w:pPr>
    <w:rPr>
      <w:rFonts w:ascii="Calibri" w:asciiTheme="majorHAnsi" w:cs="" w:cstheme="majorBidi" w:eastAsia="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FigurewithCaption" w:type="paragraph">
    <w:name w:val="Figure with Caption"/>
    <w:basedOn w:val="Figure"/>
    <w:qFormat/>
    <w:pPr>
      <w:keepNext w:val="true"/>
    </w:pPr>
    <w:rPr/>
  </w:style>
  <w:style w:styleId="TOCHeading" w:type="paragraph">
    <w:name w:val="TOC Heading"/>
    <w:basedOn w:val="Heading1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qFormat/>
    <w:pPr>
      <w:shd w:color="auto" w:fill="F8F8F8" w:val="clear"/>
    </w:pPr>
    <w:rPr/>
  </w:style>
  <w:style w:customStyle="1" w:styleId="Style11" w:type="paragraph">
    <w:name w:val="Style1"/>
    <w:basedOn w:val="Title"/>
    <w:qFormat/>
    <w:rsid w:val="0046359f"/>
    <w:pPr/>
    <w:rPr>
      <w:rFonts w:ascii="Palatino Linotype" w:hAnsi="Palatino Linotype"/>
    </w:rPr>
  </w:style>
  <w:style w:customStyle="1" w:styleId="Stevetitle" w:type="paragraph">
    <w:name w:val="steve-title"/>
    <w:basedOn w:val="Title"/>
    <w:qFormat/>
    <w:rsid w:val="00263d8e"/>
    <w:pPr/>
    <w:rPr>
      <w:b/>
      <w:i/>
    </w:rPr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48" Target="media/rId48.jpg" /><Relationship Type="http://schemas.openxmlformats.org/officeDocument/2006/relationships/hyperlink" Id="rId39" Target="https://credit.niso.org/" TargetMode="External" /><Relationship Type="http://schemas.openxmlformats.org/officeDocument/2006/relationships/hyperlink" Id="rId43" Target="https://doi.org/10.1002/jez.2320" TargetMode="External" /><Relationship Type="http://schemas.openxmlformats.org/officeDocument/2006/relationships/hyperlink" Id="rId41" Target="https://doi.org/10.15560/13.5.581" TargetMode="External" /><Relationship Type="http://schemas.openxmlformats.org/officeDocument/2006/relationships/hyperlink" Id="rId28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redit.niso.org/" TargetMode="External" /><Relationship Type="http://schemas.openxmlformats.org/officeDocument/2006/relationships/hyperlink" Id="rId43" Target="https://doi.org/10.1002/jez.2320" TargetMode="External" /><Relationship Type="http://schemas.openxmlformats.org/officeDocument/2006/relationships/hyperlink" Id="rId41" Target="https://doi.org/10.15560/13.5.581" TargetMode="External" /><Relationship Type="http://schemas.openxmlformats.org/officeDocument/2006/relationships/hyperlink" Id="rId28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LibreOffice/6.0.7.3$Linux_X86_64 LibreOffice_project/00m0$Build-3</Application>
  <Pages>3</Pages>
  <Words>543</Words>
  <Characters>3022</Characters>
  <CharactersWithSpaces>3610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Preditores ambientais da comunidade zooplanctônica em riachos da floresta atlântica.</dc:title>
  <dc:creator>Mayara Mirelly da Silva Monteiro; Ellen Gomes da Silva; Marcela Vitória Bernardo da Silva; Thais Xavier de Melo; Elvio Sergio Figueredo Medeiros</dc:creator>
  <dc:language>en-US</dc:language>
  <cp:keywords>Riachos, Floresta Atlântica</cp:keywords>
  <dcterms:created xsi:type="dcterms:W3CDTF">2026-09-10T19:08:41Z</dcterms:created>
  <dcterms:modified xsi:type="dcterms:W3CDTF">2026-09-10T19:08:41Z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2026-09-10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execute">
    <vt:lpwstr/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subtitle">
    <vt:lpwstr>Influência dos níveis de preservação ambiental e da sazonalidade sobre a composição da comunidade do zooplâncton.</vt:lpwstr>
  </property>
  <property fmtid="{D5CDD505-2E9C-101B-9397-08002B2CF9AE}" pid="21" name="toc-title">
    <vt:lpwstr>Table of contents</vt:lpwstr>
  </property>
</Properties>
</file>