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137.png" ContentType="image/png"/>
  <Override PartName="/word/media/rId152.png" ContentType="image/png"/>
  <Override PartName="/word/media/rId142.png" ContentType="image/png"/>
  <Override PartName="/word/media/rId147.png" ContentType="image/png"/>
  <Override PartName="/word/media/rId167.png" ContentType="image/png"/>
  <Override PartName="/word/media/rId157.png" ContentType="image/png"/>
  <Override PartName="/word/media/rId16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Contrasting conservation conditions shape the spatial partitioning of zooplankton diversity in Atlantic Forest streams</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2026-10-02</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Essas abordagens são baseadas nos conceitos de turnover and nestedness. Species turnover and nestedness are two distinct components used to break down and understand beta diversity—which measures how much species composition changes between different communities or sites</w:t>
      </w:r>
      <w:r>
        <w:t xml:space="preserve"> </w:t>
      </w:r>
      <w:r>
        <w:t xml:space="preserve">(Baselga, 2010)</w:t>
      </w:r>
      <w:r>
        <w:t xml:space="preserve">, where,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CITAR:</w:t>
      </w:r>
      <w:r>
        <w:t xml:space="preserve"> </w:t>
      </w:r>
      <w:r>
        <w:t xml:space="preserve">(Ávila et al., 2011; Baselga, 2010, 2012; Crist et al., 2003; Gering et al., 2003; Ligeiro et al., 2010; Shell &amp; Collier, 2018; Veech et al., 2003)</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&amp;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A total of 15 sampling sites distributed longitudinally across the two Atlantic Forest streams were selected to capture spatial variation in environmental conditions and habitat characteristics. The Barro Branco stream included sampling sites located within a protected area (REBIO Guaribas)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 Sampling included temporal (dry and wet seasons) and spatial scales. The spatial scales of zooplankton diversity were represented by the total gamma (γ) diversity, encompassing both study streams. At each stream, several sites were selected according to their position in the main channel of the catchment basin and, at each site, three habitas were sampled to represent different habitat types (pool, riffle, near underwater structures)</w:t>
      </w:r>
      <w:r>
        <w:t xml:space="preserve"> </w:t>
      </w:r>
      <w:r>
        <w:t xml:space="preserve">(Frissell et al., 1986)</w:t>
      </w:r>
      <w:r>
        <w:t xml:space="preserve">. We also considered a further spatial scale being the upper reaches (portion of the Barro Branco stream within the conservation unit and the Caiana stream before its confluence with the Pipina stream) and the lower reaches (portion of the Barro Branco stream outside the conservation unit and the Caiana stream after its confluence with the Pipina stream) (</w:t>
      </w:r>
      <w:hyperlink w:anchor="fig-mapa">
        <w:r>
          <w:rPr>
            <w:rStyle w:val="Hyperlink"/>
          </w:rPr>
          <w:t xml:space="preserve">Figure 1</w:t>
        </w:r>
      </w:hyperlink>
      <w:r>
        <w:t xml:space="preserve">). Sampling was conducted during the dry (January-February) and wet (June-July) seasons of 2024.</w:t>
      </w:r>
    </w:p>
    <w:bookmarkEnd w:id="14"/>
    <w:bookmarkStart w:id="15" w:name="environmental-data-collection"/>
    <w:p>
      <w:pPr>
        <w:pStyle w:val="Heading2"/>
      </w:pPr>
      <w:r>
        <w:t xml:space="preserve">2.2 Environmental data collection</w:t>
      </w:r>
    </w:p>
    <w:p>
      <w:pPr>
        <w:pStyle w:val="FirstParagraph"/>
      </w:pPr>
      <w:r>
        <w:t xml:space="preserve">Environmental conditions were characterized using four groups of variables,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site morphology, water quality, substrate composition, and marginal habitat structure.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Substrate composition and the physical structure of marginal habitats were evaluated from 9 to 12 quadrats (1 m²) distributed along the terrestrial-aquatic interface at each sampling site. Within each quadrat, the proportional cover of different substrate categories was visually estimated, including mud, sand, cobbles, small and large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w:t>
      </w:r>
      <w:r>
        <w:t xml:space="preserve"> </w:t>
      </w:r>
      <w:r>
        <w:t xml:space="preserve">(Medeiros et al., 2008)</w:t>
      </w:r>
      <w:r>
        <w:t xml:space="preserve">.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w:t>
      </w:r>
      <w:r>
        <w:t xml:space="preserve"> </w:t>
      </w:r>
      <w:r>
        <w:t xml:space="preserve">(EPA, 2020)</w:t>
      </w:r>
      <w:r>
        <w:t xml:space="preserve">. Sucrose was added to the preserved sample to prevent female cladocerans from losing eggs and to minimize carapace distortion</w:t>
      </w:r>
      <w:r>
        <w:t xml:space="preserve"> </w:t>
      </w:r>
      <w:r>
        <w:t xml:space="preserve">(Haney &amp;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r>
        <w:t xml:space="preserve">(Lucena et al., 2015; T. X. D. Melo et al., 2014)</w:t>
      </w:r>
      <w:r>
        <w:t xml:space="preserve">.</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&amp;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&amp;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&amp;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 A Permutational Multivariate Analysis of Variance (PERMANOVA, 999 permutations) was performed to test whether the overall set of environmental variables measured differed across the seasons and streams</w:t>
      </w:r>
      <w:r>
        <w:t xml:space="preserve"> </w:t>
      </w:r>
      <w:r>
        <w:t xml:space="preserve">(Anderson &amp; Walsh, 2013; Freiry et al., 2020)</w:t>
      </w:r>
      <w:r>
        <w:t xml:space="preserve">.</w:t>
      </w:r>
    </w:p>
    <w:p>
      <w:pPr>
        <w:pStyle w:val="TextBody"/>
      </w:pPr>
      <w:r>
        <w:t xml:space="preserve">Zooplankton diversity was characterized using species richness (R) and Shannon’s density (D)</w:t>
      </w:r>
      <w:r>
        <w:t xml:space="preserve"> </w:t>
      </w:r>
      <w:r>
        <w:t xml:space="preserve">(Magurran, 2013)</w:t>
      </w:r>
      <w:r>
        <w:t xml:space="preserve">. Species richness was calculated as the number of species recorded in each sample, whereas density was expressed as the number of individuals per liter (ind./L)</w:t>
      </w:r>
      <w:r>
        <w:t xml:space="preserve"> </w:t>
      </w:r>
      <w:r>
        <w:t xml:space="preserve">(Bowen, 2017; Silva et al., 2017)</w:t>
      </w:r>
      <w:r>
        <w:t xml:space="preserve">. Variation in richness and density was evaluated using factorial analysis of variance (ANOVA) followed by</w:t>
      </w:r>
      <w:r>
        <w:t xml:space="preserve"> </w:t>
      </w:r>
      <w:r>
        <w:rPr>
          <w:i/>
          <w:iCs/>
        </w:rPr>
        <w:t xml:space="preserve">post hoc</w:t>
      </w:r>
      <w:r>
        <w:t xml:space="preserve"> </w:t>
      </w:r>
      <w:r>
        <w:t xml:space="preserve">multiple comparisons using Tukey’s HSD test (α=0.05)</w:t>
      </w:r>
      <w:r>
        <w:t xml:space="preserve"> </w:t>
      </w:r>
      <w:r>
        <w:t xml:space="preserve">(Zar, 2010)</w:t>
      </w:r>
      <w:r>
        <w:t xml:space="preserve">. Density was square root transformed to enhance normality and homogeneity of variances</w:t>
      </w:r>
      <w:r>
        <w:t xml:space="preserve"> </w:t>
      </w:r>
      <w:r>
        <w:t xml:space="preserve">(Sokal &amp; Rohlf, 1995)</w:t>
      </w:r>
      <w:r>
        <w:t xml:space="preserve"> </w:t>
      </w:r>
      <w:r>
        <w:t xml:space="preserve">and species richness was corrected based on rarefied analyses for the average number of individuals from all sites</w:t>
      </w:r>
      <w:r>
        <w:t xml:space="preserve"> </w:t>
      </w:r>
      <w:r>
        <w:t xml:space="preserve">(Chao et al., 2014; Medeiros et al., 2024; Oksanen et al., n.d.)</w:t>
      </w:r>
      <w:r>
        <w:t xml:space="preserve">.</w:t>
      </w:r>
      <w:r>
        <w:t xml:space="preserve"> </w:t>
      </w:r>
      <w:r>
        <w:t xml:space="preserve">Each observation was classified according to three factors: river reach (three levels), habitat (three levels), and hydrological season (wet and dry). The analysis initially considered the full factorial model. When significant interactions were detected, higher-order interactions were examined first, followed by the corresponding two-way interactions (reach × season, reach × habitat, and season × habitat) and, subsequently, the main effects. Response variables were transformed using log₁₀(x + 1) to improve compliance with assumptions of normality and homogeneity of variances [39]. Differences among factor levels were subsequently investigated using Tukey’s HSD test at α = 0.05.</w:t>
      </w:r>
    </w:p>
    <w:p>
      <w:pPr>
        <w:pStyle w:val="TextBody"/>
      </w:pPr>
      <w:r>
        <w:t xml:space="preserve">Differences in assemblage composition across the spatial hierarchy and seasons were explored using the Unweighted Pair Group Method with Averages (UPGMA)</w:t>
      </w:r>
      <w:r>
        <w:t xml:space="preserve"> </w:t>
      </w:r>
      <w:r>
        <w:t xml:space="preserve">(Belbin &amp; McDonald, 1993; Diniz-Reis et al., 2022)</w:t>
      </w:r>
      <w:r>
        <w:t xml:space="preserve">, based on Bray-Curtis dissimilarities calculated from the zooplankton density matrix</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To focus on spatial variation across sampling sites, habitat density data were pooled for this analysis. To assess how well the UPGMA dendrograms represented the original Bray-Curtis dissimilarities among sampling sites, the Cophenetic Correlation Coefficient (CC) was calculated</w:t>
      </w:r>
      <w:r>
        <w:t xml:space="preserve"> </w:t>
      </w:r>
      <w:r>
        <w:t xml:space="preserve">(Saraçli et al., 2013; Sneath &amp; Sokal, 1973; Sokal &amp; Rohlf, 1962)</w:t>
      </w:r>
      <w:r>
        <w:t xml:space="preserve">, where a cophenetic matrix was constructed from each seasonal dendrogram using the</w:t>
      </w:r>
      <w:r>
        <w:t xml:space="preserve"> </w:t>
      </w:r>
      <w:r>
        <w:rPr>
          <w:i/>
          <w:iCs/>
        </w:rPr>
        <w:t xml:space="preserve">cophenetic</w:t>
      </w:r>
      <w:r>
        <w:t xml:space="preserve"> </w:t>
      </w:r>
      <w:r>
        <w:t xml:space="preserve">function in the</w:t>
      </w:r>
      <w:r>
        <w:t xml:space="preserve"> </w:t>
      </w:r>
      <w:r>
        <w:rPr>
          <w:rStyle w:val="VerbatimChar"/>
        </w:rPr>
        <w:t xml:space="preserve">vegan</w:t>
      </w:r>
      <w:r>
        <w:t xml:space="preserve"> </w:t>
      </w:r>
      <w:r>
        <w:t xml:space="preserve">package in R. The cophenetic distance matrix was then correlated with the corresponding original Bray-Curtis dissimilarity matrix using Pearson’s product-moment correlation coefficient</w:t>
      </w:r>
      <w:r>
        <w:t xml:space="preserve"> </w:t>
      </w:r>
      <w:r>
        <w:t xml:space="preserve">(Farris, 1969; A. R. Silva &amp; Dias, 2013; Sokal &amp; Rohlf, 1962)</w:t>
      </w:r>
      <w:r>
        <w:t xml:space="preserve">. To evaluate the strength of the hierarchical clustering structure obtained from the UPGMA dendrograms, the Agglomerative Coefficient (AC) was calculated for each season using the</w:t>
      </w:r>
      <w:r>
        <w:t xml:space="preserve"> </w:t>
      </w:r>
      <w:r>
        <w:rPr>
          <w:i/>
          <w:iCs/>
        </w:rPr>
        <w:t xml:space="preserve">coef.hclust</w:t>
      </w:r>
      <w:r>
        <w:t xml:space="preserve"> </w:t>
      </w:r>
      <w:r>
        <w:t xml:space="preserve">function from the</w:t>
      </w:r>
      <w:r>
        <w:t xml:space="preserve"> </w:t>
      </w:r>
      <w:r>
        <w:rPr>
          <w:rStyle w:val="VerbatimChar"/>
        </w:rPr>
        <w:t xml:space="preserve">cluster</w:t>
      </w:r>
      <w:r>
        <w:t xml:space="preserve"> </w:t>
      </w:r>
      <w:r>
        <w:t xml:space="preserve">package in R</w:t>
      </w:r>
      <w:r>
        <w:t xml:space="preserve"> </w:t>
      </w:r>
      <w:r>
        <w:t xml:space="preserve">(Kaufman &amp; Rousseeuw, 1990; Maechler et al., 2026)</w:t>
      </w:r>
      <w:r>
        <w:t xml:space="preserve">. The AC ranges from 0 to 1, where values closer to 1 indicate a strong, well-defined clustering structure and values near 0 reflect weak or indistinct grouping.</w:t>
      </w:r>
    </w:p>
    <w:p>
      <w:pPr>
        <w:pStyle w:val="TextBody"/>
      </w:pPr>
      <w:r>
        <w:t xml:space="preserve">Additive diversity partitioning was used to quantify the contribution of within- and between-unit diversity to total zooplankton diversity. In this framework, alpha diversity (</w:t>
      </w:r>
      <m:oMath>
        <m:r>
          <m:t>α</m:t>
        </m:r>
      </m:oMath>
      <w:r>
        <w:t xml:space="preserve">) represents diversity occurring within sampling units, whereas beta diversity (</w:t>
      </w:r>
      <m:oMath>
        <m:r>
          <m:t>β</m:t>
        </m:r>
      </m:oMath>
      <w:r>
        <w:t xml:space="preserve">) represents the contribution of differences among units at successive levels of the spatial hierarchy</w:t>
      </w:r>
      <w:r>
        <w:t xml:space="preserve"> </w:t>
      </w:r>
      <w:r>
        <w:t xml:space="preserve">(Crist et al., 2003; Lande, 1996)</w:t>
      </w:r>
      <w:r>
        <w:t xml:space="preserve">. The hierarchical structure included three spatial scales. The finest scales consisted of the habitat samples within each site (n = 3), and of each site (n = 6, for the Barro Branco stream, and n = 9, for the Caiana stream). The intermediate scales corresponded to the upper and lower stream sections (n = 2), whereas the broadest scale represented differences among the two streams. Accordingly, the total diversity (γ) was decomposed into within-habitat diversity (α₁) and the successive beta components associated with differences among habitats (𝛽₁), among sites withing upper and lower stream reaches (β₂), and among streams (β₃). The contribution of each component was expressed as a percentage of total diversity</w:t>
      </w:r>
      <w:r>
        <w:t xml:space="preserve"> </w:t>
      </w:r>
      <w:r>
        <w:t xml:space="preserve">(Crist et al., 2003; Farias et al., 2020)</w:t>
      </w:r>
      <w:r>
        <w:t xml:space="preserve">. To investigate seasonal variation in the hierarchical structure of diversity, additive partitioning was performed separately for each season and for each stream</w:t>
      </w:r>
      <w:r>
        <w:t xml:space="preserve"> </w:t>
      </w:r>
      <w:r>
        <w:t xml:space="preserve">(Farias et al., 2020; T. X. Melo &amp; Medeiros, 2013)</w:t>
      </w:r>
      <w:r>
        <w:t xml:space="preserve">.</w:t>
      </w:r>
    </w:p>
    <w:p>
      <w:pPr>
        <w:pStyle w:val="TextBody"/>
      </w:pPr>
      <w:r>
        <w:t xml:space="preserve">The overall diversity was taken to be the sum of the relative contributions of each scale in the hierarchical sampling design. Analysis of significance of the contribution of each hierarchical level was performed through with individual-based randomizations (type I null model)</w:t>
      </w:r>
      <w:r>
        <w:t xml:space="preserve"> </w:t>
      </w:r>
      <w:r>
        <w:t xml:space="preserve">(see Freiry et al., 2020; T. X. Melo &amp; Medeiros, 2013)</w:t>
      </w:r>
      <w:r>
        <w:t xml:space="preserve">. The randomization process was repeated 999 times to obtain null distributions of the α and β diversity at each hierarchical level, and used to test whether the observed values were higher or lower than expected by chance</w:t>
      </w:r>
      <w:r>
        <w:t xml:space="preserve"> </w:t>
      </w:r>
      <w:r>
        <w:t xml:space="preserve">(Crist et al., 2003)</w:t>
      </w:r>
      <w:r>
        <w:t xml:space="preserve"> </w:t>
      </w:r>
      <w:r>
        <w:t xml:space="preserve">. The probabilities obtained from randomization tests were interpreted as</w:t>
      </w:r>
      <w:r>
        <w:t xml:space="preserve"> </w:t>
      </w:r>
      <w:r>
        <w:rPr>
          <w:i/>
          <w:iCs/>
        </w:rPr>
        <w:t xml:space="preserve">P</w:t>
      </w:r>
      <w:r>
        <w:t xml:space="preserve">-values, as a low</w:t>
      </w:r>
      <w:r>
        <w:t xml:space="preserve"> </w:t>
      </w:r>
      <w:r>
        <w:rPr>
          <w:i/>
          <w:iCs/>
        </w:rPr>
        <w:t xml:space="preserve">P</w:t>
      </w:r>
      <w:r>
        <w:t xml:space="preserve">-value (Prop</w:t>
      </w:r>
      <w:r>
        <w:rPr>
          <w:vertAlign w:val="subscript"/>
        </w:rPr>
        <w:t xml:space="preserve">exp</w:t>
      </w:r>
      <w:r>
        <w:t xml:space="preserve"> </w:t>
      </w:r>
      <w:r>
        <w:t xml:space="preserve">&gt; Prop</w:t>
      </w:r>
      <w:r>
        <w:rPr>
          <w:vertAlign w:val="subscript"/>
        </w:rPr>
        <w:t xml:space="preserve">obs</w:t>
      </w:r>
      <w:r>
        <w:t xml:space="preserve"> </w:t>
      </w:r>
      <w:r>
        <w:t xml:space="preserve">&lt; 0.05) indicates an observed diversity significantly different than that expected under the null model. On the other hand, a high</w:t>
      </w:r>
      <w:r>
        <w:t xml:space="preserve"> </w:t>
      </w:r>
      <w:r>
        <w:rPr>
          <w:i/>
          <w:iCs/>
        </w:rPr>
        <w:t xml:space="preserve">P</w:t>
      </w:r>
      <w:r>
        <w:t xml:space="preserve">-value (Prop</w:t>
      </w:r>
      <w:r>
        <w:rPr>
          <w:vertAlign w:val="subscript"/>
        </w:rPr>
        <w:t xml:space="preserve">exp</w:t>
      </w:r>
      <w:r>
        <w:t xml:space="preserve"> </w:t>
      </w:r>
      <w:r>
        <w:t xml:space="preserve">&gt; Prop</w:t>
      </w:r>
      <w:r>
        <w:rPr>
          <w:vertAlign w:val="subscript"/>
        </w:rPr>
        <w:t xml:space="preserve">obs</w:t>
      </w:r>
      <w:r>
        <w:t xml:space="preserve"> </w:t>
      </w:r>
      <w:r>
        <w:t xml:space="preserve">&gt; 0.95) indicates an observed diversity not different than that expected by chance</w:t>
      </w:r>
      <w:r>
        <w:t xml:space="preserve"> </w:t>
      </w:r>
      <w:r>
        <w:t xml:space="preserve">(Crist et al., 2003; Freiry et al., 2020; Gering et al., 2003;</w:t>
      </w:r>
      <w:r>
        <w:t xml:space="preserve"> </w:t>
      </w:r>
      <w:r>
        <w:rPr>
          <w:b/>
          <w:bCs/>
        </w:rPr>
        <w:t xml:space="preserve">vee?</w:t>
      </w:r>
      <w:r>
        <w:t xml:space="preserve">)</w:t>
      </w:r>
      <w:r>
        <w:t xml:space="preserve">. The results of the analysis were subject to a Monte Carlo permutation test (999 permutations) for validation. The additive partitioning of the diversity was carried out with the function</w:t>
      </w:r>
      <w:r>
        <w:t xml:space="preserve"> </w:t>
      </w:r>
      <w:r>
        <w:rPr>
          <w:i/>
          <w:iCs/>
        </w:rPr>
        <w:t xml:space="preserve">adipart</w:t>
      </w:r>
      <w:r>
        <w:t xml:space="preserve"> </w:t>
      </w:r>
      <w:r>
        <w:t xml:space="preserve">from package</w:t>
      </w:r>
      <w:r>
        <w:t xml:space="preserve"> </w:t>
      </w:r>
      <w:r>
        <w:rPr>
          <w:rStyle w:val="VerbatimChar"/>
        </w:rPr>
        <w:t xml:space="preserve">vegan</w:t>
      </w:r>
      <w:r>
        <w:t xml:space="preserve"> </w:t>
      </w:r>
      <w:r>
        <w:t xml:space="preserve">(Oksanen et al., n.d.)</w:t>
      </w:r>
      <w:r>
        <w:t xml:space="preserve">. All analyses were conducted in the statistical environment R</w:t>
      </w:r>
      <w:r>
        <w:t xml:space="preserve"> </w:t>
      </w:r>
      <w:r>
        <w:t xml:space="preserve">(R Core Team, 2017)</w:t>
      </w:r>
      <w:r>
        <w:t xml:space="preserve">.</w:t>
      </w:r>
    </w:p>
    <w:bookmarkEnd w:id="17"/>
    <w:bookmarkEnd w:id="18"/>
    <w:bookmarkStart w:id="22" w:name="results"/>
    <w:p>
      <w:pPr>
        <w:pStyle w:val="Heading1"/>
      </w:pPr>
      <w:r>
        <w:t xml:space="preserve">3. Results</w:t>
      </w:r>
    </w:p>
    <w:bookmarkStart w:id="19" w:name="X412dffe26fbcba18072f2196a47dcb94ee5ca39"/>
    <w:p>
      <w:pPr>
        <w:pStyle w:val="Heading2"/>
      </w:pPr>
      <w:r>
        <w:t xml:space="preserve">3.1 Environmental variables and nutrient concentration</w:t>
      </w:r>
    </w:p>
    <w:p>
      <w:pPr>
        <w:pStyle w:val="FirstParagraph"/>
      </w:pPr>
      <w:r>
        <w:t xml:space="preserve">Water velocity ranged from 0.022 to 0.293 m/s, with the highest values recorded at site 5. Width varied from 1.2 to 7.2 m, while depth ranged from 13.7 to 44.2 cm. Waters were, on average, well oxygenated (from 5.4 to 8.1 mg/L), and cool, with average temperatures from 25.2 to 27.8 °C. Conductivity was high, between 129.0 and 163.3 μS/cm, and pH, neutral to slightly acidic (from 5.5 to 7.0). Turbidity was generally low, although higher values were observed at sites 5 and 6, reaching 17.5 and 29.6 NTU, respectively. Elevation ranged from 41.5 to 112.8 m a.s.l., while the slope reached 50° for some sites. Mud and sand were the main substrate components across all sampled sites, with average cover ranging from 30 to 100% and from 0 to 70%, respectively. Habitat structure varied along the stream course. The reference site (site 1) was characterized by high contributions of overhanging vegetation (90%) and exclusively muddy substrates. Site 2 exhibited similar characteristics, whereas site 3 showed a more reduced habitat complexity. Sites 4–6 displayed greater variation in habitat composition. Overall, the habitat structures contributing most were overhanging vegetation, debris, and root masses, although these contributions varied among sites. Aquatic macrophytes and littoral grass were particularly abundant at site 4, contributing on average 35.8% and 39.2%, respectively, whereas root masses represented the dominant habitat structure at site 5 (76.7%). Sand cover increased downstream, reaching 70% at site 6, where overhanging vegetation was markedly reduced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their differences (</w:t>
      </w:r>
      <w:hyperlink w:anchor="fig-hab_PCA_ref-site">
        <w:r>
          <w:rPr>
            <w:rStyle w:val="Hyperlink"/>
          </w:rPr>
          <w:t xml:space="preserve">Figure 2</w:t>
        </w:r>
      </w:hyperlink>
      <w:r>
        <w:t xml:space="preserve"> </w:t>
      </w:r>
      <w:r>
        <w:t xml:space="preserve">and</w:t>
      </w:r>
      <w:r>
        <w:t xml:space="preserve"> </w:t>
      </w:r>
      <w:hyperlink w:anchor="fig-hab_PCA_rio">
        <w:r>
          <w:rPr>
            <w:rStyle w:val="Hyperlink"/>
          </w:rPr>
          <w:t xml:space="preserve">Figure 3</w:t>
        </w:r>
      </w:hyperlink>
      <w:r>
        <w:t xml:space="preserve">). The first two principal components explained 37% of the total variance, with the first axis accounting for 21.1%. PCA confirmed the expected quality of sites, separating site types (</w:t>
      </w:r>
      <w:hyperlink w:anchor="fig-hab_PCA_ref-site">
        <w:r>
          <w:rPr>
            <w:rStyle w:val="Hyperlink"/>
          </w:rPr>
          <w:t xml:space="preserve">Figure 2</w:t>
        </w:r>
      </w:hyperlink>
      <w:r>
        <w:t xml:space="preserve">), where site types I and II where associated with higher elevation, the presence of algae and leaf litter, and where dominated by muddy substrate. Sites type III, tended to have higher water velocity and the presence of gravel and sand as substrate. The presence of root masses and greater inclination on the margins were also important features of these sites. Sites type IV showed a wide range of environmental characteristics, certainly due to their greater number. Nonetheless, these sites may be associated with greater depths, the presence of rocks in the substrate, and higher pH and turbidity. Comparison of the two study streams showed that, the Barro Branco stream tended to have a greater presence of algae, macrophytes, leaf litter and submerged vegetation as major habitat structures, a muddy substrate and an overall higher elevation. The Caiana stream was characterized by sandy substrate, with occasionally gravel and rocks, higher depths, and higher pH, turbidity, and water velocity. Dry and rainy seasons did not show clear segregation in the PCA.</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 L⁻¹. The Caiana stream tended to have greater values, overall no clear trend can be observed when comparing both streams. Nitrite and nitrate, on the other hand, show greater concentrations at the Caiana stream, the latter varying from 166.4 to 2003.0 µg L⁻¹, compared with the maximum of 18.8 µg L⁻¹ at the Barro Branco stream. Nitrite was too low to be detectable at the Barro Branco stream. The same pattern was observed for orthophosphate concentrations, being barely detectable at Barro Branco stream, and varying from 4.0 to 13.0 µg L⁻¹ at the Caiana stream. Total phosphorus, however, tended to have higher concentrations at Barro Branco stream, reaching 50.1 µg L⁻¹ at Site 3, but with highly variable values (from non detectable to 38.7 µg L⁻¹, as the second highest value).</w:t>
      </w:r>
    </w:p>
    <w:bookmarkEnd w:id="19"/>
    <w:bookmarkStart w:id="20" w:name="community-structure"/>
    <w:p>
      <w:pPr>
        <w:pStyle w:val="Heading2"/>
      </w:pPr>
      <w:r>
        <w:t xml:space="preserve">3.2 Community structure</w:t>
      </w:r>
    </w:p>
    <w:p>
      <w:pPr>
        <w:pStyle w:val="FirstParagraph"/>
      </w:pPr>
      <w:r>
        <w:t xml:space="preserve">The UPGMA cluster analyses revealed low-to-moderate spatial clustering strength for the zooplankton communities across both periods, as indicated by the Agglomerative Coefficients (</w:t>
      </w:r>
      <m:oMath>
        <m:r>
          <m:t>A</m:t>
        </m:r>
        <m:sSub>
          <m:e>
            <m:r>
              <m:t>C</m:t>
            </m:r>
          </m:e>
          <m:sub>
            <m:r>
              <m:t>d</m:t>
            </m:r>
            <m:r>
              <m:t>r</m:t>
            </m:r>
            <m:r>
              <m:t>y</m:t>
            </m:r>
          </m:sub>
        </m:sSub>
        <m:r>
          <m:rPr>
            <m:sty m:val="p"/>
          </m:rPr>
          <m:t>=</m:t>
        </m:r>
        <m:r>
          <m:t>0.34</m:t>
        </m:r>
      </m:oMath>
      <w:r>
        <w:t xml:space="preserve"> </w:t>
      </w:r>
      <w:r>
        <w:t xml:space="preserve">and</w:t>
      </w:r>
      <w:r>
        <w:t xml:space="preserve"> </w:t>
      </w:r>
      <m:oMath>
        <m:r>
          <m:t>A</m:t>
        </m:r>
        <m:sSub>
          <m:e>
            <m:r>
              <m:t>C</m:t>
            </m:r>
          </m:e>
          <m:sub>
            <m:r>
              <m:t>w</m:t>
            </m:r>
            <m:r>
              <m:t>e</m:t>
            </m:r>
            <m:r>
              <m:t>t</m:t>
            </m:r>
          </m:sub>
        </m:sSub>
        <m:r>
          <m:rPr>
            <m:sty m:val="p"/>
          </m:rPr>
          <m:t>=</m:t>
        </m:r>
        <m:r>
          <m:t>0.39</m:t>
        </m:r>
      </m:oMath>
      <w:r>
        <w:t xml:space="preserve">). While community composition exhibited continuous variation across sites, spatial structuring was slightly more pronounced during the wet season than during the dry season.</w:t>
      </w:r>
    </w:p>
    <w:bookmarkEnd w:id="20"/>
    <w:bookmarkStart w:id="21" w:name="diversity-partitioning"/>
    <w:p>
      <w:pPr>
        <w:pStyle w:val="Heading2"/>
      </w:pPr>
      <w:r>
        <w:t xml:space="preserve">3.3 Diversity Partitioning</w:t>
      </w:r>
    </w:p>
    <w:bookmarkEnd w:id="21"/>
    <w:bookmarkEnd w:id="22"/>
    <w:bookmarkStart w:id="23" w:name="discussion"/>
    <w:p>
      <w:pPr>
        <w:pStyle w:val="Heading1"/>
      </w:pPr>
      <w:r>
        <w:t xml:space="preserve">4. Discussion</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6"/>
    <w:bookmarkStart w:id="27"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36" w:name="references"/>
    <w:p>
      <w:pPr>
        <w:pStyle w:val="Heading1"/>
      </w:pPr>
      <w:r>
        <w:t xml:space="preserve">References</w:t>
      </w:r>
    </w:p>
    <w:bookmarkStart w:id="135" w:name="refs"/>
    <w:bookmarkStart w:id="30" w:name="ref-anderson2013"/>
    <w:p>
      <w:pPr>
        <w:pStyle w:val="Bibliography"/>
      </w:pPr>
      <w:r>
        <w:t xml:space="preserve">Anderson, M. J., &amp; Walsh, D. C. I. (2013). PERMANOVA, ANOSIM, and the mantel test in the face of heterogeneous dispersions: What null hypothesis are you testing?</w:t>
      </w:r>
      <w:r>
        <w:t xml:space="preserve"> </w:t>
      </w:r>
      <w:r>
        <w:rPr>
          <w:i/>
          <w:iCs/>
        </w:rPr>
        <w:t xml:space="preserve">Ecological Monographs</w:t>
      </w:r>
      <w:r>
        <w:t xml:space="preserve">,</w:t>
      </w:r>
      <w:r>
        <w:t xml:space="preserve"> </w:t>
      </w:r>
      <w:r>
        <w:rPr>
          <w:i/>
          <w:iCs/>
        </w:rPr>
        <w:t xml:space="preserve">83</w:t>
      </w:r>
      <w:r>
        <w:t xml:space="preserve">(4), 557574.</w:t>
      </w:r>
      <w:r>
        <w:t xml:space="preserve"> </w:t>
      </w:r>
      <w:hyperlink r:id="rId29">
        <w:r>
          <w:rPr>
            <w:rStyle w:val="Hyperlink"/>
          </w:rPr>
          <w:t xml:space="preserve">https://doi.org/10.1890/12-2010.1</w:t>
        </w:r>
      </w:hyperlink>
    </w:p>
    <w:bookmarkEnd w:id="30"/>
    <w:bookmarkStart w:id="32"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31">
        <w:r>
          <w:rPr>
            <w:rStyle w:val="Hyperlink"/>
          </w:rPr>
          <w:t xml:space="preserve">https://www.standardmethods.org/</w:t>
        </w:r>
      </w:hyperlink>
    </w:p>
    <w:bookmarkEnd w:id="32"/>
    <w:bookmarkStart w:id="34"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 280–304.</w:t>
      </w:r>
      <w:r>
        <w:t xml:space="preserve"> </w:t>
      </w:r>
      <w:hyperlink r:id="rId33">
        <w:r>
          <w:rPr>
            <w:rStyle w:val="Hyperlink"/>
          </w:rPr>
          <w:t xml:space="preserve">https://doi.org/10.5902/2316305410852</w:t>
        </w:r>
      </w:hyperlink>
    </w:p>
    <w:bookmarkEnd w:id="34"/>
    <w:bookmarkStart w:id="36"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35">
        <w:r>
          <w:rPr>
            <w:rStyle w:val="Hyperlink"/>
          </w:rPr>
          <w:t xml:space="preserve">https://doi.org/10.1007/s13157-011-0178-3</w:t>
        </w:r>
      </w:hyperlink>
    </w:p>
    <w:bookmarkEnd w:id="36"/>
    <w:bookmarkStart w:id="38"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37">
        <w:r>
          <w:rPr>
            <w:rStyle w:val="Hyperlink"/>
          </w:rPr>
          <w:t xml:space="preserve">https://doi.org/10.1111/j.1466-8238.2009.00490.x</w:t>
        </w:r>
      </w:hyperlink>
    </w:p>
    <w:bookmarkEnd w:id="38"/>
    <w:bookmarkStart w:id="40"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39">
        <w:r>
          <w:rPr>
            <w:rStyle w:val="Hyperlink"/>
          </w:rPr>
          <w:t xml:space="preserve">https://doi.org/10.1111/j.1466-8238.2011.00756.x</w:t>
        </w:r>
      </w:hyperlink>
    </w:p>
    <w:bookmarkEnd w:id="40"/>
    <w:bookmarkStart w:id="42" w:name="ref-belbin1993"/>
    <w:p>
      <w:pPr>
        <w:pStyle w:val="Bibliography"/>
      </w:pPr>
      <w:r>
        <w:t xml:space="preserve">Belbin, L., &amp; McDonald, C. (1993). Comparing three classification strategies for use in ecology.</w:t>
      </w:r>
      <w:r>
        <w:t xml:space="preserve"> </w:t>
      </w:r>
      <w:r>
        <w:rPr>
          <w:i/>
          <w:iCs/>
        </w:rPr>
        <w:t xml:space="preserve">Journal of Vegetation Science</w:t>
      </w:r>
      <w:r>
        <w:t xml:space="preserve">,</w:t>
      </w:r>
      <w:r>
        <w:t xml:space="preserve"> </w:t>
      </w:r>
      <w:r>
        <w:rPr>
          <w:i/>
          <w:iCs/>
        </w:rPr>
        <w:t xml:space="preserve">4</w:t>
      </w:r>
      <w:r>
        <w:t xml:space="preserve">(3), 341–348.</w:t>
      </w:r>
      <w:r>
        <w:t xml:space="preserve"> </w:t>
      </w:r>
      <w:hyperlink r:id="rId41">
        <w:r>
          <w:rPr>
            <w:rStyle w:val="Hyperlink"/>
          </w:rPr>
          <w:t xml:space="preserve">https://doi.org/10.2307/3235592</w:t>
        </w:r>
      </w:hyperlink>
    </w:p>
    <w:bookmarkEnd w:id="42"/>
    <w:bookmarkStart w:id="44"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w:t>
      </w:r>
      <w:r>
        <w:t xml:space="preserve">(p. 50).</w:t>
      </w:r>
      <w:r>
        <w:t xml:space="preserve"> </w:t>
      </w:r>
      <w:hyperlink r:id="rId43">
        <w:r>
          <w:rPr>
            <w:rStyle w:val="Hyperlink"/>
          </w:rPr>
          <w:t xml:space="preserve">https://publications.gc.ca/site/eng/9.836661/publication.html</w:t>
        </w:r>
      </w:hyperlink>
    </w:p>
    <w:bookmarkEnd w:id="44"/>
    <w:bookmarkStart w:id="46"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5">
        <w:r>
          <w:rPr>
            <w:rStyle w:val="Hyperlink"/>
          </w:rPr>
          <w:t xml:space="preserve">https://www.planalto.gov.br/ccivil_03/leis/l9985.htm</w:t>
        </w:r>
      </w:hyperlink>
    </w:p>
    <w:bookmarkEnd w:id="46"/>
    <w:bookmarkStart w:id="48" w:name="ref-chao2014"/>
    <w:p>
      <w:pPr>
        <w:pStyle w:val="Bibliography"/>
      </w:pPr>
      <w:r>
        <w:t xml:space="preserve">Chao, A., Gotelli, N. J., Hsieh, T. C., Sander, E. L., Ma, K. H., Colwell, R. K., &amp; Ellison, A. M. (2014). Rarefaction and extrapolation with hill numbers: A framework for sampling and estimation in species diversity studies.</w:t>
      </w:r>
      <w:r>
        <w:t xml:space="preserve"> </w:t>
      </w:r>
      <w:r>
        <w:rPr>
          <w:i/>
          <w:iCs/>
        </w:rPr>
        <w:t xml:space="preserve">Ecological Monographs</w:t>
      </w:r>
      <w:r>
        <w:t xml:space="preserve">,</w:t>
      </w:r>
      <w:r>
        <w:t xml:space="preserve"> </w:t>
      </w:r>
      <w:r>
        <w:rPr>
          <w:i/>
          <w:iCs/>
        </w:rPr>
        <w:t xml:space="preserve">84</w:t>
      </w:r>
      <w:r>
        <w:t xml:space="preserve">(1), 45–67.</w:t>
      </w:r>
      <w:r>
        <w:t xml:space="preserve"> </w:t>
      </w:r>
      <w:hyperlink r:id="rId47">
        <w:r>
          <w:rPr>
            <w:rStyle w:val="Hyperlink"/>
          </w:rPr>
          <w:t xml:space="preserve">https://doi.org/10.1890/13-0133.1</w:t>
        </w:r>
      </w:hyperlink>
    </w:p>
    <w:bookmarkEnd w:id="48"/>
    <w:bookmarkStart w:id="50"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49">
        <w:r>
          <w:rPr>
            <w:rStyle w:val="Hyperlink"/>
          </w:rPr>
          <w:t xml:space="preserve">http://memoria2.cnpq.br/web/guest/view/-/journal_content/56_INSTANCE_0oED/10157/23142775</w:t>
        </w:r>
      </w:hyperlink>
    </w:p>
    <w:bookmarkEnd w:id="50"/>
    <w:bookmarkStart w:id="52" w:name="ref-credit2026"/>
    <w:p>
      <w:pPr>
        <w:pStyle w:val="Bibliography"/>
      </w:pPr>
      <w:r>
        <w:t xml:space="preserve">CRediT. (2026).</w:t>
      </w:r>
      <w:r>
        <w:t xml:space="preserve"> </w:t>
      </w:r>
      <w:r>
        <w:rPr>
          <w:i/>
          <w:iCs/>
        </w:rPr>
        <w:t xml:space="preserve">CRediT - contributor role taxonomy</w:t>
      </w:r>
      <w:r>
        <w:t xml:space="preserve">.</w:t>
      </w:r>
      <w:r>
        <w:t xml:space="preserve"> </w:t>
      </w:r>
      <w:hyperlink r:id="rId51">
        <w:r>
          <w:rPr>
            <w:rStyle w:val="Hyperlink"/>
          </w:rPr>
          <w:t xml:space="preserve">https://credit.niso.org/</w:t>
        </w:r>
      </w:hyperlink>
    </w:p>
    <w:bookmarkEnd w:id="52"/>
    <w:bookmarkStart w:id="54"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53">
        <w:r>
          <w:rPr>
            <w:rStyle w:val="Hyperlink"/>
          </w:rPr>
          <w:t xml:space="preserve">https://doi.org/10.1086/378901</w:t>
        </w:r>
      </w:hyperlink>
    </w:p>
    <w:bookmarkEnd w:id="54"/>
    <w:bookmarkStart w:id="56" w:name="ref-diniz-reis2022"/>
    <w:p>
      <w:pPr>
        <w:pStyle w:val="Bibliography"/>
      </w:pPr>
      <w:r>
        <w:t xml:space="preserve">Diniz-Reis, T. R., Augusto, F. G., Abdalla Filho, A. L., Araújo, M. G. D. S., Chaves, S. S. F., Almeida, R. F., Perez, E. B., Simon, C. D. P., De Souza, J., Da Costa, C. F. G., Gomes, T., Martinez, M. G., Soltangheisi, A., Mariano, E., Vanin, A. S., Andrade, T., Boesing, A., Costa, F. J. V., Fortuna, M. D., … Martinelli, L. A. (2022). SIA</w:t>
      </w:r>
      <w:r>
        <w:t xml:space="preserve">-</w:t>
      </w:r>
      <w:r>
        <w:t xml:space="preserve">BRA: A database of animal stable carbon and nitrogen isotope ratios of brazil.</w:t>
      </w:r>
      <w:r>
        <w:t xml:space="preserve"> </w:t>
      </w:r>
      <w:r>
        <w:rPr>
          <w:i/>
          <w:iCs/>
        </w:rPr>
        <w:t xml:space="preserve">Global Ecology and Biogeography</w:t>
      </w:r>
      <w:r>
        <w:t xml:space="preserve">,</w:t>
      </w:r>
      <w:r>
        <w:t xml:space="preserve"> </w:t>
      </w:r>
      <w:r>
        <w:rPr>
          <w:i/>
          <w:iCs/>
        </w:rPr>
        <w:t xml:space="preserve">31</w:t>
      </w:r>
      <w:r>
        <w:t xml:space="preserve">(4), 611–620.</w:t>
      </w:r>
      <w:r>
        <w:t xml:space="preserve"> </w:t>
      </w:r>
      <w:hyperlink r:id="rId55">
        <w:r>
          <w:rPr>
            <w:rStyle w:val="Hyperlink"/>
          </w:rPr>
          <w:t xml:space="preserve">https://doi.org/10.1111/geb.13449</w:t>
        </w:r>
      </w:hyperlink>
    </w:p>
    <w:bookmarkEnd w:id="56"/>
    <w:bookmarkStart w:id="58" w:name="ref-epa2020"/>
    <w:p>
      <w:pPr>
        <w:pStyle w:val="Bibliography"/>
      </w:pPr>
      <w:r>
        <w:t xml:space="preserve">EPA. (2020).</w:t>
      </w:r>
      <w:r>
        <w:t xml:space="preserve"> </w:t>
      </w:r>
      <w:r>
        <w:rPr>
          <w:i/>
          <w:iCs/>
        </w:rPr>
        <w:t xml:space="preserve">Standard operating procedure for zooplankton sample collection and preservation</w:t>
      </w:r>
      <w:r>
        <w:t xml:space="preserve">.</w:t>
      </w:r>
      <w:r>
        <w:t xml:space="preserve"> </w:t>
      </w:r>
      <w:hyperlink r:id="rId57">
        <w:r>
          <w:rPr>
            <w:rStyle w:val="Hyperlink"/>
          </w:rPr>
          <w:t xml:space="preserve">https://www.epa.gov/system/files/documents/2021-08/lg402a.v15-zooplankton-sampling_rfa.pdf</w:t>
        </w:r>
      </w:hyperlink>
    </w:p>
    <w:bookmarkEnd w:id="58"/>
    <w:bookmarkStart w:id="60"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59">
        <w:r>
          <w:rPr>
            <w:rStyle w:val="Hyperlink"/>
          </w:rPr>
          <w:t xml:space="preserve">https://doi.org/10.1080/20442041.2020.1738841</w:t>
        </w:r>
      </w:hyperlink>
    </w:p>
    <w:bookmarkEnd w:id="60"/>
    <w:bookmarkStart w:id="62" w:name="ref-farris1969"/>
    <w:p>
      <w:pPr>
        <w:pStyle w:val="Bibliography"/>
      </w:pPr>
      <w:r>
        <w:t xml:space="preserve">Farris, J. S. (1969). On the cophenetic correlation coefficient.</w:t>
      </w:r>
      <w:r>
        <w:t xml:space="preserve"> </w:t>
      </w:r>
      <w:r>
        <w:rPr>
          <w:i/>
          <w:iCs/>
        </w:rPr>
        <w:t xml:space="preserve">Systematic Zoology</w:t>
      </w:r>
      <w:r>
        <w:t xml:space="preserve">,</w:t>
      </w:r>
      <w:r>
        <w:t xml:space="preserve"> </w:t>
      </w:r>
      <w:r>
        <w:rPr>
          <w:i/>
          <w:iCs/>
        </w:rPr>
        <w:t xml:space="preserve">18</w:t>
      </w:r>
      <w:r>
        <w:t xml:space="preserve">(3), 279.</w:t>
      </w:r>
      <w:r>
        <w:t xml:space="preserve"> </w:t>
      </w:r>
      <w:hyperlink r:id="rId61">
        <w:r>
          <w:rPr>
            <w:rStyle w:val="Hyperlink"/>
          </w:rPr>
          <w:t xml:space="preserve">https://doi.org/10.2307/2412324</w:t>
        </w:r>
      </w:hyperlink>
    </w:p>
    <w:bookmarkEnd w:id="62"/>
    <w:bookmarkStart w:id="64"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63">
        <w:r>
          <w:rPr>
            <w:rStyle w:val="Hyperlink"/>
          </w:rPr>
          <w:t xml:space="preserve">https://doi.org/10.1007/s10750-020-04187-0</w:t>
        </w:r>
      </w:hyperlink>
    </w:p>
    <w:bookmarkEnd w:id="64"/>
    <w:bookmarkStart w:id="66" w:name="ref-frissell1986"/>
    <w:p>
      <w:pPr>
        <w:pStyle w:val="Bibliography"/>
      </w:pPr>
      <w:r>
        <w:t xml:space="preserve">Frissell, C. A., Liss, W. J., Warren, C. E., &amp; Hurley, M. D. (1986). A hierarchical framework for stream habitat classification: Viewing streams in a watershed context.</w:t>
      </w:r>
      <w:r>
        <w:t xml:space="preserve"> </w:t>
      </w:r>
      <w:r>
        <w:rPr>
          <w:i/>
          <w:iCs/>
        </w:rPr>
        <w:t xml:space="preserve">Environmental Management</w:t>
      </w:r>
      <w:r>
        <w:t xml:space="preserve">,</w:t>
      </w:r>
      <w:r>
        <w:t xml:space="preserve"> </w:t>
      </w:r>
      <w:r>
        <w:rPr>
          <w:i/>
          <w:iCs/>
        </w:rPr>
        <w:t xml:space="preserve">10</w:t>
      </w:r>
      <w:r>
        <w:t xml:space="preserve">, 199–214.</w:t>
      </w:r>
      <w:r>
        <w:t xml:space="preserve"> </w:t>
      </w:r>
      <w:hyperlink r:id="rId65">
        <w:r>
          <w:rPr>
            <w:rStyle w:val="Hyperlink"/>
          </w:rPr>
          <w:t xml:space="preserve">https://doi.org/10.1007/BF01867358</w:t>
        </w:r>
      </w:hyperlink>
    </w:p>
    <w:bookmarkEnd w:id="66"/>
    <w:bookmarkStart w:id="68" w:name="ref-gering2003"/>
    <w:p>
      <w:pPr>
        <w:pStyle w:val="Bibliography"/>
      </w:pPr>
      <w:r>
        <w:t xml:space="preserve">Gering, J. C., Crist, T. O., &amp; Veech, J. A. (2003). Additive partitioning of species diversity across multiple spatial scales: Implications for regional conservation of biodiversity.</w:t>
      </w:r>
      <w:r>
        <w:t xml:space="preserve"> </w:t>
      </w:r>
      <w:r>
        <w:rPr>
          <w:i/>
          <w:iCs/>
        </w:rPr>
        <w:t xml:space="preserve">Conservation Biology</w:t>
      </w:r>
      <w:r>
        <w:t xml:space="preserve">,</w:t>
      </w:r>
      <w:r>
        <w:t xml:space="preserve"> </w:t>
      </w:r>
      <w:r>
        <w:rPr>
          <w:i/>
          <w:iCs/>
        </w:rPr>
        <w:t xml:space="preserve">17</w:t>
      </w:r>
      <w:r>
        <w:t xml:space="preserve">(2), 488–499.</w:t>
      </w:r>
      <w:r>
        <w:t xml:space="preserve"> </w:t>
      </w:r>
      <w:hyperlink r:id="rId67">
        <w:r>
          <w:rPr>
            <w:rStyle w:val="Hyperlink"/>
          </w:rPr>
          <w:t xml:space="preserve">https://doi.org/10.1046/j.1523-1739.2003.01465.x</w:t>
        </w:r>
      </w:hyperlink>
    </w:p>
    <w:bookmarkEnd w:id="68"/>
    <w:bookmarkStart w:id="70"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69">
        <w:r>
          <w:rPr>
            <w:rStyle w:val="Hyperlink"/>
          </w:rPr>
          <w:t xml:space="preserve">https://doi.org/10.15560/13.5.581</w:t>
        </w:r>
      </w:hyperlink>
    </w:p>
    <w:bookmarkEnd w:id="70"/>
    <w:bookmarkStart w:id="72" w:name="ref-haney1973"/>
    <w:p>
      <w:pPr>
        <w:pStyle w:val="Bibliography"/>
      </w:pPr>
      <w:r>
        <w:t xml:space="preserve">Haney, J. F., &amp; Hall, D. J. (1973). Sugar</w:t>
      </w:r>
      <w:r>
        <w:t xml:space="preserve">-</w:t>
      </w:r>
      <w:r>
        <w:t xml:space="preserve">coated</w:t>
      </w:r>
      <w:r>
        <w:t xml:space="preserve"> </w:t>
      </w:r>
      <w:r>
        <w:rPr>
          <w:i/>
          <w:iCs/>
        </w:rPr>
        <w:t xml:space="preserve">Daphnia</w:t>
      </w:r>
      <w:r>
        <w:t xml:space="preserve"> </w:t>
      </w:r>
      <w:r>
        <w:t xml:space="preserve">: A preservation technique for Cladocera1.</w:t>
      </w:r>
      <w:r>
        <w:t xml:space="preserve"> </w:t>
      </w:r>
      <w:r>
        <w:rPr>
          <w:i/>
          <w:iCs/>
        </w:rPr>
        <w:t xml:space="preserve">Limnology and Oceanography</w:t>
      </w:r>
      <w:r>
        <w:t xml:space="preserve">,</w:t>
      </w:r>
      <w:r>
        <w:t xml:space="preserve"> </w:t>
      </w:r>
      <w:r>
        <w:rPr>
          <w:i/>
          <w:iCs/>
        </w:rPr>
        <w:t xml:space="preserve">18</w:t>
      </w:r>
      <w:r>
        <w:t xml:space="preserve">(2), 331–333.</w:t>
      </w:r>
      <w:r>
        <w:t xml:space="preserve"> </w:t>
      </w:r>
      <w:hyperlink r:id="rId71">
        <w:r>
          <w:rPr>
            <w:rStyle w:val="Hyperlink"/>
          </w:rPr>
          <w:t xml:space="preserve">https://doi.org/10.4319/lo.1973.18.2.0331</w:t>
        </w:r>
      </w:hyperlink>
    </w:p>
    <w:bookmarkEnd w:id="72"/>
    <w:bookmarkStart w:id="74"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73">
        <w:r>
          <w:rPr>
            <w:rStyle w:val="Hyperlink"/>
          </w:rPr>
          <w:t xml:space="preserve">https://doi.org/10.1007/978-3-319-58374-7_11</w:t>
        </w:r>
      </w:hyperlink>
    </w:p>
    <w:bookmarkEnd w:id="74"/>
    <w:bookmarkStart w:id="76" w:name="ref-kaufman1990"/>
    <w:p>
      <w:pPr>
        <w:pStyle w:val="Bibliography"/>
      </w:pPr>
      <w:r>
        <w:t xml:space="preserve">Kaufman, L., &amp; Rousseeuw, P. J. (1990).</w:t>
      </w:r>
      <w:r>
        <w:t xml:space="preserve"> </w:t>
      </w:r>
      <w:r>
        <w:rPr>
          <w:i/>
          <w:iCs/>
        </w:rPr>
        <w:t xml:space="preserve">Agglomerative nesting (program AGNES)</w:t>
      </w:r>
      <w:r>
        <w:t xml:space="preserve"> </w:t>
      </w:r>
      <w:r>
        <w:t xml:space="preserve">(1st ed., pp. 199–252). Wiley.</w:t>
      </w:r>
      <w:r>
        <w:t xml:space="preserve"> </w:t>
      </w:r>
      <w:hyperlink r:id="rId75">
        <w:r>
          <w:rPr>
            <w:rStyle w:val="Hyperlink"/>
          </w:rPr>
          <w:t xml:space="preserve">https://doi.org/10.1002/9780470316801.ch5</w:t>
        </w:r>
      </w:hyperlink>
    </w:p>
    <w:bookmarkEnd w:id="76"/>
    <w:bookmarkStart w:id="78"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77">
        <w:r>
          <w:rPr>
            <w:rStyle w:val="Hyperlink"/>
          </w:rPr>
          <w:t xml:space="preserve">https://doi.org/10.2307/3545743</w:t>
        </w:r>
      </w:hyperlink>
    </w:p>
    <w:bookmarkEnd w:id="78"/>
    <w:bookmarkStart w:id="79"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79"/>
    <w:bookmarkStart w:id="80" w:name="ref-legendre1998"/>
    <w:p>
      <w:pPr>
        <w:pStyle w:val="Bibliography"/>
      </w:pPr>
      <w:r>
        <w:t xml:space="preserve">Legendre, P., &amp; Legendre, L. (1998).</w:t>
      </w:r>
      <w:r>
        <w:t xml:space="preserve"> </w:t>
      </w:r>
      <w:r>
        <w:rPr>
          <w:i/>
          <w:iCs/>
        </w:rPr>
        <w:t xml:space="preserve">Numerical ecology</w:t>
      </w:r>
      <w:r>
        <w:t xml:space="preserve"> </w:t>
      </w:r>
      <w:r>
        <w:t xml:space="preserve">(2nd English ed).</w:t>
      </w:r>
    </w:p>
    <w:bookmarkEnd w:id="80"/>
    <w:bookmarkStart w:id="82"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81">
        <w:r>
          <w:rPr>
            <w:rStyle w:val="Hyperlink"/>
          </w:rPr>
          <w:t xml:space="preserve">https://doi.org/10.1111/j.1365-2427.2009.02291.x</w:t>
        </w:r>
      </w:hyperlink>
    </w:p>
    <w:bookmarkEnd w:id="82"/>
    <w:bookmarkStart w:id="84" w:name="ref-lucena2015"/>
    <w:p>
      <w:pPr>
        <w:pStyle w:val="Bibliography"/>
      </w:pPr>
      <w:r>
        <w:t xml:space="preserve">Lucena, L. C. A., Melo, T. X., &amp; Medeiros, E. S. F. (2015). Zooplankton community of parnaíba river, northeastern brazil.</w:t>
      </w:r>
      <w:r>
        <w:t xml:space="preserve"> </w:t>
      </w:r>
      <w:r>
        <w:rPr>
          <w:i/>
          <w:iCs/>
        </w:rPr>
        <w:t xml:space="preserve">Acta Limnologica Brasiliensia</w:t>
      </w:r>
      <w:r>
        <w:t xml:space="preserve">,</w:t>
      </w:r>
      <w:r>
        <w:t xml:space="preserve"> </w:t>
      </w:r>
      <w:r>
        <w:rPr>
          <w:i/>
          <w:iCs/>
        </w:rPr>
        <w:t xml:space="preserve">27</w:t>
      </w:r>
      <w:r>
        <w:t xml:space="preserve">(1), 118–129.</w:t>
      </w:r>
      <w:r>
        <w:t xml:space="preserve"> </w:t>
      </w:r>
      <w:hyperlink r:id="rId83">
        <w:r>
          <w:rPr>
            <w:rStyle w:val="Hyperlink"/>
          </w:rPr>
          <w:t xml:space="preserve">https://doi.org/10.1590/S2179-975X3214</w:t>
        </w:r>
      </w:hyperlink>
    </w:p>
    <w:bookmarkEnd w:id="84"/>
    <w:bookmarkStart w:id="85"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85"/>
    <w:bookmarkStart w:id="87" w:name="ref-maechler2026"/>
    <w:p>
      <w:pPr>
        <w:pStyle w:val="Bibliography"/>
      </w:pPr>
      <w:r>
        <w:t xml:space="preserve">Maechler, M., Rousseeuw, P., Struyf, A., Hubert, M., &amp; Hornik, K. (2026).</w:t>
      </w:r>
      <w:r>
        <w:t xml:space="preserve"> </w:t>
      </w:r>
      <w:r>
        <w:rPr>
          <w:i/>
          <w:iCs/>
        </w:rPr>
        <w:t xml:space="preserve">Cluster: Cluster analysis basics and extensions</w:t>
      </w:r>
      <w:r>
        <w:t xml:space="preserve">.</w:t>
      </w:r>
      <w:r>
        <w:t xml:space="preserve"> </w:t>
      </w:r>
      <w:hyperlink r:id="rId86">
        <w:r>
          <w:rPr>
            <w:rStyle w:val="Hyperlink"/>
          </w:rPr>
          <w:t xml:space="preserve">https://CRAN.R-project.org/package=cluster</w:t>
        </w:r>
      </w:hyperlink>
    </w:p>
    <w:bookmarkEnd w:id="87"/>
    <w:bookmarkStart w:id="88" w:name="ref-magurran2013"/>
    <w:p>
      <w:pPr>
        <w:pStyle w:val="Bibliography"/>
      </w:pPr>
      <w:r>
        <w:t xml:space="preserve">Magurran, A. E. (2013).</w:t>
      </w:r>
      <w:r>
        <w:t xml:space="preserve"> </w:t>
      </w:r>
      <w:r>
        <w:rPr>
          <w:i/>
          <w:iCs/>
        </w:rPr>
        <w:t xml:space="preserve">Measuring biological diversity</w:t>
      </w:r>
      <w:r>
        <w:t xml:space="preserve">. Wiley-Blackwell.</w:t>
      </w:r>
    </w:p>
    <w:bookmarkEnd w:id="88"/>
    <w:bookmarkStart w:id="90"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89">
        <w:r>
          <w:rPr>
            <w:rStyle w:val="Hyperlink"/>
          </w:rPr>
          <w:t xml:space="preserve">https://doi.org/10.1007/978-94-011-7852-5</w:t>
        </w:r>
      </w:hyperlink>
    </w:p>
    <w:bookmarkEnd w:id="90"/>
    <w:bookmarkStart w:id="91"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91"/>
    <w:bookmarkStart w:id="93"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92">
        <w:r>
          <w:rPr>
            <w:rStyle w:val="Hyperlink"/>
          </w:rPr>
          <w:t xml:space="preserve">https://doi.org/10.4013/5440</w:t>
        </w:r>
      </w:hyperlink>
    </w:p>
    <w:bookmarkEnd w:id="93"/>
    <w:bookmarkStart w:id="95" w:name="ref-medeiros2024"/>
    <w:p>
      <w:pPr>
        <w:pStyle w:val="Bibliography"/>
      </w:pPr>
      <w:r>
        <w:t xml:space="preserve">Medeiros, E. S. F., Silva, M. J., Ramos, T. P. A., &amp; Ramos, R. T. C. (2024). Environmental variables as predictors of fish community composition in semiarid aquatic systems.</w:t>
      </w:r>
      <w:r>
        <w:t xml:space="preserve"> </w:t>
      </w:r>
      <w:r>
        <w:rPr>
          <w:i/>
          <w:iCs/>
        </w:rPr>
        <w:t xml:space="preserve">Acta Limnologica Brasiliensia</w:t>
      </w:r>
      <w:r>
        <w:t xml:space="preserve">,</w:t>
      </w:r>
      <w:r>
        <w:t xml:space="preserve"> </w:t>
      </w:r>
      <w:r>
        <w:rPr>
          <w:i/>
          <w:iCs/>
        </w:rPr>
        <w:t xml:space="preserve">36</w:t>
      </w:r>
      <w:r>
        <w:t xml:space="preserve">, e4.</w:t>
      </w:r>
      <w:r>
        <w:t xml:space="preserve"> </w:t>
      </w:r>
      <w:hyperlink r:id="rId94">
        <w:r>
          <w:rPr>
            <w:rStyle w:val="Hyperlink"/>
          </w:rPr>
          <w:t xml:space="preserve">https://doi.org/10.1590/s2179-975x3023</w:t>
        </w:r>
      </w:hyperlink>
    </w:p>
    <w:bookmarkEnd w:id="95"/>
    <w:bookmarkStart w:id="97" w:name="ref-mehla2026"/>
    <w:p>
      <w:pPr>
        <w:pStyle w:val="Bibliography"/>
      </w:pPr>
      <w:r>
        <w:t xml:space="preserve">Mehla, M. K., Jeong, J., Cho, G., Wolfe, J. E., &amp; Kan, E. (2026). How agricultural field management modulates downstream transport of antibiotics, bacteria and nutrients in runoff water using edge-of-field monitoring.</w:t>
      </w:r>
      <w:r>
        <w:t xml:space="preserve"> </w:t>
      </w:r>
      <w:r>
        <w:rPr>
          <w:i/>
          <w:iCs/>
        </w:rPr>
        <w:t xml:space="preserve">Water Research</w:t>
      </w:r>
      <w:r>
        <w:t xml:space="preserve">,</w:t>
      </w:r>
      <w:r>
        <w:t xml:space="preserve"> </w:t>
      </w:r>
      <w:r>
        <w:rPr>
          <w:i/>
          <w:iCs/>
        </w:rPr>
        <w:t xml:space="preserve">307</w:t>
      </w:r>
      <w:r>
        <w:t xml:space="preserve">, 126704.</w:t>
      </w:r>
      <w:r>
        <w:t xml:space="preserve"> </w:t>
      </w:r>
      <w:hyperlink r:id="rId96">
        <w:r>
          <w:rPr>
            <w:rStyle w:val="Hyperlink"/>
          </w:rPr>
          <w:t xml:space="preserve">https://doi.org/10.1016/j.watres.2026.126704</w:t>
        </w:r>
      </w:hyperlink>
    </w:p>
    <w:bookmarkEnd w:id="97"/>
    <w:bookmarkStart w:id="99" w:name="ref-melo2014"/>
    <w:p>
      <w:pPr>
        <w:pStyle w:val="Bibliography"/>
      </w:pPr>
      <w:r>
        <w:t xml:space="preserve">Melo, T. X. D., Lourenço, L. D. J. S., &amp; Medeiros, E. S. F. (2014). Checklist of zooplankton from the upper ipanema river (pernambuco), an intermittent river in semi-arid brazil.</w:t>
      </w:r>
      <w:r>
        <w:t xml:space="preserve"> </w:t>
      </w:r>
      <w:r>
        <w:rPr>
          <w:i/>
          <w:iCs/>
        </w:rPr>
        <w:t xml:space="preserve">Check List</w:t>
      </w:r>
      <w:r>
        <w:t xml:space="preserve">,</w:t>
      </w:r>
      <w:r>
        <w:t xml:space="preserve"> </w:t>
      </w:r>
      <w:r>
        <w:rPr>
          <w:i/>
          <w:iCs/>
        </w:rPr>
        <w:t xml:space="preserve">10</w:t>
      </w:r>
      <w:r>
        <w:t xml:space="preserve">(3), 524–528.</w:t>
      </w:r>
      <w:r>
        <w:t xml:space="preserve"> </w:t>
      </w:r>
      <w:hyperlink r:id="rId98">
        <w:r>
          <w:rPr>
            <w:rStyle w:val="Hyperlink"/>
          </w:rPr>
          <w:t xml:space="preserve">https://doi.org/10.15560/10.3.524</w:t>
        </w:r>
      </w:hyperlink>
    </w:p>
    <w:bookmarkEnd w:id="99"/>
    <w:bookmarkStart w:id="101"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00">
        <w:r>
          <w:rPr>
            <w:rStyle w:val="Hyperlink"/>
          </w:rPr>
          <w:t xml:space="preserve">https://doi.org/10.1155/2013/946361</w:t>
        </w:r>
      </w:hyperlink>
    </w:p>
    <w:bookmarkEnd w:id="101"/>
    <w:bookmarkStart w:id="102" w:name="ref-mma2003"/>
    <w:p>
      <w:pPr>
        <w:pStyle w:val="Bibliography"/>
      </w:pPr>
      <w:r>
        <w:t xml:space="preserve">MMA. (2003).</w:t>
      </w:r>
      <w:r>
        <w:t xml:space="preserve"> </w:t>
      </w:r>
      <w:r>
        <w:rPr>
          <w:i/>
          <w:iCs/>
        </w:rPr>
        <w:t xml:space="preserve">Plano de Manejo da Reserva Biológica Guaribas</w:t>
      </w:r>
      <w:r>
        <w:t xml:space="preserve">.</w:t>
      </w:r>
    </w:p>
    <w:bookmarkEnd w:id="102"/>
    <w:bookmarkStart w:id="104" w:name="ref-mma2026"/>
    <w:p>
      <w:pPr>
        <w:pStyle w:val="Bibliography"/>
      </w:pPr>
      <w:r>
        <w:t xml:space="preserve">MMA. (2026).</w:t>
      </w:r>
      <w:r>
        <w:t xml:space="preserve"> </w:t>
      </w:r>
      <w:r>
        <w:rPr>
          <w:i/>
          <w:iCs/>
        </w:rPr>
        <w:t xml:space="preserve">Plano de manejo integrado do fogo 2026-2030. Reserva biológica guaribas</w:t>
      </w:r>
      <w:r>
        <w:t xml:space="preserve"> </w:t>
      </w:r>
      <w:r>
        <w:t xml:space="preserve">(p. 56).</w:t>
      </w:r>
      <w:r>
        <w:t xml:space="preserve"> </w:t>
      </w:r>
      <w:hyperlink r:id="rId103">
        <w:r>
          <w:rPr>
            <w:rStyle w:val="Hyperlink"/>
          </w:rPr>
          <w:t xml:space="preserve">https://www.gov.br/icmbio/pt-br/centrais-de-conteudo/publicacoes/planos-de-manejo-integrado-do-fogo/Plano_de_Manejo_Integrado_do_Fogo_da_Reserva_Biologica_Guaribas.pdf</w:t>
        </w:r>
      </w:hyperlink>
    </w:p>
    <w:bookmarkEnd w:id="104"/>
    <w:bookmarkStart w:id="106"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105">
        <w:r>
          <w:rPr>
            <w:rStyle w:val="Hyperlink"/>
          </w:rPr>
          <w:t xml:space="preserve">https://doi.org/10.1007/s10750-006-0252-7</w:t>
        </w:r>
      </w:hyperlink>
    </w:p>
    <w:bookmarkEnd w:id="106"/>
    <w:bookmarkStart w:id="108" w:name="ref-oksanen"/>
    <w:p>
      <w:pPr>
        <w:pStyle w:val="Bibliography"/>
      </w:pPr>
      <w:r>
        <w:t xml:space="preserve">Oksanen, J., Simpson, G. L., Blanchet, F. G., Kindt, R., Legendre, P., Minchin, P. R., O’Hara, R. B., Solymos, P., Stevens, M. H. H., Szoecs, E., Wagner, H., Barbour, M., Bedward, M., Bolker, B., Borcard, D., Borman, T., Carvalho, G., Chirico, M., Caceres, M., … Weedon, J. (n.d.).</w:t>
      </w:r>
      <w:r>
        <w:t xml:space="preserve"> </w:t>
      </w:r>
      <w:r>
        <w:rPr>
          <w:i/>
          <w:iCs/>
        </w:rPr>
        <w:t xml:space="preserve">Vegan: Community ecology package</w:t>
      </w:r>
      <w:r>
        <w:t xml:space="preserve">.</w:t>
      </w:r>
      <w:r>
        <w:t xml:space="preserve"> </w:t>
      </w:r>
      <w:hyperlink r:id="rId107">
        <w:r>
          <w:rPr>
            <w:rStyle w:val="Hyperlink"/>
          </w:rPr>
          <w:t xml:space="preserve">https://doi.org/10.32614/CRAN.package.vegan</w:t>
        </w:r>
      </w:hyperlink>
    </w:p>
    <w:bookmarkEnd w:id="108"/>
    <w:bookmarkStart w:id="110" w:name="ref-peel2007"/>
    <w:p>
      <w:pPr>
        <w:pStyle w:val="Bibliography"/>
      </w:pPr>
      <w:r>
        <w:t xml:space="preserve">Peel, M. C., Finlayson, B. L., &amp; McMahon, T. A. (2007). Updated world map of the köppen-geiger climate classification.</w:t>
      </w:r>
      <w:r>
        <w:t xml:space="preserve"> </w:t>
      </w:r>
      <w:r>
        <w:rPr>
          <w:i/>
          <w:iCs/>
        </w:rPr>
        <w:t xml:space="preserve">Hydrology and Earth System Sciences</w:t>
      </w:r>
      <w:r>
        <w:t xml:space="preserve">,</w:t>
      </w:r>
      <w:r>
        <w:t xml:space="preserve"> </w:t>
      </w:r>
      <w:r>
        <w:rPr>
          <w:i/>
          <w:iCs/>
        </w:rPr>
        <w:t xml:space="preserve">11</w:t>
      </w:r>
      <w:r>
        <w:t xml:space="preserve">(5), 1633–1644.</w:t>
      </w:r>
      <w:r>
        <w:t xml:space="preserve"> </w:t>
      </w:r>
      <w:hyperlink r:id="rId109">
        <w:r>
          <w:rPr>
            <w:rStyle w:val="Hyperlink"/>
          </w:rPr>
          <w:t xml:space="preserve">https://doi.org/10.5194/hess-11-1633-2007</w:t>
        </w:r>
      </w:hyperlink>
    </w:p>
    <w:bookmarkEnd w:id="110"/>
    <w:bookmarkStart w:id="112" w:name="ref-pereira2026"/>
    <w:p>
      <w:pPr>
        <w:pStyle w:val="Bibliography"/>
      </w:pPr>
      <w:r>
        <w:t xml:space="preserve">Pereira, K. M. G., Cordeiro, N. G., Suzuki, L. P. Z. L., &amp; Berg, E. van den. (2026). How important are small fragments for restoration in the central portion of the atlantic forest?</w:t>
      </w:r>
      <w:r>
        <w:t xml:space="preserve"> </w:t>
      </w:r>
      <w:r>
        <w:rPr>
          <w:i/>
          <w:iCs/>
        </w:rPr>
        <w:t xml:space="preserve">Biological Conservation</w:t>
      </w:r>
      <w:r>
        <w:t xml:space="preserve">,</w:t>
      </w:r>
      <w:r>
        <w:t xml:space="preserve"> </w:t>
      </w:r>
      <w:r>
        <w:rPr>
          <w:i/>
          <w:iCs/>
        </w:rPr>
        <w:t xml:space="preserve">321</w:t>
      </w:r>
      <w:r>
        <w:t xml:space="preserve">, Article 111958. https://doi.org/</w:t>
      </w:r>
      <w:hyperlink r:id="rId111">
        <w:r>
          <w:rPr>
            <w:rStyle w:val="Hyperlink"/>
          </w:rPr>
          <w:t xml:space="preserve">https://doi.org/10.1016/j.biocon.2026.111958</w:t>
        </w:r>
      </w:hyperlink>
    </w:p>
    <w:bookmarkEnd w:id="112"/>
    <w:bookmarkStart w:id="113"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113"/>
    <w:bookmarkStart w:id="115"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14">
        <w:r>
          <w:rPr>
            <w:rStyle w:val="Hyperlink"/>
          </w:rPr>
          <w:t xml:space="preserve">https://www.R-project.org/</w:t>
        </w:r>
      </w:hyperlink>
    </w:p>
    <w:bookmarkEnd w:id="115"/>
    <w:bookmarkStart w:id="117" w:name="ref-rocha2012"/>
    <w:p>
      <w:pPr>
        <w:pStyle w:val="Bibliography"/>
      </w:pPr>
      <w:r>
        <w:t xml:space="preserve">Rocha, L. G., Medeiros, E. S. F., &amp; Andrade, H. T. A. (2012). Influence of flow variability on macroinvertebrate assemblages in an intermittent stream of semi-arid brazil.</w:t>
      </w:r>
      <w:r>
        <w:t xml:space="preserve"> </w:t>
      </w:r>
      <w:r>
        <w:rPr>
          <w:i/>
          <w:iCs/>
        </w:rPr>
        <w:t xml:space="preserve">Journal of Arid Environments</w:t>
      </w:r>
      <w:r>
        <w:t xml:space="preserve">,</w:t>
      </w:r>
      <w:r>
        <w:t xml:space="preserve"> </w:t>
      </w:r>
      <w:r>
        <w:rPr>
          <w:i/>
          <w:iCs/>
        </w:rPr>
        <w:t xml:space="preserve">85</w:t>
      </w:r>
      <w:r>
        <w:t xml:space="preserve">, 33–40.</w:t>
      </w:r>
      <w:r>
        <w:t xml:space="preserve"> </w:t>
      </w:r>
      <w:hyperlink r:id="rId116">
        <w:r>
          <w:rPr>
            <w:rStyle w:val="Hyperlink"/>
          </w:rPr>
          <w:t xml:space="preserve">https://doi.org/10.1016/j.jaridenv.2012.04.001</w:t>
        </w:r>
      </w:hyperlink>
    </w:p>
    <w:bookmarkEnd w:id="117"/>
    <w:bookmarkStart w:id="119" w:name="ref-saraçli2013"/>
    <w:p>
      <w:pPr>
        <w:pStyle w:val="Bibliography"/>
      </w:pPr>
      <w:r>
        <w:t xml:space="preserve">Saraçli, S., Doğan, N., &amp; Doğan, İ. (2013). Comparison of hierarchical cluster analysis methods by cophenetic correlation.</w:t>
      </w:r>
      <w:r>
        <w:t xml:space="preserve"> </w:t>
      </w:r>
      <w:r>
        <w:rPr>
          <w:i/>
          <w:iCs/>
        </w:rPr>
        <w:t xml:space="preserve">Journal of Inequalities and Applications</w:t>
      </w:r>
      <w:r>
        <w:t xml:space="preserve">,</w:t>
      </w:r>
      <w:r>
        <w:t xml:space="preserve"> </w:t>
      </w:r>
      <w:r>
        <w:rPr>
          <w:i/>
          <w:iCs/>
        </w:rPr>
        <w:t xml:space="preserve">2013</w:t>
      </w:r>
      <w:r>
        <w:t xml:space="preserve">(1), 203.</w:t>
      </w:r>
      <w:r>
        <w:t xml:space="preserve"> </w:t>
      </w:r>
      <w:hyperlink r:id="rId118">
        <w:r>
          <w:rPr>
            <w:rStyle w:val="Hyperlink"/>
          </w:rPr>
          <w:t xml:space="preserve">https://doi.org/10.1186/1029-242X-2013-203</w:t>
        </w:r>
      </w:hyperlink>
    </w:p>
    <w:bookmarkEnd w:id="119"/>
    <w:bookmarkStart w:id="121"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120">
        <w:r>
          <w:rPr>
            <w:rStyle w:val="Hyperlink"/>
          </w:rPr>
          <w:t xml:space="preserve">https://doi.org/10.1002/rra.3344</w:t>
        </w:r>
      </w:hyperlink>
    </w:p>
    <w:bookmarkEnd w:id="121"/>
    <w:bookmarkStart w:id="123" w:name="ref-silva2013"/>
    <w:p>
      <w:pPr>
        <w:pStyle w:val="Bibliography"/>
      </w:pPr>
      <w:r>
        <w:t xml:space="preserve">Silva, A. R., &amp; Dias, C. T. S. (2013). A cophenetic correlation coefficient for tocher’s method.</w:t>
      </w:r>
      <w:r>
        <w:t xml:space="preserve"> </w:t>
      </w:r>
      <w:r>
        <w:rPr>
          <w:i/>
          <w:iCs/>
        </w:rPr>
        <w:t xml:space="preserve">Pesquisa Agropecuária Brasileira</w:t>
      </w:r>
      <w:r>
        <w:t xml:space="preserve">,</w:t>
      </w:r>
      <w:r>
        <w:t xml:space="preserve"> </w:t>
      </w:r>
      <w:r>
        <w:rPr>
          <w:i/>
          <w:iCs/>
        </w:rPr>
        <w:t xml:space="preserve">48</w:t>
      </w:r>
      <w:r>
        <w:t xml:space="preserve">(6), 589–596.</w:t>
      </w:r>
      <w:r>
        <w:t xml:space="preserve"> </w:t>
      </w:r>
      <w:hyperlink r:id="rId122">
        <w:r>
          <w:rPr>
            <w:rStyle w:val="Hyperlink"/>
          </w:rPr>
          <w:t xml:space="preserve">https://doi.org/10.1590/S0100-204X2013000600003</w:t>
        </w:r>
      </w:hyperlink>
    </w:p>
    <w:bookmarkEnd w:id="123"/>
    <w:bookmarkStart w:id="124" w:name="ref-silva2003"/>
    <w:p>
      <w:pPr>
        <w:pStyle w:val="Bibliography"/>
      </w:pPr>
      <w:r>
        <w:t xml:space="preserve">Silva, J. M. C., &amp; Casteleti, C. H. M. (2003).</w:t>
      </w:r>
      <w:r>
        <w:t xml:space="preserve"> </w:t>
      </w:r>
      <w:r>
        <w:rPr>
          <w:i/>
          <w:iCs/>
        </w:rPr>
        <w:t xml:space="preserve">Status of the biodiversity of the atlantic forest of brazil</w:t>
      </w:r>
      <w:r>
        <w:t xml:space="preserve"> </w:t>
      </w:r>
      <w:r>
        <w:t xml:space="preserve">(C. Galindo-Leal &amp; I. G. Câmara, Eds.; pp. 43–59). CABS; Island Press.</w:t>
      </w:r>
    </w:p>
    <w:bookmarkEnd w:id="124"/>
    <w:bookmarkStart w:id="125" w:name="ref-silva2017"/>
    <w:p>
      <w:pPr>
        <w:pStyle w:val="Bibliography"/>
      </w:pPr>
      <w:r>
        <w:t xml:space="preserve">Silva, J. M. C., Barbosa, L. C. F., Leal, I. R., &amp; Tabarelli, M. (2017).</w:t>
      </w:r>
      <w:r>
        <w:t xml:space="preserve"> </w:t>
      </w:r>
      <w:r>
        <w:rPr>
          <w:i/>
          <w:iCs/>
        </w:rPr>
        <w:t xml:space="preserve">The caatinga: Understanding the challenges</w:t>
      </w:r>
      <w:r>
        <w:t xml:space="preserve"> </w:t>
      </w:r>
      <w:r>
        <w:t xml:space="preserve">(J. M. Da Silva, I. Leal, &amp; M. Tabarelli, Eds.; pp. 3–19). Springer.</w:t>
      </w:r>
    </w:p>
    <w:bookmarkEnd w:id="125"/>
    <w:bookmarkStart w:id="126" w:name="ref-sneath1973"/>
    <w:p>
      <w:pPr>
        <w:pStyle w:val="Bibliography"/>
      </w:pPr>
      <w:r>
        <w:t xml:space="preserve">Sneath, P. H. A., &amp; Sokal, R. R. (1973).</w:t>
      </w:r>
      <w:r>
        <w:t xml:space="preserve"> </w:t>
      </w:r>
      <w:r>
        <w:rPr>
          <w:i/>
          <w:iCs/>
        </w:rPr>
        <w:t xml:space="preserve">Numerical taxonomy: The principles and practice of numerical classification</w:t>
      </w:r>
      <w:r>
        <w:t xml:space="preserve"> </w:t>
      </w:r>
      <w:r>
        <w:t xml:space="preserve">(1st ed.). W H Freeman &amp; Co.</w:t>
      </w:r>
    </w:p>
    <w:bookmarkEnd w:id="126"/>
    <w:bookmarkStart w:id="127"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27"/>
    <w:bookmarkStart w:id="129" w:name="ref-sokal1962"/>
    <w:p>
      <w:pPr>
        <w:pStyle w:val="Bibliography"/>
      </w:pPr>
      <w:r>
        <w:t xml:space="preserve">Sokal, R. R., &amp; Rohlf, F. J. (1962). The comparison of dendrograms by objective methods.</w:t>
      </w:r>
      <w:r>
        <w:t xml:space="preserve"> </w:t>
      </w:r>
      <w:r>
        <w:rPr>
          <w:i/>
          <w:iCs/>
        </w:rPr>
        <w:t xml:space="preserve">Taxon</w:t>
      </w:r>
      <w:r>
        <w:t xml:space="preserve">,</w:t>
      </w:r>
      <w:r>
        <w:t xml:space="preserve"> </w:t>
      </w:r>
      <w:r>
        <w:rPr>
          <w:i/>
          <w:iCs/>
        </w:rPr>
        <w:t xml:space="preserve">11</w:t>
      </w:r>
      <w:r>
        <w:t xml:space="preserve">(2), 33–40.</w:t>
      </w:r>
      <w:r>
        <w:t xml:space="preserve"> </w:t>
      </w:r>
      <w:hyperlink r:id="rId128">
        <w:r>
          <w:rPr>
            <w:rStyle w:val="Hyperlink"/>
          </w:rPr>
          <w:t xml:space="preserve">https://doi.org/10.2307/1217208</w:t>
        </w:r>
      </w:hyperlink>
    </w:p>
    <w:bookmarkEnd w:id="129"/>
    <w:bookmarkStart w:id="131" w:name="ref-strahler1957"/>
    <w:p>
      <w:pPr>
        <w:pStyle w:val="Bibliography"/>
      </w:pPr>
      <w:r>
        <w:t xml:space="preserve">Strahler, A. N. (1957). Quantitative analysis of watershed geomorphology.</w:t>
      </w:r>
      <w:r>
        <w:t xml:space="preserve"> </w:t>
      </w:r>
      <w:r>
        <w:rPr>
          <w:i/>
          <w:iCs/>
        </w:rPr>
        <w:t xml:space="preserve">Eos, Transactions American Geophysical Union</w:t>
      </w:r>
      <w:r>
        <w:t xml:space="preserve">,</w:t>
      </w:r>
      <w:r>
        <w:t xml:space="preserve"> </w:t>
      </w:r>
      <w:r>
        <w:rPr>
          <w:i/>
          <w:iCs/>
        </w:rPr>
        <w:t xml:space="preserve">38</w:t>
      </w:r>
      <w:r>
        <w:t xml:space="preserve">(6), 913–920.</w:t>
      </w:r>
      <w:r>
        <w:t xml:space="preserve"> </w:t>
      </w:r>
      <w:hyperlink r:id="rId130">
        <w:r>
          <w:rPr>
            <w:rStyle w:val="Hyperlink"/>
          </w:rPr>
          <w:t xml:space="preserve">https://doi.org/10.1029/TR038i006p00913</w:t>
        </w:r>
      </w:hyperlink>
    </w:p>
    <w:bookmarkEnd w:id="131"/>
    <w:bookmarkStart w:id="133" w:name="ref-veech2003"/>
    <w:p>
      <w:pPr>
        <w:pStyle w:val="Bibliography"/>
      </w:pPr>
      <w:r>
        <w:t xml:space="preserve">Veech, J. A., Crist, T. O., &amp; Summerville, K. S. (2003). Intraspecific aggregation decreases local species diversity of arthropods.</w:t>
      </w:r>
      <w:r>
        <w:t xml:space="preserve"> </w:t>
      </w:r>
      <w:r>
        <w:rPr>
          <w:i/>
          <w:iCs/>
        </w:rPr>
        <w:t xml:space="preserve">Ecology</w:t>
      </w:r>
      <w:r>
        <w:t xml:space="preserve">,</w:t>
      </w:r>
      <w:r>
        <w:t xml:space="preserve"> </w:t>
      </w:r>
      <w:r>
        <w:rPr>
          <w:i/>
          <w:iCs/>
        </w:rPr>
        <w:t xml:space="preserve">84</w:t>
      </w:r>
      <w:r>
        <w:t xml:space="preserve">(12), 3376–3383.</w:t>
      </w:r>
      <w:r>
        <w:t xml:space="preserve"> </w:t>
      </w:r>
      <w:hyperlink r:id="rId132">
        <w:r>
          <w:rPr>
            <w:rStyle w:val="Hyperlink"/>
          </w:rPr>
          <w:t xml:space="preserve">https://doi.org/10.1890/02-3127</w:t>
        </w:r>
      </w:hyperlink>
    </w:p>
    <w:bookmarkEnd w:id="133"/>
    <w:bookmarkStart w:id="134"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34"/>
    <w:bookmarkEnd w:id="135"/>
    <w:bookmarkEnd w:id="136"/>
    <w:bookmarkStart w:id="178"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Principal Component Analysis (PCA) biplot of the sampling units (SUs) and environmental variables in the Barro Branco and Caiana streams during the study period, categorized by site type.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hab_PCA_rio">
        <w:r>
          <w:rPr>
            <w:rStyle w:val="Hyperlink"/>
          </w:rPr>
          <w:t xml:space="preserve">Figure 3</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hab_PCA_periodo">
        <w:r>
          <w:rPr>
            <w:rStyle w:val="Hyperlink"/>
          </w:rPr>
          <w:t xml:space="preserve">Figure 4</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rare1">
        <w:r>
          <w:rPr>
            <w:rStyle w:val="Hyperlink"/>
          </w:rPr>
          <w:t xml:space="preserve">Figure 5</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6</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
        <w:r>
          <w:rPr>
            <w:rStyle w:val="Hyperlink"/>
          </w:rPr>
          <w:t xml:space="preserve">Figure 7</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spp_gttable">
        <w:r>
          <w:rPr>
            <w:rStyle w:val="Hyperlink"/>
          </w:rPr>
          <w:t xml:space="preserve">Table 3</w:t>
        </w:r>
      </w:hyperlink>
      <w:r>
        <w:t xml:space="preserve">: Density (ind/m2) and frequency of occurrence (FO%) of zooplankton collected during the 2024 hydrological cycle.</w:t>
      </w:r>
    </w:p>
    <w:p>
      <w:pPr>
        <w:pStyle w:val="TextBody"/>
      </w:pPr>
      <w:hyperlink w:anchor="tbl-part_gttable">
        <w:r>
          <w:rPr>
            <w:rStyle w:val="Hyperlink"/>
          </w:rPr>
          <w:t xml:space="preserve">Table 4</w:t>
        </w:r>
      </w:hyperlink>
      <w:r>
        <w:t xml:space="preserve">: Contribution (expressed in percentage values) of each spatial scale assessed to the total diversity (richness) of the dormant stages of the zooplankton. Numbers in ‘P value’ column indicate the proportion of randomized samples containing more species than the observed sample for each partition.</w:t>
      </w:r>
    </w:p>
    <w:bookmarkStart w:id="172"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41" w:name="fig-mapa"/>
          <w:p>
            <w:pPr>
              <w:pStyle w:val="Compact"/>
              <w:jc w:val="center"/>
            </w:pPr>
            <w:bookmarkStart w:id="140" w:name="fig-mapa"/>
            <w:r>
              <w:drawing>
                <wp:inline>
                  <wp:extent cx="5943600" cy="4202583"/>
                  <wp:effectExtent b="0" l="0" r="0" t="0"/>
                  <wp:docPr descr="" title="" id="138" name="Picture"/>
                  <a:graphic>
                    <a:graphicData uri="http://schemas.openxmlformats.org/drawingml/2006/picture">
                      <pic:pic>
                        <pic:nvPicPr>
                          <pic:cNvPr descr="imagens/Uso%20de%20Solo%20Rebio_en.png" id="139" name="Picture"/>
                          <pic:cNvPicPr>
                            <a:picLocks noChangeArrowheads="1" noChangeAspect="1"/>
                          </pic:cNvPicPr>
                        </pic:nvPicPr>
                        <pic:blipFill>
                          <a:blip r:embed="rId137"/>
                          <a:stretch>
                            <a:fillRect/>
                          </a:stretch>
                        </pic:blipFill>
                        <pic:spPr bwMode="auto">
                          <a:xfrm>
                            <a:off x="0" y="0"/>
                            <a:ext cx="5943600" cy="4202583"/>
                          </a:xfrm>
                          <a:prstGeom prst="rect">
                            <a:avLst/>
                          </a:prstGeom>
                          <a:noFill/>
                          <a:ln w="9525">
                            <a:noFill/>
                            <a:headEnd/>
                            <a:tailEnd/>
                          </a:ln>
                        </pic:spPr>
                      </pic:pic>
                    </a:graphicData>
                  </a:graphic>
                </wp:inline>
              </w:drawing>
            </w:r>
            <w:bookmarkEnd w:id="140"/>
          </w:p>
          <w:p>
            <w:pPr>
              <w:jc w:val="center"/>
            </w:pPr>
            <w:pPr>
              <w:jc w:val="left"/>
              <w:spacing w:before="200"/>
              <w:pStyle w:val="ImageCaption"/>
            </w:pPr>
            <w:r>
              <w:t xml:space="preserve">Figure 1</w:t>
            </w:r>
          </w:p>
          <w:bookmarkEnd w:id="141"/>
        </w:tc>
      </w:tr>
    </w:tbl>
    <w:p>
      <w:pPr>
        <w:pStyle w:val="TextBody"/>
      </w:pPr>
      <w:hyperlink w:anchor="fig-hab_PCA_ref-site">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46" w:name="fig-hab_PCA_ref-site"/>
          <w:p>
            <w:pPr>
              <w:pStyle w:val="Compact"/>
              <w:jc w:val="center"/>
            </w:pPr>
            <w:bookmarkStart w:id="145" w:name="fig-hab_PCA_ref-site"/>
            <w:r>
              <w:drawing>
                <wp:inline>
                  <wp:extent cx="5943600" cy="3494706"/>
                  <wp:effectExtent b="0" l="0" r="0" t="0"/>
                  <wp:docPr descr="" title="" id="143" name="Picture"/>
                  <a:graphic>
                    <a:graphicData uri="http://schemas.openxmlformats.org/drawingml/2006/picture">
                      <pic:pic>
                        <pic:nvPicPr>
                          <pic:cNvPr descr="res/fig-hab_PCA_ref-site.png" id="144" name="Picture"/>
                          <pic:cNvPicPr>
                            <a:picLocks noChangeArrowheads="1" noChangeAspect="1"/>
                          </pic:cNvPicPr>
                        </pic:nvPicPr>
                        <pic:blipFill>
                          <a:blip r:embed="rId142"/>
                          <a:stretch>
                            <a:fillRect/>
                          </a:stretch>
                        </pic:blipFill>
                        <pic:spPr bwMode="auto">
                          <a:xfrm>
                            <a:off x="0" y="0"/>
                            <a:ext cx="5943600" cy="3494706"/>
                          </a:xfrm>
                          <a:prstGeom prst="rect">
                            <a:avLst/>
                          </a:prstGeom>
                          <a:noFill/>
                          <a:ln w="9525">
                            <a:noFill/>
                            <a:headEnd/>
                            <a:tailEnd/>
                          </a:ln>
                        </pic:spPr>
                      </pic:pic>
                    </a:graphicData>
                  </a:graphic>
                </wp:inline>
              </w:drawing>
            </w:r>
            <w:bookmarkEnd w:id="145"/>
          </w:p>
          <w:p>
            <w:pPr>
              <w:jc w:val="center"/>
            </w:pPr>
            <w:pPr>
              <w:jc w:val="left"/>
              <w:spacing w:before="200"/>
              <w:pStyle w:val="ImageCaption"/>
            </w:pPr>
            <w:r>
              <w:t xml:space="preserve">Figure 2</w:t>
            </w:r>
          </w:p>
          <w:bookmarkEnd w:id="146"/>
        </w:tc>
      </w:tr>
    </w:tbl>
    <w:p>
      <w:pPr>
        <w:pStyle w:val="TextBody"/>
      </w:pPr>
      <w:hyperlink w:anchor="fig-hab_PCA_ri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51" w:name="fig-hab_PCA_rio"/>
          <w:p>
            <w:pPr>
              <w:pStyle w:val="Compact"/>
              <w:jc w:val="center"/>
            </w:pPr>
            <w:bookmarkStart w:id="150" w:name="fig-hab_PCA_rio"/>
            <w:r>
              <w:drawing>
                <wp:inline>
                  <wp:extent cx="5943600" cy="4261203"/>
                  <wp:effectExtent b="0" l="0" r="0" t="0"/>
                  <wp:docPr descr="" title="" id="148" name="Picture"/>
                  <a:graphic>
                    <a:graphicData uri="http://schemas.openxmlformats.org/drawingml/2006/picture">
                      <pic:pic>
                        <pic:nvPicPr>
                          <pic:cNvPr descr="res/fig-hab_PCA_rio.png" id="149" name="Picture"/>
                          <pic:cNvPicPr>
                            <a:picLocks noChangeArrowheads="1" noChangeAspect="1"/>
                          </pic:cNvPicPr>
                        </pic:nvPicPr>
                        <pic:blipFill>
                          <a:blip r:embed="rId147"/>
                          <a:stretch>
                            <a:fillRect/>
                          </a:stretch>
                        </pic:blipFill>
                        <pic:spPr bwMode="auto">
                          <a:xfrm>
                            <a:off x="0" y="0"/>
                            <a:ext cx="5943600" cy="4261203"/>
                          </a:xfrm>
                          <a:prstGeom prst="rect">
                            <a:avLst/>
                          </a:prstGeom>
                          <a:noFill/>
                          <a:ln w="9525">
                            <a:noFill/>
                            <a:headEnd/>
                            <a:tailEnd/>
                          </a:ln>
                        </pic:spPr>
                      </pic:pic>
                    </a:graphicData>
                  </a:graphic>
                </wp:inline>
              </w:drawing>
            </w:r>
            <w:bookmarkEnd w:id="150"/>
          </w:p>
          <w:p>
            <w:pPr>
              <w:jc w:val="center"/>
            </w:pPr>
            <w:pPr>
              <w:jc w:val="left"/>
              <w:spacing w:before="200"/>
              <w:pStyle w:val="ImageCaption"/>
            </w:pPr>
            <w:r>
              <w:t xml:space="preserve">Figure 3</w:t>
            </w:r>
          </w:p>
          <w:bookmarkEnd w:id="151"/>
        </w:tc>
      </w:tr>
    </w:tbl>
    <w:p>
      <w:pPr>
        <w:pStyle w:val="TextBody"/>
      </w:pPr>
      <w:hyperlink w:anchor="fig-hab_PCA_periodo">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56" w:name="fig-hab_PCA_periodo"/>
          <w:p>
            <w:pPr>
              <w:pStyle w:val="Compact"/>
              <w:jc w:val="center"/>
            </w:pPr>
            <w:bookmarkStart w:id="155" w:name="fig-hab_PCA_periodo"/>
            <w:r>
              <w:drawing>
                <wp:inline>
                  <wp:extent cx="5943600" cy="4261203"/>
                  <wp:effectExtent b="0" l="0" r="0" t="0"/>
                  <wp:docPr descr="" title="" id="153" name="Picture"/>
                  <a:graphic>
                    <a:graphicData uri="http://schemas.openxmlformats.org/drawingml/2006/picture">
                      <pic:pic>
                        <pic:nvPicPr>
                          <pic:cNvPr descr="res/fig-hab_PCA_periodo.png" id="154" name="Picture"/>
                          <pic:cNvPicPr>
                            <a:picLocks noChangeArrowheads="1" noChangeAspect="1"/>
                          </pic:cNvPicPr>
                        </pic:nvPicPr>
                        <pic:blipFill>
                          <a:blip r:embed="rId152"/>
                          <a:stretch>
                            <a:fillRect/>
                          </a:stretch>
                        </pic:blipFill>
                        <pic:spPr bwMode="auto">
                          <a:xfrm>
                            <a:off x="0" y="0"/>
                            <a:ext cx="5943600" cy="4261203"/>
                          </a:xfrm>
                          <a:prstGeom prst="rect">
                            <a:avLst/>
                          </a:prstGeom>
                          <a:noFill/>
                          <a:ln w="9525">
                            <a:noFill/>
                            <a:headEnd/>
                            <a:tailEnd/>
                          </a:ln>
                        </pic:spPr>
                      </pic:pic>
                    </a:graphicData>
                  </a:graphic>
                </wp:inline>
              </w:drawing>
            </w:r>
            <w:bookmarkEnd w:id="155"/>
          </w:p>
          <w:p>
            <w:pPr>
              <w:jc w:val="center"/>
            </w:pPr>
            <w:pPr>
              <w:jc w:val="left"/>
              <w:spacing w:before="200"/>
              <w:pStyle w:val="ImageCaption"/>
            </w:pPr>
            <w:r>
              <w:t xml:space="preserve">Figure 4</w:t>
            </w:r>
          </w:p>
          <w:bookmarkEnd w:id="156"/>
        </w:tc>
      </w:tr>
    </w:tbl>
    <w:p>
      <w:pPr>
        <w:pStyle w:val="TextBody"/>
      </w:pPr>
      <w:hyperlink w:anchor="fig-rare1">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61" w:name="fig-rare1"/>
          <w:p>
            <w:pPr>
              <w:pStyle w:val="Compact"/>
              <w:jc w:val="center"/>
            </w:pPr>
            <w:bookmarkStart w:id="160" w:name="fig-rare1"/>
            <w:r>
              <w:drawing>
                <wp:inline>
                  <wp:extent cx="5943600" cy="4457699"/>
                  <wp:effectExtent b="0" l="0" r="0" t="0"/>
                  <wp:docPr descr="" title="" id="158" name="Picture"/>
                  <a:graphic>
                    <a:graphicData uri="http://schemas.openxmlformats.org/drawingml/2006/picture">
                      <pic:pic>
                        <pic:nvPicPr>
                          <pic:cNvPr descr="res/fig-rare1.png" id="159" name="Picture"/>
                          <pic:cNvPicPr>
                            <a:picLocks noChangeArrowheads="1" noChangeAspect="1"/>
                          </pic:cNvPicPr>
                        </pic:nvPicPr>
                        <pic:blipFill>
                          <a:blip r:embed="rId157"/>
                          <a:stretch>
                            <a:fillRect/>
                          </a:stretch>
                        </pic:blipFill>
                        <pic:spPr bwMode="auto">
                          <a:xfrm>
                            <a:off x="0" y="0"/>
                            <a:ext cx="5943600" cy="4457699"/>
                          </a:xfrm>
                          <a:prstGeom prst="rect">
                            <a:avLst/>
                          </a:prstGeom>
                          <a:noFill/>
                          <a:ln w="9525">
                            <a:noFill/>
                            <a:headEnd/>
                            <a:tailEnd/>
                          </a:ln>
                        </pic:spPr>
                      </pic:pic>
                    </a:graphicData>
                  </a:graphic>
                </wp:inline>
              </w:drawing>
            </w:r>
            <w:bookmarkEnd w:id="160"/>
          </w:p>
          <w:p>
            <w:pPr>
              <w:jc w:val="center"/>
            </w:pPr>
            <w:pPr>
              <w:jc w:val="left"/>
              <w:spacing w:before="200"/>
              <w:pStyle w:val="ImageCaption"/>
            </w:pPr>
            <w:r>
              <w:t xml:space="preserve">Figure 5</w:t>
            </w:r>
          </w:p>
          <w:bookmarkEnd w:id="161"/>
        </w:tc>
      </w:tr>
    </w:tbl>
    <w:p>
      <w:pPr>
        <w:pStyle w:val="TextBody"/>
      </w:pPr>
      <w:hyperlink w:anchor="fig-upgma">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166" w:name="fig-upgma"/>
          <w:p>
            <w:pPr>
              <w:pStyle w:val="Compact"/>
              <w:jc w:val="center"/>
            </w:pPr>
            <w:bookmarkStart w:id="165" w:name="fig-upgma"/>
            <w:r>
              <w:drawing>
                <wp:inline>
                  <wp:extent cx="5943600" cy="4862945"/>
                  <wp:effectExtent b="0" l="0" r="0" t="0"/>
                  <wp:docPr descr="" title="" id="163" name="Picture"/>
                  <a:graphic>
                    <a:graphicData uri="http://schemas.openxmlformats.org/drawingml/2006/picture">
                      <pic:pic>
                        <pic:nvPicPr>
                          <pic:cNvPr descr="res/fig-upgma.png" id="164" name="Picture"/>
                          <pic:cNvPicPr>
                            <a:picLocks noChangeArrowheads="1" noChangeAspect="1"/>
                          </pic:cNvPicPr>
                        </pic:nvPicPr>
                        <pic:blipFill>
                          <a:blip r:embed="rId162"/>
                          <a:stretch>
                            <a:fillRect/>
                          </a:stretch>
                        </pic:blipFill>
                        <pic:spPr bwMode="auto">
                          <a:xfrm>
                            <a:off x="0" y="0"/>
                            <a:ext cx="5943600" cy="4862945"/>
                          </a:xfrm>
                          <a:prstGeom prst="rect">
                            <a:avLst/>
                          </a:prstGeom>
                          <a:noFill/>
                          <a:ln w="9525">
                            <a:noFill/>
                            <a:headEnd/>
                            <a:tailEnd/>
                          </a:ln>
                        </pic:spPr>
                      </pic:pic>
                    </a:graphicData>
                  </a:graphic>
                </wp:inline>
              </w:drawing>
            </w:r>
            <w:bookmarkEnd w:id="165"/>
          </w:p>
          <w:p>
            <w:pPr>
              <w:jc w:val="center"/>
            </w:pPr>
            <w:pPr>
              <w:jc w:val="left"/>
              <w:spacing w:before="200"/>
              <w:pStyle w:val="ImageCaption"/>
            </w:pPr>
            <w:r>
              <w:t xml:space="preserve">Figure 6</w:t>
            </w:r>
          </w:p>
          <w:bookmarkEnd w:id="166"/>
        </w:tc>
      </w:tr>
    </w:tbl>
    <w:p>
      <w:pPr>
        <w:pStyle w:val="TextBody"/>
      </w:pPr>
      <w:hyperlink w:anchor="fig-particao">
        <w:r>
          <w:rPr>
            <w:rStyle w:val="Hyperlink"/>
          </w:rPr>
          <w:t xml:space="preserve">Figure 7</w:t>
        </w:r>
      </w:hyperlink>
    </w:p>
    <w:tbl>
      <w:tblPr>
        <w:tblStyle w:val="Table"/>
        <w:tblW w:type="pct" w:w="5000"/>
        <w:tblLayout w:type="fixed"/>
        <w:tblLook w:firstRow="0" w:lastRow="0" w:firstColumn="0" w:lastColumn="0" w:noHBand="0" w:noVBand="0" w:val="0000"/>
      </w:tblPr>
      <w:tblGrid>
        <w:gridCol w:w="7920"/>
      </w:tblGrid>
      <w:tr>
        <w:tc>
          <w:tcPr/>
          <w:bookmarkStart w:id="171" w:name="fig-particao"/>
          <w:p>
            <w:pPr>
              <w:pStyle w:val="Compact"/>
              <w:jc w:val="center"/>
            </w:pPr>
            <w:bookmarkStart w:id="170" w:name="fig-particao"/>
            <w:r>
              <w:drawing>
                <wp:inline>
                  <wp:extent cx="5943600" cy="4754880"/>
                  <wp:effectExtent b="0" l="0" r="0" t="0"/>
                  <wp:docPr descr="" title="" id="168" name="Picture"/>
                  <a:graphic>
                    <a:graphicData uri="http://schemas.openxmlformats.org/drawingml/2006/picture">
                      <pic:pic>
                        <pic:nvPicPr>
                          <pic:cNvPr descr="res/fig-painel_partição.png" id="169" name="Picture"/>
                          <pic:cNvPicPr>
                            <a:picLocks noChangeArrowheads="1" noChangeAspect="1"/>
                          </pic:cNvPicPr>
                        </pic:nvPicPr>
                        <pic:blipFill>
                          <a:blip r:embed="rId167"/>
                          <a:stretch>
                            <a:fillRect/>
                          </a:stretch>
                        </pic:blipFill>
                        <pic:spPr bwMode="auto">
                          <a:xfrm>
                            <a:off x="0" y="0"/>
                            <a:ext cx="5943600" cy="4754880"/>
                          </a:xfrm>
                          <a:prstGeom prst="rect">
                            <a:avLst/>
                          </a:prstGeom>
                          <a:noFill/>
                          <a:ln w="9525">
                            <a:noFill/>
                            <a:headEnd/>
                            <a:tailEnd/>
                          </a:ln>
                        </pic:spPr>
                      </pic:pic>
                    </a:graphicData>
                  </a:graphic>
                </wp:inline>
              </w:drawing>
            </w:r>
            <w:bookmarkEnd w:id="170"/>
          </w:p>
          <w:p>
            <w:pPr>
              <w:jc w:val="center"/>
            </w:pPr>
            <w:pPr>
              <w:jc w:val="left"/>
              <w:spacing w:before="200"/>
              <w:pStyle w:val="ImageCaption"/>
            </w:pPr>
            <w:r>
              <w:t xml:space="preserve">Figure 7</w:t>
            </w:r>
          </w:p>
          <w:bookmarkEnd w:id="171"/>
        </w:tc>
      </w:tr>
    </w:tbl>
    <w:bookmarkEnd w:id="172"/>
    <w:bookmarkStart w:id="177"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173"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173"/>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174"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174"/>
        </w:tc>
      </w:tr>
    </w:tbl>
    <w:p>
      <w:pPr>
        <w:pStyle w:val="TextBody"/>
      </w:pPr>
      <w:hyperlink w:anchor="tbl-spp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175"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175"/>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176"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176"/>
        </w:tc>
      </w:tr>
    </w:tbl>
    <w:bookmarkEnd w:id="177"/>
    <w:bookmarkEnd w:id="178"/>
    <w:bookmarkStart w:id="179" w:name="apendices"/>
    <w:p>
      <w:pPr>
        <w:pStyle w:val="Heading1"/>
      </w:pPr>
      <w:r>
        <w:t xml:space="preserve">Apendices</w:t>
      </w:r>
    </w:p>
    <w:bookmarkEnd w:id="179"/>
    <w:bookmarkStart w:id="183"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C:\PROGRA~1\RStudio\RESOUR~1\app\bin\quarto\share\formats\docx\warning.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83"/>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180" Target="media/rId180.png" /><Relationship Type="http://schemas.openxmlformats.org/officeDocument/2006/relationships/image" Id="rId137" Target="media/rId137.png" /><Relationship Type="http://schemas.openxmlformats.org/officeDocument/2006/relationships/image" Id="rId152" Target="media/rId152.png" /><Relationship Type="http://schemas.openxmlformats.org/officeDocument/2006/relationships/image" Id="rId142" Target="media/rId142.png" /><Relationship Type="http://schemas.openxmlformats.org/officeDocument/2006/relationships/image" Id="rId147" Target="media/rId147.png" /><Relationship Type="http://schemas.openxmlformats.org/officeDocument/2006/relationships/image" Id="rId167" Target="media/rId167.png" /><Relationship Type="http://schemas.openxmlformats.org/officeDocument/2006/relationships/image" Id="rId157" Target="media/rId157.png" /><Relationship Type="http://schemas.openxmlformats.org/officeDocument/2006/relationships/image" Id="rId162" Target="media/rId162.png" /><Relationship Type="http://schemas.openxmlformats.org/officeDocument/2006/relationships/hyperlink" Id="rId49" Target="http://memoria2.cnpq.br/web/guest/view/-/journal_content/56_INSTANCE_0oED/10157/23142775" TargetMode="External" /><Relationship Type="http://schemas.openxmlformats.org/officeDocument/2006/relationships/hyperlink" Id="rId86" Target="https://CRAN.R-project.org/package=cluster" TargetMode="External" /><Relationship Type="http://schemas.openxmlformats.org/officeDocument/2006/relationships/hyperlink" Id="rId51" Target="https://credit.niso.org/" TargetMode="External" /><Relationship Type="http://schemas.openxmlformats.org/officeDocument/2006/relationships/hyperlink" Id="rId75" Target="https://doi.org/10.1002/9780470316801.ch5" TargetMode="External" /><Relationship Type="http://schemas.openxmlformats.org/officeDocument/2006/relationships/hyperlink" Id="rId120" Target="https://doi.org/10.1002/rra.3344" TargetMode="External" /><Relationship Type="http://schemas.openxmlformats.org/officeDocument/2006/relationships/hyperlink" Id="rId73" Target="https://doi.org/10.1007/978-3-319-58374-7_11" TargetMode="External" /><Relationship Type="http://schemas.openxmlformats.org/officeDocument/2006/relationships/hyperlink" Id="rId89" Target="https://doi.org/10.1007/978-94-011-7852-5" TargetMode="External" /><Relationship Type="http://schemas.openxmlformats.org/officeDocument/2006/relationships/hyperlink" Id="rId65" Target="https://doi.org/10.1007/BF01867358" TargetMode="External" /><Relationship Type="http://schemas.openxmlformats.org/officeDocument/2006/relationships/hyperlink" Id="rId105" Target="https://doi.org/10.1007/s10750-006-0252-7" TargetMode="External" /><Relationship Type="http://schemas.openxmlformats.org/officeDocument/2006/relationships/hyperlink" Id="rId63" Target="https://doi.org/10.1007/s10750-020-04187-0" TargetMode="External" /><Relationship Type="http://schemas.openxmlformats.org/officeDocument/2006/relationships/hyperlink" Id="rId35" Target="https://doi.org/10.1007/s13157-011-0178-3" TargetMode="External" /><Relationship Type="http://schemas.openxmlformats.org/officeDocument/2006/relationships/hyperlink" Id="rId111" Target="https://doi.org/10.1016/j.biocon.2026.111958" TargetMode="External" /><Relationship Type="http://schemas.openxmlformats.org/officeDocument/2006/relationships/hyperlink" Id="rId116" Target="https://doi.org/10.1016/j.jaridenv.2012.04.001" TargetMode="External" /><Relationship Type="http://schemas.openxmlformats.org/officeDocument/2006/relationships/hyperlink" Id="rId96" Target="https://doi.org/10.1016/j.watres.2026.126704" TargetMode="External" /><Relationship Type="http://schemas.openxmlformats.org/officeDocument/2006/relationships/hyperlink" Id="rId130" Target="https://doi.org/10.1029/TR038i006p00913" TargetMode="External" /><Relationship Type="http://schemas.openxmlformats.org/officeDocument/2006/relationships/hyperlink" Id="rId67" Target="https://doi.org/10.1046/j.1523-1739.2003.01465.x" TargetMode="External" /><Relationship Type="http://schemas.openxmlformats.org/officeDocument/2006/relationships/hyperlink" Id="rId59" Target="https://doi.org/10.1080/20442041.2020.1738841" TargetMode="External" /><Relationship Type="http://schemas.openxmlformats.org/officeDocument/2006/relationships/hyperlink" Id="rId53" Target="https://doi.org/10.1086/378901" TargetMode="External" /><Relationship Type="http://schemas.openxmlformats.org/officeDocument/2006/relationships/hyperlink" Id="rId55" Target="https://doi.org/10.1111/geb.13449" TargetMode="External" /><Relationship Type="http://schemas.openxmlformats.org/officeDocument/2006/relationships/hyperlink" Id="rId81" Target="https://doi.org/10.1111/j.1365-2427.2009.02291.x" TargetMode="External" /><Relationship Type="http://schemas.openxmlformats.org/officeDocument/2006/relationships/hyperlink" Id="rId37" Target="https://doi.org/10.1111/j.1466-8238.2009.00490.x" TargetMode="External" /><Relationship Type="http://schemas.openxmlformats.org/officeDocument/2006/relationships/hyperlink" Id="rId39" Target="https://doi.org/10.1111/j.1466-8238.2011.00756.x" TargetMode="External" /><Relationship Type="http://schemas.openxmlformats.org/officeDocument/2006/relationships/hyperlink" Id="rId100" Target="https://doi.org/10.1155/2013/946361" TargetMode="External" /><Relationship Type="http://schemas.openxmlformats.org/officeDocument/2006/relationships/hyperlink" Id="rId118" Target="https://doi.org/10.1186/1029-242X-2013-203" TargetMode="External" /><Relationship Type="http://schemas.openxmlformats.org/officeDocument/2006/relationships/hyperlink" Id="rId98" Target="https://doi.org/10.15560/10.3.524" TargetMode="External" /><Relationship Type="http://schemas.openxmlformats.org/officeDocument/2006/relationships/hyperlink" Id="rId69" Target="https://doi.org/10.15560/13.5.581" TargetMode="External" /><Relationship Type="http://schemas.openxmlformats.org/officeDocument/2006/relationships/hyperlink" Id="rId122" Target="https://doi.org/10.1590/S0100-204X2013000600003" TargetMode="External" /><Relationship Type="http://schemas.openxmlformats.org/officeDocument/2006/relationships/hyperlink" Id="rId83" Target="https://doi.org/10.1590/S2179-975X3214" TargetMode="External" /><Relationship Type="http://schemas.openxmlformats.org/officeDocument/2006/relationships/hyperlink" Id="rId94" Target="https://doi.org/10.1590/s2179-975x3023" TargetMode="External" /><Relationship Type="http://schemas.openxmlformats.org/officeDocument/2006/relationships/hyperlink" Id="rId132" Target="https://doi.org/10.1890/02-3127" TargetMode="External" /><Relationship Type="http://schemas.openxmlformats.org/officeDocument/2006/relationships/hyperlink" Id="rId29" Target="https://doi.org/10.1890/12-2010.1" TargetMode="External" /><Relationship Type="http://schemas.openxmlformats.org/officeDocument/2006/relationships/hyperlink" Id="rId47" Target="https://doi.org/10.1890/13-0133.1" TargetMode="External" /><Relationship Type="http://schemas.openxmlformats.org/officeDocument/2006/relationships/hyperlink" Id="rId128" Target="https://doi.org/10.2307/1217208" TargetMode="External" /><Relationship Type="http://schemas.openxmlformats.org/officeDocument/2006/relationships/hyperlink" Id="rId61" Target="https://doi.org/10.2307/2412324" TargetMode="External" /><Relationship Type="http://schemas.openxmlformats.org/officeDocument/2006/relationships/hyperlink" Id="rId41" Target="https://doi.org/10.2307/3235592" TargetMode="External" /><Relationship Type="http://schemas.openxmlformats.org/officeDocument/2006/relationships/hyperlink" Id="rId77" Target="https://doi.org/10.2307/3545743" TargetMode="External" /><Relationship Type="http://schemas.openxmlformats.org/officeDocument/2006/relationships/hyperlink" Id="rId107" Target="https://doi.org/10.32614/CRAN.package.vegan" TargetMode="External" /><Relationship Type="http://schemas.openxmlformats.org/officeDocument/2006/relationships/hyperlink" Id="rId92" Target="https://doi.org/10.4013/5440" TargetMode="External" /><Relationship Type="http://schemas.openxmlformats.org/officeDocument/2006/relationships/hyperlink" Id="rId71" Target="https://doi.org/10.4319/lo.1973.18.2.0331" TargetMode="External" /><Relationship Type="http://schemas.openxmlformats.org/officeDocument/2006/relationships/hyperlink" Id="rId109" Target="https://doi.org/10.5194/hess-11-1633-2007" TargetMode="External" /><Relationship Type="http://schemas.openxmlformats.org/officeDocument/2006/relationships/hyperlink" Id="rId33" Target="https://doi.org/10.5902/2316305410852" TargetMode="External" /><Relationship Type="http://schemas.openxmlformats.org/officeDocument/2006/relationships/hyperlink" Id="rId43" Target="https://publications.gc.ca/site/eng/9.836661/publication.html" TargetMode="External" /><Relationship Type="http://schemas.openxmlformats.org/officeDocument/2006/relationships/hyperlink" Id="rId114" Target="https://www.R-project.org/" TargetMode="External" /><Relationship Type="http://schemas.openxmlformats.org/officeDocument/2006/relationships/hyperlink" Id="rId57" Target="https://www.epa.gov/system/files/documents/2021-08/lg402a.v15-zooplankton-sampling_rfa.pdf" TargetMode="External" /><Relationship Type="http://schemas.openxmlformats.org/officeDocument/2006/relationships/hyperlink" Id="rId103" Target="https://www.gov.br/icmbio/pt-br/centrais-de-conteudo/publicacoes/planos-de-manejo-integrado-do-fogo/Plano_de_Manejo_Integrado_do_Fogo_da_Reserva_Biologica_Guaribas.pdf" TargetMode="External" /><Relationship Type="http://schemas.openxmlformats.org/officeDocument/2006/relationships/hyperlink" Id="rId45" Target="https://www.planalto.gov.br/ccivil_03/leis/l9985.htm" TargetMode="External" /><Relationship Type="http://schemas.openxmlformats.org/officeDocument/2006/relationships/hyperlink" Id="rId31"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9" Target="http://memoria2.cnpq.br/web/guest/view/-/journal_content/56_INSTANCE_0oED/10157/23142775" TargetMode="External" /><Relationship Type="http://schemas.openxmlformats.org/officeDocument/2006/relationships/hyperlink" Id="rId86" Target="https://CRAN.R-project.org/package=cluster" TargetMode="External" /><Relationship Type="http://schemas.openxmlformats.org/officeDocument/2006/relationships/hyperlink" Id="rId51" Target="https://credit.niso.org/" TargetMode="External" /><Relationship Type="http://schemas.openxmlformats.org/officeDocument/2006/relationships/hyperlink" Id="rId75" Target="https://doi.org/10.1002/9780470316801.ch5" TargetMode="External" /><Relationship Type="http://schemas.openxmlformats.org/officeDocument/2006/relationships/hyperlink" Id="rId120" Target="https://doi.org/10.1002/rra.3344" TargetMode="External" /><Relationship Type="http://schemas.openxmlformats.org/officeDocument/2006/relationships/hyperlink" Id="rId73" Target="https://doi.org/10.1007/978-3-319-58374-7_11" TargetMode="External" /><Relationship Type="http://schemas.openxmlformats.org/officeDocument/2006/relationships/hyperlink" Id="rId89" Target="https://doi.org/10.1007/978-94-011-7852-5" TargetMode="External" /><Relationship Type="http://schemas.openxmlformats.org/officeDocument/2006/relationships/hyperlink" Id="rId65" Target="https://doi.org/10.1007/BF01867358" TargetMode="External" /><Relationship Type="http://schemas.openxmlformats.org/officeDocument/2006/relationships/hyperlink" Id="rId105" Target="https://doi.org/10.1007/s10750-006-0252-7" TargetMode="External" /><Relationship Type="http://schemas.openxmlformats.org/officeDocument/2006/relationships/hyperlink" Id="rId63" Target="https://doi.org/10.1007/s10750-020-04187-0" TargetMode="External" /><Relationship Type="http://schemas.openxmlformats.org/officeDocument/2006/relationships/hyperlink" Id="rId35" Target="https://doi.org/10.1007/s13157-011-0178-3" TargetMode="External" /><Relationship Type="http://schemas.openxmlformats.org/officeDocument/2006/relationships/hyperlink" Id="rId111" Target="https://doi.org/10.1016/j.biocon.2026.111958" TargetMode="External" /><Relationship Type="http://schemas.openxmlformats.org/officeDocument/2006/relationships/hyperlink" Id="rId116" Target="https://doi.org/10.1016/j.jaridenv.2012.04.001" TargetMode="External" /><Relationship Type="http://schemas.openxmlformats.org/officeDocument/2006/relationships/hyperlink" Id="rId96" Target="https://doi.org/10.1016/j.watres.2026.126704" TargetMode="External" /><Relationship Type="http://schemas.openxmlformats.org/officeDocument/2006/relationships/hyperlink" Id="rId130" Target="https://doi.org/10.1029/TR038i006p00913" TargetMode="External" /><Relationship Type="http://schemas.openxmlformats.org/officeDocument/2006/relationships/hyperlink" Id="rId67" Target="https://doi.org/10.1046/j.1523-1739.2003.01465.x" TargetMode="External" /><Relationship Type="http://schemas.openxmlformats.org/officeDocument/2006/relationships/hyperlink" Id="rId59" Target="https://doi.org/10.1080/20442041.2020.1738841" TargetMode="External" /><Relationship Type="http://schemas.openxmlformats.org/officeDocument/2006/relationships/hyperlink" Id="rId53" Target="https://doi.org/10.1086/378901" TargetMode="External" /><Relationship Type="http://schemas.openxmlformats.org/officeDocument/2006/relationships/hyperlink" Id="rId55" Target="https://doi.org/10.1111/geb.13449" TargetMode="External" /><Relationship Type="http://schemas.openxmlformats.org/officeDocument/2006/relationships/hyperlink" Id="rId81" Target="https://doi.org/10.1111/j.1365-2427.2009.02291.x" TargetMode="External" /><Relationship Type="http://schemas.openxmlformats.org/officeDocument/2006/relationships/hyperlink" Id="rId37" Target="https://doi.org/10.1111/j.1466-8238.2009.00490.x" TargetMode="External" /><Relationship Type="http://schemas.openxmlformats.org/officeDocument/2006/relationships/hyperlink" Id="rId39" Target="https://doi.org/10.1111/j.1466-8238.2011.00756.x" TargetMode="External" /><Relationship Type="http://schemas.openxmlformats.org/officeDocument/2006/relationships/hyperlink" Id="rId100" Target="https://doi.org/10.1155/2013/946361" TargetMode="External" /><Relationship Type="http://schemas.openxmlformats.org/officeDocument/2006/relationships/hyperlink" Id="rId118" Target="https://doi.org/10.1186/1029-242X-2013-203" TargetMode="External" /><Relationship Type="http://schemas.openxmlformats.org/officeDocument/2006/relationships/hyperlink" Id="rId98" Target="https://doi.org/10.15560/10.3.524" TargetMode="External" /><Relationship Type="http://schemas.openxmlformats.org/officeDocument/2006/relationships/hyperlink" Id="rId69" Target="https://doi.org/10.15560/13.5.581" TargetMode="External" /><Relationship Type="http://schemas.openxmlformats.org/officeDocument/2006/relationships/hyperlink" Id="rId122" Target="https://doi.org/10.1590/S0100-204X2013000600003" TargetMode="External" /><Relationship Type="http://schemas.openxmlformats.org/officeDocument/2006/relationships/hyperlink" Id="rId83" Target="https://doi.org/10.1590/S2179-975X3214" TargetMode="External" /><Relationship Type="http://schemas.openxmlformats.org/officeDocument/2006/relationships/hyperlink" Id="rId94" Target="https://doi.org/10.1590/s2179-975x3023" TargetMode="External" /><Relationship Type="http://schemas.openxmlformats.org/officeDocument/2006/relationships/hyperlink" Id="rId132" Target="https://doi.org/10.1890/02-3127" TargetMode="External" /><Relationship Type="http://schemas.openxmlformats.org/officeDocument/2006/relationships/hyperlink" Id="rId29" Target="https://doi.org/10.1890/12-2010.1" TargetMode="External" /><Relationship Type="http://schemas.openxmlformats.org/officeDocument/2006/relationships/hyperlink" Id="rId47" Target="https://doi.org/10.1890/13-0133.1" TargetMode="External" /><Relationship Type="http://schemas.openxmlformats.org/officeDocument/2006/relationships/hyperlink" Id="rId128" Target="https://doi.org/10.2307/1217208" TargetMode="External" /><Relationship Type="http://schemas.openxmlformats.org/officeDocument/2006/relationships/hyperlink" Id="rId61" Target="https://doi.org/10.2307/2412324" TargetMode="External" /><Relationship Type="http://schemas.openxmlformats.org/officeDocument/2006/relationships/hyperlink" Id="rId41" Target="https://doi.org/10.2307/3235592" TargetMode="External" /><Relationship Type="http://schemas.openxmlformats.org/officeDocument/2006/relationships/hyperlink" Id="rId77" Target="https://doi.org/10.2307/3545743" TargetMode="External" /><Relationship Type="http://schemas.openxmlformats.org/officeDocument/2006/relationships/hyperlink" Id="rId107" Target="https://doi.org/10.32614/CRAN.package.vegan" TargetMode="External" /><Relationship Type="http://schemas.openxmlformats.org/officeDocument/2006/relationships/hyperlink" Id="rId92" Target="https://doi.org/10.4013/5440" TargetMode="External" /><Relationship Type="http://schemas.openxmlformats.org/officeDocument/2006/relationships/hyperlink" Id="rId71" Target="https://doi.org/10.4319/lo.1973.18.2.0331" TargetMode="External" /><Relationship Type="http://schemas.openxmlformats.org/officeDocument/2006/relationships/hyperlink" Id="rId109" Target="https://doi.org/10.5194/hess-11-1633-2007" TargetMode="External" /><Relationship Type="http://schemas.openxmlformats.org/officeDocument/2006/relationships/hyperlink" Id="rId33" Target="https://doi.org/10.5902/2316305410852" TargetMode="External" /><Relationship Type="http://schemas.openxmlformats.org/officeDocument/2006/relationships/hyperlink" Id="rId43" Target="https://publications.gc.ca/site/eng/9.836661/publication.html" TargetMode="External" /><Relationship Type="http://schemas.openxmlformats.org/officeDocument/2006/relationships/hyperlink" Id="rId114" Target="https://www.R-project.org/" TargetMode="External" /><Relationship Type="http://schemas.openxmlformats.org/officeDocument/2006/relationships/hyperlink" Id="rId57" Target="https://www.epa.gov/system/files/documents/2021-08/lg402a.v15-zooplankton-sampling_rfa.pdf" TargetMode="External" /><Relationship Type="http://schemas.openxmlformats.org/officeDocument/2006/relationships/hyperlink" Id="rId103" Target="https://www.gov.br/icmbio/pt-br/centrais-de-conteudo/publicacoes/planos-de-manejo-integrado-do-fogo/Plano_de_Manejo_Integrado_do_Fogo_da_Reserva_Biologica_Guaribas.pdf" TargetMode="External" /><Relationship Type="http://schemas.openxmlformats.org/officeDocument/2006/relationships/hyperlink" Id="rId45" Target="https://www.planalto.gov.br/ccivil_03/leis/l9985.htm" TargetMode="External" /><Relationship Type="http://schemas.openxmlformats.org/officeDocument/2006/relationships/hyperlink" Id="rId31"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Contrasting conservation conditions shape the spatial partitioning of zooplankton diversity in Atlantic Forest streams</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2026-10-02T14:27:06Z</dcterms:created>
  <dcterms:modified xsi:type="dcterms:W3CDTF">2026-10-02T14:27:06Z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2026-10-02</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