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291.png" ContentType="image/png"/>
  <Override PartName="/word/media/rId287.png" ContentType="image/png"/>
  <Override PartName="/word/media/rId303.png" ContentType="image/png"/>
  <Override PartName="/word/media/rId295.png" ContentType="image/png"/>
  <Override PartName="/word/media/rId299.png" ContentType="image/png"/>
  <Override PartName="/word/media/rId315.png" ContentType="image/png"/>
  <Override PartName="/word/media/rId307.png" ContentType="image/png"/>
  <Override PartName="/word/media/rId3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Assim,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3"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3"/>
    <w:bookmarkStart w:id="24"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4"/>
    <w:bookmarkStart w:id="28" w:name="resultados"/>
    <w:p>
      <w:pPr>
        <w:pStyle w:val="Heading1"/>
      </w:pPr>
      <w:r>
        <w:t xml:space="preserve">3. Resultados</w:t>
      </w:r>
    </w:p>
    <w:bookmarkStart w:id="25" w:name="variáveis-ambientais"/>
    <w:p>
      <w:pPr>
        <w:pStyle w:val="Heading2"/>
      </w:pPr>
      <w:r>
        <w:t xml:space="preserve">3.1 Variáveis ambientais</w:t>
      </w:r>
    </w:p>
    <w:p>
      <w:pPr>
        <w:pStyle w:val="FirstParagraph"/>
      </w:pPr>
      <w:r>
        <w:t xml:space="preserve">A Tabela 1 reúne os dados ambientais referentes a qualidade da água, morfometria e estrutura do habitat das unidades amostrais dos riachos Caiana e Barro Branco.</w:t>
      </w:r>
    </w:p>
    <w:p>
      <w:pPr>
        <w:pStyle w:val="TextBody"/>
      </w:pPr>
      <w:r>
        <w:t xml:space="preserve">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entre 4,9 (P02 e P03) a 21,5 NTU (P06). As velocidades médias da água foram baixas e semelhantes entre os riachos Caiana (0 a 0,41 m/s) e Barro Branco (0,04 a 0,26 m/s). Em relação à morfometria, a elevação das UAs variaram entre 41,5 e 112,8 m, enquanto o declive oscilou entre 1,0 a 3,5%. A largura média dos pontos variaram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galhos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galhos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galhos,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 A PERMANOVA indicou diferenças significativas nas características ambientais entre os riachos Caiana e Barro Branco (pseudo-F</w:t>
      </w:r>
      <w:r>
        <w:rPr>
          <w:vertAlign w:val="subscript"/>
        </w:rPr>
        <w:t xml:space="preserve">1,86</w:t>
      </w:r>
      <w:r>
        <w:t xml:space="preserve"> </w:t>
      </w:r>
      <w:r>
        <w:t xml:space="preserve">= 8,4; R² = 0,082; p = 0,001). Em relação à variação temporal, embora a PCA não tenha evidenciado uma clara separação visual entre as UAs nos períodos seco e chuvoso, a PERMANOVA detectou diferenças significativas entre os períodos (pseudo-F</w:t>
      </w:r>
      <w:r>
        <w:rPr>
          <w:vertAlign w:val="subscript"/>
        </w:rPr>
        <w:t xml:space="preserve">1,86</w:t>
      </w:r>
      <w:r>
        <w:t xml:space="preserve"> </w:t>
      </w:r>
      <w:r>
        <w:t xml:space="preserve">= 4,2; R² = 0,041; p = 0,006). Também foi identificada interação entre os períodos de amostragem e os riachos (pseudo-F</w:t>
      </w:r>
      <w:r>
        <w:rPr>
          <w:vertAlign w:val="subscript"/>
        </w:rPr>
        <w:t xml:space="preserve">1,86</w:t>
      </w:r>
      <w:r>
        <w:t xml:space="preserve"> </w:t>
      </w:r>
      <w:r>
        <w:t xml:space="preserve">= 2,76; R² = 0,027; p = 0,036), indicando que o período sobre as variáveis ambientais diferiram. O modelo completo explicou aproximadamente 15,19% da variação total dos dados, enquanto 84,80% corresponderam à variação residual.</w:t>
      </w:r>
    </w:p>
    <w:bookmarkEnd w:id="25"/>
    <w:bookmarkStart w:id="26" w:name="descrição-da-comunidade-zooplanctônica"/>
    <w:p>
      <w:pPr>
        <w:pStyle w:val="Heading2"/>
      </w:pPr>
      <w:r>
        <w:t xml:space="preserve">3.2 Descrição da comunidade zooplanctônica</w:t>
      </w:r>
    </w:p>
    <w:p>
      <w:pPr>
        <w:pStyle w:val="FirstParagraph"/>
      </w:pPr>
      <w:r>
        <w:t xml:space="preserve">O presente estudo registrou 56 táxons pertencentes aos grupos Rotifera, Cladocera e Copepoda, distribuídos entre os riachos Barro Branco e Caiana, durante os períodos seco e chuvoso (Tabela 2). No total, foram contabilizadas 39 espécies de Rotifera, 12 de Cladocera e 4 de Copepoda, incluindo estágios juvenis, como náuplios e copepoditos.</w:t>
      </w:r>
    </w:p>
    <w:p>
      <w:pPr>
        <w:pStyle w:val="TextBody"/>
      </w:pPr>
      <w:r>
        <w:t xml:space="preserve">Foram identificadas 14 famílias de Rotifera, sendo Lecanidae a mais representativa em ambos os períodos amostrais, com 15 espécies registradas. Lepadellidae e Synchaetidae apresentaram 4 espécies, seguidas por Brachionidae e Mytilinidae, com 3 espécies cada. As demais famílias não apresentaram mais do que 3 espécies. Considerando ambos os riachos e períodos, Bdelloidea foi o táxon mais abundante, com um total de 6,194 indivíduos, seguido pelas espécies</w:t>
      </w:r>
      <w:r>
        <w:t xml:space="preserve"> </w:t>
      </w:r>
      <w:r>
        <w:rPr>
          <w:i/>
          <w:iCs/>
        </w:rPr>
        <w:t xml:space="preserve">Lecane curvicornis</w:t>
      </w:r>
      <w:r>
        <w:t xml:space="preserve"> </w:t>
      </w:r>
      <w:r>
        <w:t xml:space="preserve">(Murray, 1913) (626 indivíduos),</w:t>
      </w:r>
      <w:r>
        <w:t xml:space="preserve"> </w:t>
      </w:r>
      <w:r>
        <w:rPr>
          <w:i/>
          <w:iCs/>
        </w:rPr>
        <w:t xml:space="preserve">Platyias quadricornis</w:t>
      </w:r>
      <w:r>
        <w:t xml:space="preserve"> </w:t>
      </w:r>
      <w:r>
        <w:t xml:space="preserve">(Ehrenberg, 1832) (391 indivíduos),</w:t>
      </w:r>
      <w:r>
        <w:t xml:space="preserve"> </w:t>
      </w:r>
      <w:r>
        <w:rPr>
          <w:i/>
          <w:iCs/>
        </w:rPr>
        <w:t xml:space="preserve">Brachionus patulus</w:t>
      </w:r>
      <w:r>
        <w:t xml:space="preserve"> </w:t>
      </w:r>
      <w:r>
        <w:t xml:space="preserve">Müller, 1786 (227 indivíduos) e</w:t>
      </w:r>
      <w:r>
        <w:t xml:space="preserve"> </w:t>
      </w:r>
      <w:r>
        <w:rPr>
          <w:i/>
          <w:iCs/>
        </w:rPr>
        <w:t xml:space="preserve">Lecane luna</w:t>
      </w:r>
      <w:r>
        <w:t xml:space="preserve"> </w:t>
      </w:r>
      <w:r>
        <w:t xml:space="preserve">(Müller, 1776) (206 indivíduos). Com exceção de</w:t>
      </w:r>
      <w:r>
        <w:t xml:space="preserve"> </w:t>
      </w:r>
      <w:r>
        <w:rPr>
          <w:i/>
          <w:iCs/>
        </w:rPr>
        <w:t xml:space="preserve">B. patulus</w:t>
      </w:r>
      <w:r>
        <w:t xml:space="preserve">, todas as espécies citadas anteriormente apresentaram 100% de frequência de ocorrência. O mesmo padrão foi observado para</w:t>
      </w:r>
      <w:r>
        <w:t xml:space="preserve"> </w:t>
      </w:r>
      <w:r>
        <w:rPr>
          <w:i/>
          <w:iCs/>
        </w:rPr>
        <w:t xml:space="preserve">Lecane bulla</w:t>
      </w:r>
      <w:r>
        <w:t xml:space="preserve"> </w:t>
      </w:r>
      <w:r>
        <w:t xml:space="preserve">(Gosse, 1851),</w:t>
      </w:r>
      <w:r>
        <w:t xml:space="preserve"> </w:t>
      </w:r>
      <w:r>
        <w:rPr>
          <w:i/>
          <w:iCs/>
        </w:rPr>
        <w:t xml:space="preserve">Lecane cornuta</w:t>
      </w:r>
      <w:r>
        <w:t xml:space="preserve"> </w:t>
      </w:r>
      <w:r>
        <w:t xml:space="preserve">(Müller, 1786), Lecane crepida Harring, 1914, Lecane leontina (Turner, 1892),</w:t>
      </w:r>
      <w:r>
        <w:t xml:space="preserve"> </w:t>
      </w:r>
      <w:r>
        <w:rPr>
          <w:i/>
          <w:iCs/>
        </w:rPr>
        <w:t xml:space="preserve">Lecane lunaris</w:t>
      </w:r>
      <w:r>
        <w:t xml:space="preserve"> </w:t>
      </w:r>
      <w:r>
        <w:t xml:space="preserve">(Ehrenberg, 1832) e</w:t>
      </w:r>
      <w:r>
        <w:t xml:space="preserve"> </w:t>
      </w:r>
      <w:r>
        <w:rPr>
          <w:i/>
          <w:iCs/>
        </w:rPr>
        <w:t xml:space="preserve">Testudinella patina</w:t>
      </w:r>
      <w:r>
        <w:t xml:space="preserve"> </w:t>
      </w:r>
      <w:r>
        <w:t xml:space="preserve">(Hermann, 1783).</w:t>
      </w:r>
    </w:p>
    <w:p>
      <w:pPr>
        <w:pStyle w:val="TextBody"/>
      </w:pPr>
      <w:r>
        <w:t xml:space="preserve">Dentre os Cladocera, Chydoridae foi a a família com maior riqueza encontrada, totalizando 5 espécies, seguida por Macrothricidae, com 3 espécies e Sididae, com 2 espécies.</w:t>
      </w:r>
      <w:r>
        <w:t xml:space="preserve"> </w:t>
      </w:r>
      <w:r>
        <w:rPr>
          <w:i/>
          <w:iCs/>
        </w:rPr>
        <w:t xml:space="preserve">Alonella dadayi</w:t>
      </w:r>
      <w:r>
        <w:t xml:space="preserve"> </w:t>
      </w:r>
      <w:r>
        <w:t xml:space="preserve">Birge, 1910 foi a espécie mais representativa, com 1,051 indivíduos e 100% de frequência de ocorrência. Já</w:t>
      </w:r>
      <w:r>
        <w:t xml:space="preserve"> </w:t>
      </w:r>
      <w:r>
        <w:rPr>
          <w:i/>
          <w:iCs/>
        </w:rPr>
        <w:t xml:space="preserve">Chydorus sp</w:t>
      </w:r>
      <w:r>
        <w:t xml:space="preserve">. apresentou 836 indivíduos, embora tenha ocorrido em apenas 75,0% das UAs. As espécies</w:t>
      </w:r>
      <w:r>
        <w:t xml:space="preserve"> </w:t>
      </w:r>
      <w:r>
        <w:rPr>
          <w:i/>
          <w:iCs/>
        </w:rPr>
        <w:t xml:space="preserve">Macrothrix mira</w:t>
      </w:r>
      <w:r>
        <w:t xml:space="preserve"> </w:t>
      </w:r>
      <w:r>
        <w:t xml:space="preserve">Smirnov 1982</w:t>
      </w:r>
      <w:r>
        <w:t xml:space="preserve"> </w:t>
      </w:r>
      <w:r>
        <w:rPr>
          <w:i/>
          <w:iCs/>
        </w:rPr>
        <w:t xml:space="preserve">Ilyocryptus spinifer</w:t>
      </w:r>
      <w:r>
        <w:t xml:space="preserve"> </w:t>
      </w:r>
      <w:r>
        <w:t xml:space="preserve">Herrick, 1882 também apresentaram frequência de ocorrência de 100%.</w:t>
      </w:r>
    </w:p>
    <w:p>
      <w:pPr>
        <w:pStyle w:val="TextBody"/>
      </w:pPr>
      <w:r>
        <w:t xml:space="preserve">Em relação aos Copepoda, foram identificadas duas famílias, Cyclopidae (Cyclopoida) com 3 espécies e Diaptomidae (Calanoida) com 1 espécie.</w:t>
      </w:r>
      <w:r>
        <w:t xml:space="preserve"> </w:t>
      </w:r>
      <w:r>
        <w:rPr>
          <w:i/>
          <w:iCs/>
        </w:rPr>
        <w:t xml:space="preserve">Paracyclops</w:t>
      </w:r>
      <w:r>
        <w:t xml:space="preserve"> </w:t>
      </w:r>
      <w:r>
        <w:t xml:space="preserve">sp. e</w:t>
      </w:r>
      <w:r>
        <w:t xml:space="preserve"> </w:t>
      </w:r>
      <w:r>
        <w:rPr>
          <w:i/>
          <w:iCs/>
        </w:rPr>
        <w:t xml:space="preserve">Mesocyclops</w:t>
      </w:r>
      <w:r>
        <w:t xml:space="preserve"> </w:t>
      </w:r>
      <w:r>
        <w:t xml:space="preserve">sp. foram os únicos táxons a apresentarem frequência de ocorrência de 100%, com 231 e 141 indivíduos registrados, respectivamente. Estágios juvenis de nauplius e copepodito foram os mais comuns nesse grupo, ocorrendo em 100% dos pontos amostrados, com um total de 2.433 e 4.061 indivíduos, respectivamente.</w:t>
      </w:r>
    </w:p>
    <w:bookmarkEnd w:id="26"/>
    <w:bookmarkStart w:id="27"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End w:id="28"/>
    <w:bookmarkStart w:id="29"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9"/>
    <w:bookmarkStart w:id="30"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0"/>
    <w:bookmarkStart w:id="31"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1"/>
    <w:bookmarkStart w:id="286" w:name="referências"/>
    <w:p>
      <w:pPr>
        <w:pStyle w:val="Heading1"/>
      </w:pPr>
      <w:r>
        <w:t xml:space="preserve">Referências</w:t>
      </w:r>
    </w:p>
    <w:bookmarkStart w:id="285"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1976. p. 165–180.</w:t>
      </w:r>
    </w:p>
    <w:bookmarkEnd w:id="33"/>
    <w:bookmarkStart w:id="35" w:name="ref-allan2007"/>
    <w:p>
      <w:pPr>
        <w:pStyle w:val="Bibliography"/>
      </w:pPr>
      <w:r>
        <w:t xml:space="preserve">ALLAN, J. David; CASTILLO, Marí M.</w:t>
      </w:r>
      <w:r>
        <w:t xml:space="preserve"> </w:t>
      </w:r>
      <w:hyperlink r:id="rId34">
        <w:r>
          <w:rPr>
            <w:rStyle w:val="Hyperlink"/>
            <w:b/>
            <w:bCs/>
          </w:rPr>
          <w:t xml:space="preserve">Stream ecology</w:t>
        </w:r>
      </w:hyperlink>
      <w:r>
        <w:t xml:space="preserve">. Dordrecht: Springer Netherlands, 2007.</w:t>
      </w:r>
    </w:p>
    <w:bookmarkEnd w:id="35"/>
    <w:bookmarkStart w:id="37" w:name="ref-allan2021"/>
    <w:p>
      <w:pPr>
        <w:pStyle w:val="Bibliography"/>
      </w:pPr>
      <w:r>
        <w:t xml:space="preserve">______; CASTILLO, María M.; CAPPS, K. A.</w:t>
      </w:r>
      <w:r>
        <w:t xml:space="preserve"> </w:t>
      </w:r>
      <w:hyperlink r:id="rId36">
        <w:r>
          <w:rPr>
            <w:rStyle w:val="Hyperlink"/>
            <w:b/>
            <w:bCs/>
          </w:rPr>
          <w:t xml:space="preserve">Stream ecology: Structure and function of running waters</w:t>
        </w:r>
      </w:hyperlink>
      <w:r>
        <w:t xml:space="preserve">. Cham: Springer International Publishing, 2021.</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38">
        <w:r>
          <w:rPr>
            <w:rStyle w:val="Hyperlink"/>
          </w:rPr>
          <w:t xml:space="preserve">http://www.scielo.br/scielo.php?script=sci_arttext&amp;pid=S0073-47212006000400009&amp;lng=pt&amp;tlng=pt</w:t>
        </w:r>
      </w:hyperlink>
      <w:r>
        <w:t xml:space="preserve">&gt;.</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0">
        <w:r>
          <w:rPr>
            <w:rStyle w:val="Hyperlink"/>
          </w:rPr>
          <w:t xml:space="preserve">http://www.scielo.br/scielo.php?script=sci_arttext&amp;pid=S1519-69842009000100007&amp;lng=en&amp;tlng=en</w:t>
        </w:r>
      </w:hyperlink>
      <w:r>
        <w:t xml:space="preserve">&gt;.</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2">
        <w:r>
          <w:rPr>
            <w:rStyle w:val="Hyperlink"/>
          </w:rPr>
          <w:t xml:space="preserve">https://linkinghub.elsevier.com/retrieve/pii/S1944398625000074</w:t>
        </w:r>
      </w:hyperlink>
      <w:r>
        <w:t xml:space="preserve">&gt;.</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4">
        <w:r>
          <w:rPr>
            <w:rStyle w:val="Hyperlink"/>
          </w:rPr>
          <w:t xml:space="preserve">https://doi.org/10.59360/ouricuri.vol6.i2.a3168</w:t>
        </w:r>
      </w:hyperlink>
      <w:r>
        <w:t xml:space="preserve">&gt;.</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6">
        <w:r>
          <w:rPr>
            <w:rStyle w:val="Hyperlink"/>
          </w:rPr>
          <w:t xml:space="preserve">https://link.springer.com/10.1007/s13157-011-0178-3</w:t>
        </w:r>
      </w:hyperlink>
      <w:r>
        <w:t xml:space="preserve">&gt;.</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48">
        <w:r>
          <w:rPr>
            <w:rStyle w:val="Hyperlink"/>
          </w:rPr>
          <w:t xml:space="preserve">https://linkinghub.elsevier.com/retrieve/pii/S0013935122008908</w:t>
        </w:r>
      </w:hyperlink>
      <w:r>
        <w:t xml:space="preserve">&gt;.</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1">
        <w:r>
          <w:rPr>
            <w:rStyle w:val="Hyperlink"/>
          </w:rPr>
          <w:t xml:space="preserve">https://linkinghub.elsevier.com/retrieve/pii/S0075951124000239</w:t>
        </w:r>
      </w:hyperlink>
      <w:r>
        <w:t xml:space="preserve">&gt;.</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3">
        <w:r>
          <w:rPr>
            <w:rStyle w:val="Hyperlink"/>
          </w:rPr>
          <w:t xml:space="preserve">https://onlinelibrary.wiley.com/doi/10.1111/j.1466-8238.2009.00490.x</w:t>
        </w:r>
      </w:hyperlink>
      <w:r>
        <w:t xml:space="preserve">&gt;.</w:t>
      </w:r>
    </w:p>
    <w:bookmarkEnd w:id="54"/>
    <w:bookmarkStart w:id="56"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5">
        <w:r>
          <w:rPr>
            <w:rStyle w:val="Hyperlink"/>
          </w:rPr>
          <w:t xml:space="preserve">https://onlinelibrary.wiley.com/doi/10.1111/j.1466-8238.2011.00756.x</w:t>
        </w:r>
      </w:hyperlink>
      <w:r>
        <w:t xml:space="preserve">&gt;.</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57">
        <w:r>
          <w:rPr>
            <w:rStyle w:val="Hyperlink"/>
          </w:rPr>
          <w:t xml:space="preserve">https://onlinelibrary.wiley.com/doi/10.2307/3235592</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7">
        <w:r>
          <w:rPr>
            <w:rStyle w:val="Hyperlink"/>
          </w:rPr>
          <w:t xml:space="preserve">https://www.journals.uchicago.edu/doi/10.1086/378901</w:t>
        </w:r>
      </w:hyperlink>
      <w:r>
        <w:t xml:space="preserve">&gt;.</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89">
        <w:r>
          <w:rPr>
            <w:rStyle w:val="Hyperlink"/>
          </w:rPr>
          <w:t xml:space="preserve">http://www.nrcresearchpress.com/doi/10.1139/f88-120</w:t>
        </w:r>
      </w:hyperlink>
      <w:r>
        <w:t xml:space="preserve">&gt;.</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1">
        <w:r>
          <w:rPr>
            <w:rStyle w:val="Hyperlink"/>
          </w:rPr>
          <w:t xml:space="preserve">http://link.springer.com/10.2478/s11756-013-0170-x</w:t>
        </w:r>
      </w:hyperlink>
      <w:r>
        <w:t xml:space="preserve">&gt;.</w:t>
      </w:r>
    </w:p>
    <w:bookmarkEnd w:id="92"/>
    <w:bookmarkStart w:id="94"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3">
        <w:r>
          <w:rPr>
            <w:rStyle w:val="Hyperlink"/>
          </w:rPr>
          <w:t xml:space="preserve">http://link.springer.com/10.1007/s10750-009-0036-y</w:t>
        </w:r>
      </w:hyperlink>
      <w:r>
        <w:t xml:space="preserve">&gt;.</w:t>
      </w:r>
    </w:p>
    <w:bookmarkEnd w:id="94"/>
    <w:bookmarkStart w:id="96"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5">
        <w:r>
          <w:rPr>
            <w:rStyle w:val="Hyperlink"/>
          </w:rPr>
          <w:t xml:space="preserve">https://revistas.ufrj.br/index.php/oa/article/view/8270</w:t>
        </w:r>
      </w:hyperlink>
      <w:r>
        <w:t xml:space="preserve">&gt;.</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7">
        <w:r>
          <w:rPr>
            <w:rStyle w:val="Hyperlink"/>
          </w:rPr>
          <w:t xml:space="preserve">http://link.springer.com/10.1007/s10933-011-9539-4</w:t>
        </w:r>
      </w:hyperlink>
      <w:r>
        <w:t xml:space="preserve">&gt;.</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99">
        <w:r>
          <w:rPr>
            <w:rStyle w:val="Hyperlink"/>
          </w:rPr>
          <w:t xml:space="preserve">https://academic.oup.com/plankt/article/43/6/894/6377519</w:t>
        </w:r>
      </w:hyperlink>
      <w:r>
        <w:t xml:space="preserve">&gt;.</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2">
        <w:r>
          <w:rPr>
            <w:rStyle w:val="Hyperlink"/>
          </w:rPr>
          <w:t xml:space="preserve">https://www.epa.gov/system/files/documents/2021-08/lg402a.v15-zooplankton-sampling_rfa.pdf</w:t>
        </w:r>
      </w:hyperlink>
      <w:r>
        <w:t xml:space="preserve">&gt;.</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[s.n.], 1998.</w:t>
      </w:r>
    </w:p>
    <w:bookmarkEnd w:id="104"/>
    <w:bookmarkStart w:id="105" w:name="ref-esteves2011"/>
    <w:p>
      <w:pPr>
        <w:pStyle w:val="Bibliography"/>
      </w:pPr>
      <w:r>
        <w:t xml:space="preserve">______.</w:t>
      </w:r>
      <w:r>
        <w:t xml:space="preserve"> </w:t>
      </w:r>
      <w:r>
        <w:rPr>
          <w:b/>
          <w:bCs/>
        </w:rPr>
        <w:t xml:space="preserve">Fundamentos de Limnologia</w:t>
      </w:r>
      <w:r>
        <w:t xml:space="preserve">. Rio de Janeiro: [s.n.],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06">
        <w:r>
          <w:rPr>
            <w:rStyle w:val="Hyperlink"/>
          </w:rPr>
          <w:t xml:space="preserve">https://www.tandfonline.com/doi/full/10.1080/20442041.2020.1738841</w:t>
        </w:r>
      </w:hyperlink>
      <w:r>
        <w:t xml:space="preserve">&gt;.</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0"/>
    <w:bookmarkStart w:id="121" w:name="ref-fryer1968"/>
    <w:p>
      <w:pPr>
        <w:pStyle w:val="Bibliography"/>
      </w:pPr>
      <w:r>
        <w:t xml:space="preserve">FRYER, G. Evolution and Adaptive Radiation in the Chydoridae (Crustacea: Cladocera): A Study in Comparative Functional Morphology and Ecology. 1968. p. 221–385.</w:t>
      </w:r>
    </w:p>
    <w:bookmarkEnd w:id="121"/>
    <w:bookmarkStart w:id="123"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2">
        <w:r>
          <w:rPr>
            <w:rStyle w:val="Hyperlink"/>
          </w:rPr>
          <w:t xml:space="preserve">http://www.jstor.org/stable/2418233</w:t>
        </w:r>
      </w:hyperlink>
      <w:r>
        <w:t xml:space="preserve">&gt;.</w:t>
      </w:r>
    </w:p>
    <w:bookmarkEnd w:id="123"/>
    <w:bookmarkStart w:id="124" w:name="ref-fulone2008"/>
    <w:p>
      <w:pPr>
        <w:pStyle w:val="Bibliography"/>
      </w:pPr>
      <w:r>
        <w:t xml:space="preserve">FULONE, L. J. Influence of depth and rainfall on testate amoebae (Protozoa-Rhizopoda) composition from two streams in northwestern São Paulo state. 2008. p. 29–34.</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5">
        <w:r>
          <w:rPr>
            <w:rStyle w:val="Hyperlink"/>
          </w:rPr>
          <w:t xml:space="preserve">https://biblioteca.uepb.edu.br/integridade-cientifica-e-uso-de-inteligencia-artificial-uepb-e-cnpq-estabelecem-novas-diretrizes/</w:t>
        </w:r>
      </w:hyperlink>
      <w:r>
        <w:t xml:space="preserve">&gt;.</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3">
        <w:r>
          <w:rPr>
            <w:rStyle w:val="Hyperlink"/>
          </w:rPr>
          <w:t xml:space="preserve">https://checklist.pensoft.net/articles.php?id=21379</w:t>
        </w:r>
      </w:hyperlink>
      <w:r>
        <w:t xml:space="preserve">&gt;.</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5">
        <w:r>
          <w:rPr>
            <w:rStyle w:val="Hyperlink"/>
          </w:rPr>
          <w:t xml:space="preserve">http://www.scielo.br/scielo.php?script=sci_arttext&amp;pid=S2179-975X2024000100728&amp;tlng=en</w:t>
        </w:r>
      </w:hyperlink>
      <w:r>
        <w:t xml:space="preserve">&gt;.</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7">
        <w:r>
          <w:rPr>
            <w:rStyle w:val="Hyperlink"/>
          </w:rPr>
          <w:t xml:space="preserve">https://onlinelibrary.wiley.com/doi/10.1002/ece3.834</w:t>
        </w:r>
      </w:hyperlink>
      <w:r>
        <w:t xml:space="preserve">&gt;.</w:t>
      </w:r>
    </w:p>
    <w:bookmarkEnd w:id="138"/>
    <w:bookmarkStart w:id="140" w:name="ref-hair2021"/>
    <w:p>
      <w:pPr>
        <w:pStyle w:val="Bibliography"/>
      </w:pPr>
      <w:r>
        <w:t xml:space="preserve">HAIR, J. F.</w:t>
      </w:r>
      <w:r>
        <w:t xml:space="preserve"> </w:t>
      </w:r>
      <w:r>
        <w:rPr>
          <w:i/>
          <w:iCs/>
        </w:rPr>
        <w:t xml:space="preserve">et al.</w:t>
      </w:r>
      <w:r>
        <w:t xml:space="preserve"> </w:t>
      </w:r>
      <w:hyperlink r:id="rId139">
        <w:r>
          <w:rPr>
            <w:rStyle w:val="Hyperlink"/>
          </w:rPr>
          <w:t xml:space="preserve">Overview of r and RStudio</w:t>
        </w:r>
      </w:hyperlink>
      <w:r>
        <w:t xml:space="preserve">. Cham: Springer International Publishing, 2021, p. 31–47.</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1">
        <w:r>
          <w:rPr>
            <w:rStyle w:val="Hyperlink"/>
          </w:rPr>
          <w:t xml:space="preserve">https://aslopubs.onlinelibrary.wiley.com/doi/10.4319/lo.1973.18.2.0331</w:t>
        </w:r>
      </w:hyperlink>
      <w:r>
        <w:t xml:space="preserve">&gt;.</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3">
        <w:r>
          <w:rPr>
            <w:rStyle w:val="Hyperlink"/>
          </w:rPr>
          <w:t xml:space="preserve">https://onlinelibrary.wiley.com/doi/10.1111/j.1365-2427.2011.02610.x</w:t>
        </w:r>
      </w:hyperlink>
      <w:r>
        <w:t xml:space="preserve">&gt;.</w:t>
      </w:r>
    </w:p>
    <w:bookmarkEnd w:id="144"/>
    <w:bookmarkStart w:id="146"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5">
        <w:r>
          <w:rPr>
            <w:rStyle w:val="Hyperlink"/>
          </w:rPr>
          <w:t xml:space="preserve">https://www.journals.uchicago.edu/doi/10.1899/12-083.1</w:t>
        </w:r>
      </w:hyperlink>
      <w:r>
        <w:t xml:space="preserve">&gt;.</w:t>
      </w:r>
    </w:p>
    <w:bookmarkEnd w:id="146"/>
    <w:bookmarkStart w:id="148"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7">
        <w:r>
          <w:rPr>
            <w:rStyle w:val="Hyperlink"/>
          </w:rPr>
          <w:t xml:space="preserve">https://onlinelibrary.wiley.com/doi/10.1111/fwb.12533</w:t>
        </w:r>
      </w:hyperlink>
      <w:r>
        <w:t xml:space="preserve">&gt;.</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9">
        <w:r>
          <w:rPr>
            <w:rStyle w:val="Hyperlink"/>
          </w:rPr>
          <w:t xml:space="preserve">https://cran.r-project.org/web/packages/FactoMineR/index.html</w:t>
        </w:r>
      </w:hyperlink>
      <w:r>
        <w:t xml:space="preserve">&gt;.</w:t>
      </w:r>
    </w:p>
    <w:bookmarkEnd w:id="150"/>
    <w:bookmarkStart w:id="152" w:name="ref-inpe2022"/>
    <w:p>
      <w:pPr>
        <w:pStyle w:val="Bibliography"/>
      </w:pPr>
      <w:r>
        <w:t xml:space="preserve">INPE.</w:t>
      </w:r>
      <w:r>
        <w:t xml:space="preserve"> </w:t>
      </w:r>
      <w:r>
        <w:rPr>
          <w:b/>
          <w:bCs/>
        </w:rPr>
        <w:t xml:space="preserve">Mata atlântica</w:t>
      </w:r>
      <w:r>
        <w:rPr>
          <w:b/>
          <w:bCs/>
        </w:rPr>
        <w:t xml:space="preserve"> </w:t>
      </w:r>
      <w:r>
        <w:rPr>
          <w:b/>
          <w:bCs/>
        </w:rPr>
        <w:t xml:space="preserve"> </w:t>
      </w:r>
      <w:r>
        <w:rPr>
          <w:b/>
          <w:bCs/>
        </w:rPr>
        <w:t xml:space="preserve">biome border</w:t>
      </w:r>
      <w:r>
        <w:t xml:space="preserve">. Disponível em: &lt;</w:t>
      </w:r>
      <w:hyperlink r:id="rId151">
        <w:r>
          <w:rPr>
            <w:rStyle w:val="Hyperlink"/>
          </w:rPr>
          <w:t xml:space="preserve">https://terrabrasilis.dpi.inpe.br/download/dataset/mata-atlantica-aux/vector/biome_border.zip</w:t>
        </w:r>
      </w:hyperlink>
      <w:r>
        <w:t xml:space="preserve">&gt;.</w:t>
      </w:r>
    </w:p>
    <w:bookmarkEnd w:id="152"/>
    <w:bookmarkStart w:id="154"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3">
        <w:r>
          <w:rPr>
            <w:rStyle w:val="Hyperlink"/>
          </w:rPr>
          <w:t xml:space="preserve">http://periodicos.uem.br/ojs/index.php/ActaSciBiolSci/article/view/3636</w:t>
        </w:r>
      </w:hyperlink>
      <w:r>
        <w:t xml:space="preserve">&gt;.</w:t>
      </w:r>
    </w:p>
    <w:bookmarkEnd w:id="154"/>
    <w:bookmarkStart w:id="155"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5"/>
    <w:bookmarkStart w:id="157"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6">
        <w:r>
          <w:rPr>
            <w:rStyle w:val="Hyperlink"/>
          </w:rPr>
          <w:t xml:space="preserve">http://doi.wiley.com/10.1890/06-1736.1</w:t>
        </w:r>
      </w:hyperlink>
      <w:r>
        <w:t xml:space="preserve">&gt;.</w:t>
      </w:r>
    </w:p>
    <w:bookmarkEnd w:id="157"/>
    <w:bookmarkStart w:id="159" w:name="ref-kaufman1990"/>
    <w:p>
      <w:pPr>
        <w:pStyle w:val="Bibliography"/>
      </w:pPr>
      <w:r>
        <w:t xml:space="preserve">KAUFMAN, L.; ROUSSEEUW, P. J.</w:t>
      </w:r>
      <w:r>
        <w:t xml:space="preserve"> </w:t>
      </w:r>
      <w:hyperlink r:id="rId158">
        <w:r>
          <w:rPr>
            <w:rStyle w:val="Hyperlink"/>
          </w:rPr>
          <w:t xml:space="preserve">Agglomerative nesting (program AGNES)</w:t>
        </w:r>
      </w:hyperlink>
      <w:r>
        <w:t xml:space="preserve">. Wiley series in probability and statistics. 1. ed. [S.l.]: Wiley, 1990, p. 199–252.</w:t>
      </w:r>
    </w:p>
    <w:bookmarkEnd w:id="159"/>
    <w:bookmarkStart w:id="16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60">
        <w:r>
          <w:rPr>
            <w:rStyle w:val="Hyperlink"/>
          </w:rPr>
          <w:t xml:space="preserve">http://www.scielo.br/scielo.php?script=sci_arttext&amp;pid=S0101-81752004000200011&amp;lng=en&amp;tlng=en</w:t>
        </w:r>
      </w:hyperlink>
      <w:r>
        <w:t xml:space="preserve">&gt;.</w:t>
      </w:r>
    </w:p>
    <w:bookmarkEnd w:id="161"/>
    <w:bookmarkStart w:id="16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2">
        <w:r>
          <w:rPr>
            <w:rStyle w:val="Hyperlink"/>
          </w:rPr>
          <w:t xml:space="preserve">https://connectsci.au/is/article/1/7/949/15161/Rotifera-from-Australian-inland-waters-II</w:t>
        </w:r>
      </w:hyperlink>
      <w:r>
        <w:t xml:space="preserve">&gt;.</w:t>
      </w:r>
    </w:p>
    <w:bookmarkEnd w:id="163"/>
    <w:bookmarkStart w:id="16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4">
        <w:r>
          <w:rPr>
            <w:rStyle w:val="Hyperlink"/>
          </w:rPr>
          <w:t xml:space="preserve">http://link.springer.com/10.1007/s10750-005-4289-9</w:t>
        </w:r>
      </w:hyperlink>
      <w:r>
        <w:t xml:space="preserve">&gt;.</w:t>
      </w:r>
    </w:p>
    <w:bookmarkEnd w:id="165"/>
    <w:bookmarkStart w:id="16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6">
        <w:r>
          <w:rPr>
            <w:rStyle w:val="Hyperlink"/>
          </w:rPr>
          <w:t xml:space="preserve">https://www.jstor.org/stable/3545743?origin=crossref</w:t>
        </w:r>
      </w:hyperlink>
      <w:r>
        <w:t xml:space="preserve">&gt;.</w:t>
      </w:r>
    </w:p>
    <w:bookmarkEnd w:id="167"/>
    <w:bookmarkStart w:id="16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68">
        <w:r>
          <w:rPr>
            <w:rStyle w:val="Hyperlink"/>
          </w:rPr>
          <w:t xml:space="preserve">http://link.springer.com/10.1007/s10750-006-0354-2</w:t>
        </w:r>
      </w:hyperlink>
      <w:r>
        <w:t xml:space="preserve">&gt;.</w:t>
      </w:r>
    </w:p>
    <w:bookmarkEnd w:id="169"/>
    <w:bookmarkStart w:id="17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70">
        <w:r>
          <w:rPr>
            <w:rStyle w:val="Hyperlink"/>
          </w:rPr>
          <w:t xml:space="preserve">https://revista.ecogestaobrasil.net/v12n30/v12n30a08a.html</w:t>
        </w:r>
      </w:hyperlink>
      <w:r>
        <w:t xml:space="preserve">&gt;.</w:t>
      </w:r>
    </w:p>
    <w:bookmarkEnd w:id="171"/>
    <w:bookmarkStart w:id="173" w:name="ref-ligeiro2010"/>
    <w:p>
      <w:pPr>
        <w:pStyle w:val="Bibliography"/>
      </w:pPr>
      <w:r>
        <w:t xml:space="preserve">LIGEIRO, R.; MELO, Adriano S.; CALLISTO, M.</w:t>
      </w:r>
      <w:r>
        <w:t xml:space="preserve"> </w:t>
      </w:r>
      <w:hyperlink r:id="rId17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3"/>
    <w:bookmarkStart w:id="17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4"/>
    <w:bookmarkStart w:id="17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5">
        <w:r>
          <w:rPr>
            <w:rStyle w:val="Hyperlink"/>
          </w:rPr>
          <w:t xml:space="preserve">https://dx.plos.org/10.1371/journal.pone.0109581</w:t>
        </w:r>
      </w:hyperlink>
      <w:r>
        <w:t xml:space="preserve">&gt;.</w:t>
      </w:r>
    </w:p>
    <w:bookmarkEnd w:id="176"/>
    <w:bookmarkStart w:id="17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7"/>
    <w:bookmarkStart w:id="179" w:name="ref-maechler2026"/>
    <w:p>
      <w:pPr>
        <w:pStyle w:val="Bibliography"/>
      </w:pPr>
      <w:r>
        <w:t xml:space="preserve">MAECHLER, M.</w:t>
      </w:r>
      <w:r>
        <w:t xml:space="preserve"> </w:t>
      </w:r>
      <w:r>
        <w:rPr>
          <w:i/>
          <w:iCs/>
        </w:rPr>
        <w:t xml:space="preserve">et al.</w:t>
      </w:r>
      <w:r>
        <w:t xml:space="preserve"> </w:t>
      </w:r>
      <w:hyperlink r:id="rId178">
        <w:r>
          <w:rPr>
            <w:rStyle w:val="Hyperlink"/>
            <w:b/>
            <w:bCs/>
          </w:rPr>
          <w:t xml:space="preserve">Cluster: Cluster analysis basics and extensions</w:t>
        </w:r>
      </w:hyperlink>
      <w:r>
        <w:t xml:space="preserve">. [S.l.]: [s.n.], 2026.</w:t>
      </w:r>
    </w:p>
    <w:bookmarkEnd w:id="179"/>
    <w:bookmarkStart w:id="181"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80">
        <w:r>
          <w:rPr>
            <w:rStyle w:val="Hyperlink"/>
          </w:rPr>
          <w:t xml:space="preserve">https://linkinghub.elsevier.com/retrieve/pii/S0960982221010393</w:t>
        </w:r>
      </w:hyperlink>
      <w:r>
        <w:t xml:space="preserve">&gt;.</w:t>
      </w:r>
    </w:p>
    <w:bookmarkEnd w:id="181"/>
    <w:bookmarkStart w:id="183" w:name="ref-maitland1990"/>
    <w:p>
      <w:pPr>
        <w:pStyle w:val="Bibliography"/>
      </w:pPr>
      <w:r>
        <w:t xml:space="preserve">MAITLAND, P. S.</w:t>
      </w:r>
      <w:r>
        <w:t xml:space="preserve"> </w:t>
      </w:r>
      <w:hyperlink r:id="rId182">
        <w:r>
          <w:rPr>
            <w:rStyle w:val="Hyperlink"/>
            <w:b/>
            <w:bCs/>
          </w:rPr>
          <w:t xml:space="preserve">Biology of fresh waters</w:t>
        </w:r>
      </w:hyperlink>
      <w:r>
        <w:t xml:space="preserve">. 1. ed. Dordrecht: Springer Netherlands, 1990.</w:t>
      </w:r>
    </w:p>
    <w:bookmarkEnd w:id="183"/>
    <w:bookmarkStart w:id="18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4">
        <w:r>
          <w:rPr>
            <w:rStyle w:val="Hyperlink"/>
          </w:rPr>
          <w:t xml:space="preserve">https://onlinelibrary.wiley.com/doi/10.1002/aqc.805</w:t>
        </w:r>
      </w:hyperlink>
      <w:r>
        <w:t xml:space="preserve">&gt;.</w:t>
      </w:r>
    </w:p>
    <w:bookmarkEnd w:id="185"/>
    <w:bookmarkStart w:id="187" w:name="ref-mapbiomas2026"/>
    <w:p>
      <w:pPr>
        <w:pStyle w:val="Bibliography"/>
      </w:pPr>
      <w:r>
        <w:t xml:space="preserve">MAPBIOMAS.</w:t>
      </w:r>
      <w:r>
        <w:t xml:space="preserve"> </w:t>
      </w:r>
      <w:r>
        <w:rPr>
          <w:b/>
          <w:bCs/>
        </w:rPr>
        <w:t xml:space="preserve">Plataforma MapBiomas brasil</w:t>
      </w:r>
      <w:r>
        <w:t xml:space="preserve">. Disponível em: &lt;</w:t>
      </w:r>
      <w:hyperlink r:id="rId186">
        <w:r>
          <w:rPr>
            <w:rStyle w:val="Hyperlink"/>
          </w:rPr>
          <w:t xml:space="preserve">https://plataforma.mapbiomas.org/projects/mapbiomas/brazil</w:t>
        </w:r>
      </w:hyperlink>
      <w:r>
        <w:t xml:space="preserve">&gt;.</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8">
        <w:r>
          <w:rPr>
            <w:rStyle w:val="Hyperlink"/>
          </w:rPr>
          <w:t xml:space="preserve">http://www.scielo.br/scielo.php?script=sci_arttext&amp;pid=S2179-975X2025000100602&amp;tlng=en</w:t>
        </w:r>
      </w:hyperlink>
      <w:r>
        <w:t xml:space="preserve">&gt;.</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92">
        <w:r>
          <w:rPr>
            <w:rStyle w:val="Hyperlink"/>
          </w:rPr>
          <w:t xml:space="preserve">https://aslopubs.onlinelibrary.wiley.com/doi/10.1002/lno.11636</w:t>
        </w:r>
      </w:hyperlink>
      <w:r>
        <w:t xml:space="preserve">&gt;.</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6">
        <w:r>
          <w:rPr>
            <w:rStyle w:val="Hyperlink"/>
          </w:rPr>
          <w:t xml:space="preserve">https://linkinghub.elsevier.com/retrieve/pii/S0043135426013783</w:t>
        </w:r>
      </w:hyperlink>
      <w:r>
        <w:t xml:space="preserve">&gt;.</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8">
        <w:r>
          <w:rPr>
            <w:rStyle w:val="Hyperlink"/>
          </w:rPr>
          <w:t xml:space="preserve">http://www.scielo.br/scielo.php?script=sci_arttext&amp;pid=S2179-975X2011000300010&amp;lng=en&amp;tlng=en</w:t>
        </w:r>
      </w:hyperlink>
      <w:r>
        <w:t xml:space="preserve">&gt;.</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200">
        <w:r>
          <w:rPr>
            <w:rStyle w:val="Hyperlink"/>
          </w:rPr>
          <w:t xml:space="preserve">https://nsojournals.onlinelibrary.wiley.com/doi/10.1111/j.1600-0587.2008.05502.x</w:t>
        </w:r>
      </w:hyperlink>
      <w:r>
        <w:t xml:space="preserve">&gt;.</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203">
        <w:r>
          <w:rPr>
            <w:rStyle w:val="Hyperlink"/>
          </w:rPr>
          <w:t xml:space="preserve">https://www.hindawi.com/journals/ijbd/2013/946361/</w:t>
        </w:r>
      </w:hyperlink>
      <w:r>
        <w:t xml:space="preserve">&gt;.</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[s.n.],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7">
        <w:r>
          <w:rPr>
            <w:rStyle w:val="Hyperlink"/>
          </w:rPr>
          <w:t xml:space="preserve">https://www.nature.com/articles/35002501</w:t>
        </w:r>
      </w:hyperlink>
      <w:r>
        <w:t xml:space="preserve">&gt;.</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10">
        <w:r>
          <w:rPr>
            <w:rStyle w:val="Hyperlink"/>
          </w:rPr>
          <w:t xml:space="preserve">http://www.teses.usp.br/teses/disponiveis/41/41134/tde-07012010-111123/</w:t>
        </w:r>
      </w:hyperlink>
      <w:r>
        <w:t xml:space="preserve">&gt;.</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12">
        <w:r>
          <w:rPr>
            <w:rStyle w:val="Hyperlink"/>
          </w:rPr>
          <w:t xml:space="preserve">https://hess.copernicus.org/articles/11/1633/2007/</w:t>
        </w:r>
      </w:hyperlink>
      <w:r>
        <w:t xml:space="preserve">&gt;.</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4">
        <w:r>
          <w:rPr>
            <w:rStyle w:val="Hyperlink"/>
          </w:rPr>
          <w:t xml:space="preserve">http://revistadae.com.br/artigos/artigo_edicao_236_n_2063.pdf</w:t>
        </w:r>
      </w:hyperlink>
      <w:r>
        <w:t xml:space="preserve">&gt;.</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6">
        <w:r>
          <w:rPr>
            <w:rStyle w:val="Hyperlink"/>
          </w:rPr>
          <w:t xml:space="preserve">http://www.scielo.br/scielo.php?script=sci_arttext&amp;pid=S1519-69842021000300701&amp;tlng=en</w:t>
        </w:r>
      </w:hyperlink>
      <w:r>
        <w:t xml:space="preserve">&gt;.</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9">
        <w:r>
          <w:rPr>
            <w:rStyle w:val="Hyperlink"/>
          </w:rPr>
          <w:t xml:space="preserve">https://onlinelibrary.wiley.com/doi/10.1111/brv.12995</w:t>
        </w:r>
      </w:hyperlink>
      <w:r>
        <w:t xml:space="preserve">&gt;.</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21">
        <w:r>
          <w:rPr>
            <w:rStyle w:val="Hyperlink"/>
          </w:rPr>
          <w:t xml:space="preserve">https://link.springer.com/10.1023/A:1002935807795</w:t>
        </w:r>
      </w:hyperlink>
      <w:r>
        <w:t xml:space="preserve">&gt;.</w:t>
      </w:r>
    </w:p>
    <w:bookmarkEnd w:id="222"/>
    <w:bookmarkStart w:id="224" w:name="ref-rcoreteam2017"/>
    <w:p>
      <w:pPr>
        <w:pStyle w:val="Bibliography"/>
      </w:pPr>
      <w:r>
        <w:t xml:space="preserve">R CORE TEAM.</w:t>
      </w:r>
      <w:r>
        <w:t xml:space="preserve"> </w:t>
      </w:r>
      <w:hyperlink r:id="rId223">
        <w:r>
          <w:rPr>
            <w:rStyle w:val="Hyperlink"/>
            <w:b/>
            <w:bCs/>
          </w:rPr>
          <w:t xml:space="preserve">R: A language and environment for statistical computing</w:t>
        </w:r>
      </w:hyperlink>
      <w:r>
        <w:t xml:space="preserve">. [S.l.]: [s.n.], 2017.</w:t>
      </w:r>
    </w:p>
    <w:bookmarkEnd w:id="224"/>
    <w:bookmarkStart w:id="226" w:name="ref-ricci2001"/>
    <w:p>
      <w:pPr>
        <w:pStyle w:val="Bibliography"/>
      </w:pPr>
      <w:r>
        <w:t xml:space="preserve">RICCI, C.</w:t>
      </w:r>
      <w:r>
        <w:t xml:space="preserve"> </w:t>
      </w:r>
      <w:hyperlink r:id="rId225">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7">
        <w:r>
          <w:rPr>
            <w:rStyle w:val="Hyperlink"/>
          </w:rPr>
          <w:t xml:space="preserve">https://linkinghub.elsevier.com/retrieve/pii/S0140196312001292</w:t>
        </w:r>
      </w:hyperlink>
      <w:r>
        <w:t xml:space="preserve">&gt;.</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9">
        <w:r>
          <w:rPr>
            <w:rStyle w:val="Hyperlink"/>
          </w:rPr>
          <w:t xml:space="preserve">https://linkinghub.elsevier.com/retrieve/pii/S0048969722004958</w:t>
        </w:r>
      </w:hyperlink>
      <w:r>
        <w:t xml:space="preserve">&gt;.</w:t>
      </w:r>
    </w:p>
    <w:bookmarkEnd w:id="230"/>
    <w:bookmarkStart w:id="232" w:name="ref-rstudioteam2022"/>
    <w:p>
      <w:pPr>
        <w:pStyle w:val="Bibliography"/>
      </w:pPr>
      <w:r>
        <w:t xml:space="preserve">RSTUDIO TEAM.</w:t>
      </w:r>
      <w:r>
        <w:t xml:space="preserve"> </w:t>
      </w:r>
      <w:hyperlink r:id="rId231">
        <w:r>
          <w:rPr>
            <w:rStyle w:val="Hyperlink"/>
            <w:b/>
            <w:bCs/>
          </w:rPr>
          <w:t xml:space="preserve">RStudio: Integrated development environment for r</w:t>
        </w:r>
      </w:hyperlink>
      <w:r>
        <w:t xml:space="preserve">. [S.l.]: [s.n.], 2022.</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33">
        <w:r>
          <w:rPr>
            <w:rStyle w:val="Hyperlink"/>
          </w:rPr>
          <w:t xml:space="preserve">https://linkinghub.elsevier.com/retrieve/pii/S0378112719319267</w:t>
        </w:r>
      </w:hyperlink>
      <w:r>
        <w:t xml:space="preserve">&gt;.</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5">
        <w:r>
          <w:rPr>
            <w:rStyle w:val="Hyperlink"/>
          </w:rPr>
          <w:t xml:space="preserve">http://www.scielo.br/scielo.php?script=sci_arttext&amp;pid=S2179-975X2025000101202&amp;tlng=en</w:t>
        </w:r>
      </w:hyperlink>
      <w:r>
        <w:t xml:space="preserve">&gt;.</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7">
        <w:r>
          <w:rPr>
            <w:rStyle w:val="Hyperlink"/>
          </w:rPr>
          <w:t xml:space="preserve">http://www.scielo.br/scielo.php?script=sci_arttext&amp;pid=S1519-69842002000400016&amp;lng=en&amp;tlng=en</w:t>
        </w:r>
      </w:hyperlink>
      <w:r>
        <w:t xml:space="preserve">&gt;.</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9">
        <w:r>
          <w:rPr>
            <w:rStyle w:val="Hyperlink"/>
          </w:rPr>
          <w:t xml:space="preserve">https://journalofinequalitiesandapplications.springeropen.com/articles/10.1186/1029-242X-2013-203</w:t>
        </w:r>
      </w:hyperlink>
      <w:r>
        <w:t xml:space="preserve">&gt;.</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42">
        <w:r>
          <w:rPr>
            <w:rStyle w:val="Hyperlink"/>
          </w:rPr>
          <w:t xml:space="preserve">https://onlinelibrary.wiley.com/doi/10.1002/rra.3344</w:t>
        </w:r>
      </w:hyperlink>
      <w:r>
        <w:t xml:space="preserve">&gt;.</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5">
        <w:r>
          <w:rPr>
            <w:rStyle w:val="Hyperlink"/>
          </w:rPr>
          <w:t xml:space="preserve">http://doi.wiley.com/10.1890/0012-9658(2000)081[3062:LARZSR]2.0.CO;2</w:t>
        </w:r>
      </w:hyperlink>
      <w:r>
        <w:t xml:space="preserve">&gt;.</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9">
        <w:r>
          <w:rPr>
            <w:rStyle w:val="Hyperlink"/>
          </w:rPr>
          <w:t xml:space="preserve">https://www.brazilianjournals.com/index.php/BRJD/article/view/17871/14474</w:t>
        </w:r>
      </w:hyperlink>
      <w:r>
        <w:t xml:space="preserve">&gt;.</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52">
        <w:r>
          <w:rPr>
            <w:rStyle w:val="Hyperlink"/>
          </w:rPr>
          <w:t xml:space="preserve">http://www.scielo.br/scielo.php?script=sci_arttext&amp;pid=S1676-06032011000200038&amp;lng=pt&amp;tlng=pt</w:t>
        </w:r>
      </w:hyperlink>
      <w:r>
        <w:t xml:space="preserve">&gt;.</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4">
        <w:r>
          <w:rPr>
            <w:rStyle w:val="Hyperlink"/>
          </w:rPr>
          <w:t xml:space="preserve">https://onlinelibrary.wiley.com/doi/10.2307/1217208</w:t>
        </w:r>
      </w:hyperlink>
      <w:r>
        <w:t xml:space="preserve">&gt;.</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6">
        <w:r>
          <w:rPr>
            <w:rStyle w:val="Hyperlink"/>
          </w:rPr>
          <w:t xml:space="preserve">https://academic.oup.com/plankt/article-lookup/doi/10.1093/plankt/fbn032</w:t>
        </w:r>
      </w:hyperlink>
      <w:r>
        <w:t xml:space="preserve">&gt;.</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8">
        <w:r>
          <w:rPr>
            <w:rStyle w:val="Hyperlink"/>
          </w:rPr>
          <w:t xml:space="preserve">http://www.scielo.br/scielo.php?script=sci_arttext&amp;pid=S2179-975X2025000101204&amp;tlng=en</w:t>
        </w:r>
      </w:hyperlink>
      <w:r>
        <w:t xml:space="preserve">&gt;.</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60">
        <w:r>
          <w:rPr>
            <w:rStyle w:val="Hyperlink"/>
          </w:rPr>
          <w:t xml:space="preserve">https://pubs.geoscienceworld.org/gsabulletin/article/63/9/923-938/4513</w:t>
        </w:r>
      </w:hyperlink>
      <w:r>
        <w:t xml:space="preserve">&gt;.</w:t>
      </w:r>
    </w:p>
    <w:bookmarkEnd w:id="261"/>
    <w:bookmarkStart w:id="263"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62">
        <w:r>
          <w:rPr>
            <w:rStyle w:val="Hyperlink"/>
          </w:rPr>
          <w:t xml:space="preserve">https://agupubs.onlinelibrary.wiley.com/doi/10.1029/TR038i006p00913</w:t>
        </w:r>
      </w:hyperlink>
      <w:r>
        <w:t xml:space="preserve">&gt;.</w:t>
      </w:r>
    </w:p>
    <w:bookmarkEnd w:id="263"/>
    <w:bookmarkStart w:id="264"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5">
        <w:r>
          <w:rPr>
            <w:rStyle w:val="Hyperlink"/>
          </w:rPr>
          <w:t xml:space="preserve">http://www.scielo.br/scielo.php?script=sci_arttext&amp;pid=S1676-06032009000100012&amp;lng=pt&amp;tlng=pt</w:t>
        </w:r>
      </w:hyperlink>
      <w:r>
        <w:t xml:space="preserve">&gt;.</w:t>
      </w:r>
    </w:p>
    <w:bookmarkEnd w:id="266"/>
    <w:bookmarkStart w:id="268"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7">
        <w:r>
          <w:rPr>
            <w:rStyle w:val="Hyperlink"/>
          </w:rPr>
          <w:t xml:space="preserve">https://linkinghub.elsevier.com/retrieve/pii/S0006320710000443</w:t>
        </w:r>
      </w:hyperlink>
      <w:r>
        <w:t xml:space="preserve">&gt;.</w:t>
      </w:r>
    </w:p>
    <w:bookmarkEnd w:id="268"/>
    <w:bookmarkStart w:id="269"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71">
        <w:r>
          <w:rPr>
            <w:rStyle w:val="Hyperlink"/>
          </w:rPr>
          <w:t xml:space="preserve">http://link.springer.com/10.1007/s00442-010-1812-0</w:t>
        </w:r>
      </w:hyperlink>
      <w:r>
        <w:t xml:space="preserve">&gt;.</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73">
        <w:r>
          <w:rPr>
            <w:rStyle w:val="Hyperlink"/>
          </w:rPr>
          <w:t xml:space="preserve">https://linkinghub.elsevier.com/retrieve/pii/S0006320724000600</w:t>
        </w:r>
      </w:hyperlink>
      <w:r>
        <w:t xml:space="preserve">&gt;.</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6">
        <w:r>
          <w:rPr>
            <w:rStyle w:val="Hyperlink"/>
          </w:rPr>
          <w:t xml:space="preserve">https://linkinghub.elsevier.com/retrieve/pii/S0006320797000839</w:t>
        </w:r>
      </w:hyperlink>
      <w:r>
        <w:t xml:space="preserve">&gt;.</w:t>
      </w:r>
    </w:p>
    <w:bookmarkEnd w:id="277"/>
    <w:bookmarkStart w:id="279" w:name="ref-wetzel2001"/>
    <w:p>
      <w:pPr>
        <w:pStyle w:val="Bibliography"/>
      </w:pPr>
      <w:r>
        <w:t xml:space="preserve">WETZEL, R. G.</w:t>
      </w:r>
      <w:r>
        <w:t xml:space="preserve"> </w:t>
      </w:r>
      <w:hyperlink r:id="rId278">
        <w:r>
          <w:rPr>
            <w:rStyle w:val="Hyperlink"/>
            <w:b/>
            <w:bCs/>
          </w:rPr>
          <w:t xml:space="preserve">Limnology</w:t>
        </w:r>
      </w:hyperlink>
      <w:r>
        <w:t xml:space="preserve">. 3. ed. [S.l.]: Elsevier, 2001.</w:t>
      </w:r>
    </w:p>
    <w:bookmarkEnd w:id="279"/>
    <w:bookmarkStart w:id="281" w:name="ref-wetzel2000"/>
    <w:p>
      <w:pPr>
        <w:pStyle w:val="Bibliography"/>
      </w:pPr>
      <w:r>
        <w:t xml:space="preserve">______; LIKENS, G. E.</w:t>
      </w:r>
      <w:r>
        <w:t xml:space="preserve"> </w:t>
      </w:r>
      <w:hyperlink r:id="rId280">
        <w:r>
          <w:rPr>
            <w:rStyle w:val="Hyperlink"/>
            <w:b/>
            <w:bCs/>
          </w:rPr>
          <w:t xml:space="preserve">Limnological analyses</w:t>
        </w:r>
      </w:hyperlink>
      <w:r>
        <w:t xml:space="preserve">. New York, NY: Springer New York, 2000.</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82">
        <w:r>
          <w:rPr>
            <w:rStyle w:val="Hyperlink"/>
          </w:rPr>
          <w:t xml:space="preserve">https://onlinelibrary.wiley.com/doi/10.2307/1218190</w:t>
        </w:r>
      </w:hyperlink>
      <w:r>
        <w:t xml:space="preserve">&gt;.</w:t>
      </w:r>
    </w:p>
    <w:bookmarkEnd w:id="283"/>
    <w:bookmarkStart w:id="284" w:name="ref-zaú1998"/>
    <w:p>
      <w:pPr>
        <w:pStyle w:val="Bibliography"/>
      </w:pPr>
      <w:r>
        <w:t xml:space="preserve">ZAÚ, A. Fragmentação da Mata Atlântica: Aspectos Teóricos. 1998.</w:t>
      </w:r>
    </w:p>
    <w:bookmarkEnd w:id="284"/>
    <w:bookmarkEnd w:id="285"/>
    <w:bookmarkEnd w:id="286"/>
    <w:bookmarkStart w:id="325"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w:t>
      </w:r>
      <w:r>
        <w:t xml:space="preserve"> </w:t>
      </w:r>
      <w:r>
        <w:t xml:space="preserve">INPE (2022)</w:t>
      </w:r>
      <w:r>
        <w:t xml:space="preserve"> </w:t>
      </w:r>
      <w:r>
        <w:t xml:space="preserve">e</w:t>
      </w:r>
      <w:r>
        <w:t xml:space="preserve"> </w:t>
      </w:r>
      <w:r>
        <w:t xml:space="preserve">MAPBIOMAS (2026)</w:t>
      </w:r>
      <w:r>
        <w:t xml:space="preserve"> </w:t>
      </w:r>
      <w:r>
        <w:t xml:space="preserve">(Site 1 06°43’06”S and 35°10’54”W; Site 2 06°42’38”S and 35°10’38”W; Site 3 06°43’06”S and 35°10’54”W; Site 4 06°41’46”S and 35°10’36”W; Site 5 06°40’56”S and 35°10’27”; Site 6 06°40’18”S and 35°10’34”W).</w:t>
      </w:r>
    </w:p>
    <w:p>
      <w:pPr>
        <w:pStyle w:val="TextBody"/>
      </w:pPr>
      <w:hyperlink w:anchor="fig-modelo_escalas_espaciais">
        <w:r>
          <w:rPr>
            <w:rStyle w:val="Hyperlink"/>
          </w:rPr>
          <w:t xml:space="preserve">Figure 2</w:t>
        </w:r>
      </w:hyperlink>
      <w:r>
        <w:t xml:space="preserve">: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9"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w:t>
            </w:r>
            <w:r>
              <w:t xml:space="preserve"> </w:t>
            </w:r>
            <w:r>
              <w:t xml:space="preserve">INPE (2022)</w:t>
            </w:r>
            <w:r>
              <w:t xml:space="preserve"> </w:t>
            </w:r>
            <w:r>
              <w:t xml:space="preserve">e</w:t>
            </w:r>
            <w:r>
              <w:t xml:space="preserve"> </w:t>
            </w:r>
            <w:r>
              <w:t xml:space="preserve">MAPBIOMAS (2026)</w:t>
            </w:r>
          </w:p>
          <w:bookmarkEnd w:id="290"/>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4" w:name="fig-modelo_escalas_espaciais"/>
          <w:p>
            <w:pPr>
              <w:pStyle w:val="Compact"/>
              <w:jc w:val="center"/>
            </w:pPr>
            <w:r>
              <w:drawing>
                <wp:inline>
                  <wp:extent cx="5943600" cy="4285354"/>
                  <wp:effectExtent b="0" l="0" r="0" t="0"/>
                  <wp:docPr descr="" title="" id="292" name="Picture"/>
                  <a:graphic>
                    <a:graphicData uri="http://schemas.openxmlformats.org/drawingml/2006/picture">
                      <pic:pic>
                        <pic:nvPicPr>
                          <pic:cNvPr descr="imagens/Modelo_Escalas_Espaciais.png" id="293" name="Picture"/>
                          <pic:cNvPicPr>
                            <a:picLocks noChangeArrowheads="1" noChangeAspect="1"/>
                          </pic:cNvPicPr>
                        </pic:nvPicPr>
                        <pic:blipFill>
                          <a:blip r:embed="rId291"/>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4"/>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8" w:name="fig-hab_PCA_ref-site"/>
          <w:p>
            <w:pPr>
              <w:pStyle w:val="Compact"/>
              <w:jc w:val="center"/>
            </w:pPr>
            <w:r>
              <w:drawing>
                <wp:inline>
                  <wp:extent cx="5943600" cy="3494706"/>
                  <wp:effectExtent b="0" l="0" r="0" t="0"/>
                  <wp:docPr descr="" title="" id="296" name="Picture"/>
                  <a:graphic>
                    <a:graphicData uri="http://schemas.openxmlformats.org/drawingml/2006/picture">
                      <pic:pic>
                        <pic:nvPicPr>
                          <pic:cNvPr descr="res/fig-hab_PCA_ref-site.png" id="297" name="Picture"/>
                          <pic:cNvPicPr>
                            <a:picLocks noChangeArrowheads="1" noChangeAspect="1"/>
                          </pic:cNvPicPr>
                        </pic:nvPicPr>
                        <pic:blipFill>
                          <a:blip r:embed="rId295"/>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8"/>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302" w:name="fig-hab_PCA_ri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ri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302"/>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6" w:name="fig-hab_PCA_periodo"/>
          <w:p>
            <w:pPr>
              <w:pStyle w:val="Compact"/>
              <w:jc w:val="center"/>
            </w:pPr>
            <w:r>
              <w:drawing>
                <wp:inline>
                  <wp:extent cx="5943600" cy="4953000"/>
                  <wp:effectExtent b="0" l="0" r="0" t="0"/>
                  <wp:docPr descr="" title="" id="304" name="Picture"/>
                  <a:graphic>
                    <a:graphicData uri="http://schemas.openxmlformats.org/drawingml/2006/picture">
                      <pic:pic>
                        <pic:nvPicPr>
                          <pic:cNvPr descr="res/fig-hab_PCA_periodo.png" id="305" name="Picture"/>
                          <pic:cNvPicPr>
                            <a:picLocks noChangeArrowheads="1" noChangeAspect="1"/>
                          </pic:cNvPicPr>
                        </pic:nvPicPr>
                        <pic:blipFill>
                          <a:blip r:embed="rId30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6"/>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10" w:name="fig-rare1"/>
          <w:p>
            <w:pPr>
              <w:pStyle w:val="Compact"/>
              <w:jc w:val="center"/>
            </w:pPr>
            <w:r>
              <w:drawing>
                <wp:inline>
                  <wp:extent cx="5943600" cy="4457699"/>
                  <wp:effectExtent b="0" l="0" r="0" t="0"/>
                  <wp:docPr descr="" title="" id="308" name="Picture"/>
                  <a:graphic>
                    <a:graphicData uri="http://schemas.openxmlformats.org/drawingml/2006/picture">
                      <pic:pic>
                        <pic:nvPicPr>
                          <pic:cNvPr descr="res/fig-rare1.png" id="309" name="Picture"/>
                          <pic:cNvPicPr>
                            <a:picLocks noChangeArrowheads="1" noChangeAspect="1"/>
                          </pic:cNvPicPr>
                        </pic:nvPicPr>
                        <pic:blipFill>
                          <a:blip r:embed="rId3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10"/>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4" w:name="fig-upgma"/>
          <w:p>
            <w:pPr>
              <w:pStyle w:val="Compact"/>
              <w:jc w:val="center"/>
            </w:pPr>
            <w:r>
              <w:drawing>
                <wp:inline>
                  <wp:extent cx="5943600" cy="4862945"/>
                  <wp:effectExtent b="0" l="0" r="0" t="0"/>
                  <wp:docPr descr="" title="" id="312" name="Picture"/>
                  <a:graphic>
                    <a:graphicData uri="http://schemas.openxmlformats.org/drawingml/2006/picture">
                      <pic:pic>
                        <pic:nvPicPr>
                          <pic:cNvPr descr="res/fig-upgma.png" id="313" name="Picture"/>
                          <pic:cNvPicPr>
                            <a:picLocks noChangeArrowheads="1" noChangeAspect="1"/>
                          </pic:cNvPicPr>
                        </pic:nvPicPr>
                        <pic:blipFill>
                          <a:blip r:embed="rId31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4"/>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8" w:name="fig-particao"/>
          <w:p>
            <w:pPr>
              <w:pStyle w:val="Compact"/>
              <w:jc w:val="center"/>
            </w:pPr>
            <w:r>
              <w:drawing>
                <wp:inline>
                  <wp:extent cx="5835034" cy="5477225"/>
                  <wp:effectExtent b="0" l="0" r="0" t="0"/>
                  <wp:docPr descr="" title="" id="316" name="Picture"/>
                  <a:graphic>
                    <a:graphicData uri="http://schemas.openxmlformats.org/drawingml/2006/picture">
                      <pic:pic>
                        <pic:nvPicPr>
                          <pic:cNvPr descr="res/fig-painel_partição.png" id="317" name="Picture"/>
                          <pic:cNvPicPr>
                            <a:picLocks noChangeArrowheads="1" noChangeAspect="1"/>
                          </pic:cNvPicPr>
                        </pic:nvPicPr>
                        <pic:blipFill>
                          <a:blip r:embed="rId315"/>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8"/>
        </w:tc>
      </w:tr>
    </w:tbl>
    <w:bookmarkEnd w:id="319"/>
    <w:bookmarkStart w:id="324"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2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20"/>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2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21"/>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22"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22"/>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23"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23"/>
        </w:tc>
      </w:tr>
    </w:tbl>
    <w:bookmarkEnd w:id="324"/>
    <w:bookmarkEnd w:id="325"/>
    <w:bookmarkStart w:id="326" w:name="apendices"/>
    <w:p>
      <w:pPr>
        <w:pStyle w:val="Heading1"/>
      </w:pPr>
      <w:r>
        <w:t xml:space="preserve">Apendices</w:t>
      </w:r>
    </w:p>
    <w:bookmarkEnd w:id="326"/>
    <w:bookmarkStart w:id="33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PROGRA~1\RStudio\RESOUR~1\app\bin\quarto\share\formats\docx\warning.png" id="329" name="Picture"/>
                          <pic:cNvPicPr>
                            <a:picLocks noChangeArrowheads="1" noChangeAspect="1"/>
                          </pic:cNvPicPr>
                        </pic:nvPicPr>
                        <pic:blipFill>
                          <a:blip r:embed="rId3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3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7" Target="media/rId327.png" /><Relationship Type="http://schemas.openxmlformats.org/officeDocument/2006/relationships/image" Id="rId291" Target="media/rId291.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2026-10-18T14:38:30Z</dcterms:created>
  <dcterms:modified xsi:type="dcterms:W3CDTF">2026-10-18T14:38:30Z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