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3.png" ContentType="image/png"/>
  <Override PartName="/word/media/rId130.png" ContentType="image/png"/>
  <Override PartName="/word/media/rId145.png" ContentType="image/png"/>
  <Override PartName="/word/media/rId135.png" ContentType="image/png"/>
  <Override PartName="/word/media/rId140.png" ContentType="image/png"/>
  <Override PartName="/word/media/rId160.png" ContentType="image/png"/>
  <Override PartName="/word/media/rId150.png" ContentType="image/png"/>
  <Override PartName="/word/media/rId15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Contrasting conservation conditions shape the spatial partitioning of zooplankton diversity in Atlantic Forest streams</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2026-10-02</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Essas abordagens são baseadas nos conceitos de turnover and nestedness. Species turnover and nestedness are two distinct components used to break down and understand beta diversity—which measures how much species composition changes between different communities or sites</w:t>
      </w:r>
      <w:r>
        <w:t xml:space="preserve"> </w:t>
      </w:r>
      <w:r>
        <w:t xml:space="preserve">(Baselga 2010)</w:t>
      </w:r>
      <w:r>
        <w:t xml:space="preserve">, where, turnover is the replacement of some species by different species from one site to another, while nestedness is the loss or gain of species where poorer sites contain a strict subset of the species found at richer sites.</w:t>
      </w:r>
    </w:p>
    <w:p>
      <w:pPr>
        <w:pStyle w:val="TextBody"/>
      </w:pPr>
      <w:r>
        <w:t xml:space="preserve">CITAR:</w:t>
      </w:r>
      <w:r>
        <w:t xml:space="preserve"> </w:t>
      </w:r>
      <w:r>
        <w:t xml:space="preserve">(Gering et al. 2003, Crist et al. 2003, Veech et al. 2003, Ligeiro et al. 2010, Baselga 2010, 2012, Ávila et al. 2011, Shell and Collier 2018)</w:t>
      </w:r>
    </w:p>
    <w:bookmarkStart w:id="12" w:name="objectives"/>
    <w:p>
      <w:pPr>
        <w:pStyle w:val="Heading2"/>
      </w:pPr>
      <w:r>
        <w:t xml:space="preserve">1.1 Objectives</w:t>
      </w:r>
    </w:p>
    <w:p>
      <w:pPr>
        <w:pStyle w:val="FirstParagraph"/>
      </w:pPr>
      <w:r>
        <w:t xml:space="preserve">This study describes the richness and density of zooplankton, comparatively between two small head water streams subject to different levels of environmental pressures. One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and a second one that flows entirely outside of the protected area. Within this framework, we use hierarchical additive partitioning to evaluate the relative contribution of different spatial and temporal scales to the diversity of zooplankton assemblages. Given the importance of the Atlantic Forest to the biodiversity</w:t>
      </w:r>
      <w:r>
        <w:t xml:space="preserve"> </w:t>
      </w:r>
      <w:r>
        <w:t xml:space="preserve">(Pereira et al. 2026)</w:t>
      </w:r>
      <w:r>
        <w:t xml:space="preserve"> </w:t>
      </w:r>
      <w:r>
        <w:t xml:space="preserve">and its fragmented stated north of the São Francisco river basin</w:t>
      </w:r>
      <w:r>
        <w:t xml:space="preserve"> </w:t>
      </w:r>
      <w:r>
        <w:t xml:space="preserve">(Silva and Casteleti 2003)</w:t>
      </w:r>
      <w:r>
        <w:t xml:space="preserve">, we aim with this study, (1) to infer environmental degradation from species turnover</w:t>
      </w:r>
      <w:r>
        <w:t xml:space="preserve"> </w:t>
      </w:r>
      <w:r>
        <w:t xml:space="preserve">(Baselga 2010)</w:t>
      </w:r>
      <w:r>
        <w:t xml:space="preserve"> </w:t>
      </w:r>
      <w:r>
        <w:t xml:space="preserve">and (2) to associate beta-diversity to the ecological health of sites inside and surrounding a protected area of Atlantic Forest. Given the expected different levels of environmental pressures in the area</w:t>
      </w:r>
      <w:r>
        <w:t xml:space="preserve"> </w:t>
      </w:r>
      <w:r>
        <w:t xml:space="preserve">(Gouveia et al. 2017)</w:t>
      </w:r>
      <w:r>
        <w:t xml:space="preserve">, we hypothesize that the diversity is not be homogeneously distributed among the different spatial scales but concentrated at the finer levels and seasonal variation will be limited to species composition, but no spacial variation is expected between dry and wet seasons. Some environmental features (reach morphology, habitat structure, and water quality) are also described to explore possible explaining factors for the observed patterns.</w:t>
      </w:r>
    </w:p>
    <w:bookmarkEnd w:id="12"/>
    <w:bookmarkEnd w:id="13"/>
    <w:bookmarkStart w:id="18" w:name="material-and-methods"/>
    <w:p>
      <w:pPr>
        <w:pStyle w:val="Heading1"/>
      </w:pPr>
      <w:r>
        <w:t xml:space="preserve">2. Material and methods</w:t>
      </w:r>
    </w:p>
    <w:bookmarkStart w:id="14" w:name="study-area-and-sampling-design"/>
    <w:p>
      <w:pPr>
        <w:pStyle w:val="Heading2"/>
      </w:pPr>
      <w:r>
        <w:t xml:space="preserve">2.1 Study area and sampling design</w:t>
      </w:r>
    </w:p>
    <w:p>
      <w:pPr>
        <w:pStyle w:val="FirstParagraph"/>
      </w:pPr>
      <w:r>
        <w:t xml:space="preserve">This study was conducted in the Guaribas Biological Reserve (REBIO Guaribas), a protected area of Atlantic Forest in northeastern Brazil. This protected area is located in a transitional zone between the Caatinga and Atlantic Forest ecoregions. The land use of the study area is based on the occupation of traditional human populations and an increasing use of land for large scale monocultures, mostly sugar cane</w:t>
      </w:r>
      <w:r>
        <w:t xml:space="preserve"> </w:t>
      </w:r>
      <w:r>
        <w:t xml:space="preserve">(Heinrichs et al. 2017)</w:t>
      </w:r>
      <w:r>
        <w:t xml:space="preserve">. Other than these, small scale agricultural activities, fishing, and the modification of the natural vegetation for livestock are important anthropogenic pressures that affect the buffer zone of the REBIO</w:t>
      </w:r>
      <w:r>
        <w:t xml:space="preserve"> </w:t>
      </w:r>
      <w:r>
        <w:t xml:space="preserve">(Arruda et al. 2013, MMA 2026)</w:t>
      </w:r>
      <w:r>
        <w:t xml:space="preserve">. Other common uses of the soil in the area are, coconut plantations, orchards and subsistence agriculture. These land uses represent important sources of pollution, either through agrochemicals runoff or direct and indirect domestic effluents (such as septic tanks). These nonpoint source pollutants contaminate underground water and create a spatial gradient of environmental disturbance</w:t>
      </w:r>
      <w:r>
        <w:t xml:space="preserve"> </w:t>
      </w:r>
      <w:r>
        <w:t xml:space="preserve">(Mehla et al. 2026)</w:t>
      </w:r>
      <w:r>
        <w:t xml:space="preserve">. Therefore, the mainly rural nature of the land use associated with the management of vegetation, will cause direct impact to aquatic systems, by the siltation of streams and contamination of groundwater. The hydrographic network of the study region is composed predominantly of small catchments containing first- and second-order streams</w:t>
      </w:r>
      <w:r>
        <w:t xml:space="preserve"> </w:t>
      </w:r>
      <w:r>
        <w:t xml:space="preserve">(Strahler 1957 classification)</w:t>
      </w:r>
      <w:r>
        <w:t xml:space="preserve"> </w:t>
      </w:r>
      <w:r>
        <w:t xml:space="preserve">(</w:t>
      </w:r>
      <w:hyperlink w:anchor="fig-mapa">
        <w:r>
          <w:rPr>
            <w:rStyle w:val="Hyperlink"/>
          </w:rPr>
          <w:t xml:space="preserve">Figure 1</w:t>
        </w:r>
      </w:hyperlink>
      <w:r>
        <w:t xml:space="preserve">). These watercourses are tributaries of the Camaratuba River and are sustained by numerous springs distributed throughout the region. The two main stream systems in the study area are the Barro Branco and Caiana catchemnts. The Barro Branco stream is approximately 8.8 km long and originates within the protected area. Its upper section remains within the boundaries of the REBIO, whereas its middle and lower sections extend into the surrounding landscape. Despite this transition, riparian vegetation is preserved along most of the stream. The Caiana stream is approximately 9.8 km long and also originates within the REBIO, although most of its course lies outside the protection area.</w:t>
      </w:r>
    </w:p>
    <w:p>
      <w:pPr>
        <w:pStyle w:val="TextBody"/>
      </w:pPr>
      <w:r>
        <w:t xml:space="preserve">The climate in the region is classified as As’</w:t>
      </w:r>
      <w:r>
        <w:t xml:space="preserve"> </w:t>
      </w:r>
      <w:r>
        <w:t xml:space="preserve">(Peel et al. 2007)</w:t>
      </w:r>
      <w:r>
        <w:t xml:space="preserve">, characterized by a mean annual temperature of approximately 25 °C, with maximum temperatures occurring mainly between February and March, during the dry period, as well as by low annual thermal amplitude. Annual precipitation ranges from 1,400 to 1,800 mm, concentrated between March and July, whereas the lowest rainfall levels occur between September and December. In the study area, rainfall is concentrated between March and July, beginning in autumn and extending into winter. This pattern is attributed to the influence of cold air masses from the South Atlantic ocean that affect the region. The hydrographic network is composed of small headwater streams fed by rain</w:t>
      </w:r>
      <w:r>
        <w:t xml:space="preserve"> </w:t>
      </w:r>
      <w:r>
        <w:t xml:space="preserve">(Gouveia et al. 2017)</w:t>
      </w:r>
      <w:r>
        <w:t xml:space="preserve">.</w:t>
      </w:r>
    </w:p>
    <w:p>
      <w:pPr>
        <w:pStyle w:val="TextBody"/>
      </w:pPr>
      <w:r>
        <w:t xml:space="preserve">A total of 15 sampling sites distributed longitudinally across the two Atlantic Forest streams were selected to capture spatial variation in environmental conditions and habitat characteristics. The Barro Branco stream included sampling sites located within a protected area (REBIO Guaribas) and sites located outside its boundaries, whereas all sampling sites in the Caiana stream were located outside the protected area. This sampling design allowed the assessment of zooplankton diversity across nested spatial scales and contrasting conditions of environmental protection and human influence (</w:t>
      </w:r>
      <w:hyperlink w:anchor="fig-mapa">
        <w:r>
          <w:rPr>
            <w:rStyle w:val="Hyperlink"/>
          </w:rPr>
          <w:t xml:space="preserve">Figure 1</w:t>
        </w:r>
      </w:hyperlink>
      <w:r>
        <w:t xml:space="preserve">). Sampling included temporal (dry and wet seasons) and spatial scales. The spatial scales of zooplankton diversity were represented by the total gamma (γ) diversity, encompassing both study streams. At each stream, several sites were selected according to their position in the main channel of the catchment basin and, at each site, three habitas were sampled to represent different habitat types (pool, riffle, near underwater structures)</w:t>
      </w:r>
      <w:r>
        <w:t xml:space="preserve"> </w:t>
      </w:r>
      <w:r>
        <w:t xml:space="preserve">(Frissell et al. 1986)</w:t>
      </w:r>
      <w:r>
        <w:t xml:space="preserve">. We also considered a further spatial scale being the upper reaches (portion of the Barro Branco stream within the conservation unit and the Caiana stream before its confluence with the Pipina stream) and the lower reaches (portion of the Barro Branco stream outside the conservation unit and the Caiana stream after its confluence with the Pipina stream) (</w:t>
      </w:r>
      <w:hyperlink w:anchor="fig-mapa">
        <w:r>
          <w:rPr>
            <w:rStyle w:val="Hyperlink"/>
          </w:rPr>
          <w:t xml:space="preserve">Figure 1</w:t>
        </w:r>
      </w:hyperlink>
      <w:r>
        <w:t xml:space="preserve">). Sampling was conducted during the dry (January-February) and wet (June-July) seasons of 2024.</w:t>
      </w:r>
    </w:p>
    <w:bookmarkEnd w:id="14"/>
    <w:bookmarkStart w:id="15" w:name="environmental-data-collection"/>
    <w:p>
      <w:pPr>
        <w:pStyle w:val="Heading2"/>
      </w:pPr>
      <w:r>
        <w:t xml:space="preserve">2.2 Environmental data collection</w:t>
      </w:r>
    </w:p>
    <w:p>
      <w:pPr>
        <w:pStyle w:val="FirstParagraph"/>
      </w:pPr>
      <w:r>
        <w:t xml:space="preserve">Environmental conditions were characterized using four groups of variables, following procedures adapted by</w:t>
      </w:r>
      <w:r>
        <w:t xml:space="preserve"> </w:t>
      </w:r>
      <w:r>
        <w:t xml:space="preserve">Medeiros et al. (2008)</w:t>
      </w:r>
      <w:r>
        <w:t xml:space="preserve"> </w:t>
      </w:r>
      <w:r>
        <w:t xml:space="preserve">from the protocols proposed by</w:t>
      </w:r>
      <w:r>
        <w:t xml:space="preserve"> </w:t>
      </w:r>
      <w:r>
        <w:t xml:space="preserve">Pusey et al. (2004)</w:t>
      </w:r>
      <w:r>
        <w:t xml:space="preserve"> </w:t>
      </w:r>
      <w:r>
        <w:t xml:space="preserve">and</w:t>
      </w:r>
      <w:r>
        <w:t xml:space="preserve"> </w:t>
      </w:r>
      <w:r>
        <w:t xml:space="preserve">Mugodo et al. (2006)</w:t>
      </w:r>
      <w:r>
        <w:t xml:space="preserve">: site morphology, water quality, substrate composition, and marginal habitat structure. Morphological characteristics were assessed from three randomly selected transects at each site, where stream width (cm) and water depth (cm) were measured. Bank slope was classified into four categories according to its inclination: 1, ≤ 20°; 2, &gt; 20–30°; 3, &gt; 30–50°; and 4, &gt; 50°. Broader-scale landscape characteristics, including elevation and stream length, were obtained from handheld GPS records and satellite imagery. Water quality was characterized using physical and chemical measurements obtained with portable instruments, including water temperature (°C) and dissolved oxygen concentration (mg/L). Turbidity was subsequently measured in the laboratory with a turbidimeter using water samples collected at each sampling site. Current velocity (m/s) was estimated using the float method, as described by</w:t>
      </w:r>
      <w:r>
        <w:t xml:space="preserve"> </w:t>
      </w:r>
      <w:r>
        <w:t xml:space="preserve">Maitland (1990)</w:t>
      </w:r>
      <w:r>
        <w:t xml:space="preserve">. Substrate composition and the physical structure of marginal habitats were evaluated from 9 to 12 quadrats (1 m²) distributed along the terrestrial-aquatic interface at each sampling site. Within each quadrat, the proportional cover of different substrate categories was visually estimated, including mud, sand, cobbles, small and large gravel and rocks. The same quadrats were used to characterize littoral and submerged habitat features. Recorded habitat components included macrophytes, marginal grasses, leaf litter, attached and filamentous algae, overhanging and submerged vegetation, small and large woody debris, and root masses</w:t>
      </w:r>
      <w:r>
        <w:t xml:space="preserve"> </w:t>
      </w:r>
      <w:r>
        <w:t xml:space="preserve">(Medeiros et al. 2008)</w:t>
      </w:r>
      <w:r>
        <w:t xml:space="preserve">. For subsequent analyses and presentation, environmental measurements were summarized as mean values for each sampling site.</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bookmarkEnd w:id="15"/>
    <w:bookmarkStart w:id="16" w:name="zooplankton-sampling"/>
    <w:p>
      <w:pPr>
        <w:pStyle w:val="Heading2"/>
      </w:pPr>
      <w:r>
        <w:t xml:space="preserve">2.3 Zooplankton sampling</w:t>
      </w:r>
    </w:p>
    <w:p>
      <w:pPr>
        <w:pStyle w:val="FirstParagraph"/>
      </w:pPr>
      <w:r>
        <w:t xml:space="preserve">Zooplankton was sampled at habitats within each sampling site, hereafter referred to as habitat samples. Collections were performed in the main channel of the streams at the surface water. At each sampling habitat, a plankton net (30 cm mouth diameter, 70 cm length, and 60 μm mesh size) was used to filter 50 L of water. The net was rinsed between successive samples to prevent clogging and carryover of organisms. Each sample was concentrated to a final volume of 80 mL for laboratory analyses. Following collection, zooplankton samples were anesthetized with commercial sparkling water and subsequently preserved in 4% formalin</w:t>
      </w:r>
      <w:r>
        <w:t xml:space="preserve"> </w:t>
      </w:r>
      <w:r>
        <w:t xml:space="preserve">(EPA 2020)</w:t>
      </w:r>
      <w:r>
        <w:t xml:space="preserve">. Sucrose was added to the preserved sample to prevent female cladocerans from losing eggs and to minimize carapace distortion</w:t>
      </w:r>
      <w:r>
        <w:t xml:space="preserve"> </w:t>
      </w:r>
      <w:r>
        <w:t xml:space="preserve">(Haney and Hall 1973)</w:t>
      </w:r>
      <w:r>
        <w:t xml:space="preserve">. In the laboratory, samples had their zooplankton identified and counted using a Sedgewick–Rafter counting chamber. The analyses focused on representatives of Rotifera, Cladocera, and Copepoda. Taxonomic identification was based on specialized literature and confirmed by specialists. To evaluate whether the sampling effort adequately represented the zooplankton assemblage, species accumulation curves were calculated</w:t>
      </w:r>
      <w:r>
        <w:t xml:space="preserve"> </w:t>
      </w:r>
      <w:r>
        <w:t xml:space="preserve">(Melo et al. 2014, Lucena et al. 2015)</w:t>
      </w:r>
      <w:r>
        <w:t xml:space="preserve">.</w:t>
      </w:r>
    </w:p>
    <w:bookmarkEnd w:id="16"/>
    <w:bookmarkStart w:id="17" w:name="statistical-analyses"/>
    <w:p>
      <w:pPr>
        <w:pStyle w:val="Heading2"/>
      </w:pPr>
      <w:r>
        <w:t xml:space="preserve">2.4 Statistical analyses</w:t>
      </w:r>
    </w:p>
    <w:p>
      <w:pPr>
        <w:pStyle w:val="FirstParagraph"/>
      </w:pPr>
      <w:r>
        <w:t xml:space="preserve">Environmental variables were screened for multicollinearity and to identify redundant descriptors. Variables representing similar environmental information were also combined when appropriate, thereby reducing redundancy in the dataset</w:t>
      </w:r>
      <w:r>
        <w:t xml:space="preserve"> </w:t>
      </w:r>
      <w:r>
        <w:t xml:space="preserve">(Legendre and Legendre 1998)</w:t>
      </w:r>
      <w:r>
        <w:t xml:space="preserve">.</w:t>
      </w:r>
    </w:p>
    <w:p>
      <w:pPr>
        <w:pStyle w:val="TextBody"/>
      </w:pPr>
      <w:r>
        <w:t xml:space="preserve">These data were then analyzed using Principal Component Analysis (PCA) to summarize multivariate patterns of environmental variation among sampling sites. Prior to PCA, site morphology and water-quality variables were square-root transformed</w:t>
      </w:r>
      <w:r>
        <w:t xml:space="preserve"> </w:t>
      </w:r>
      <w:r>
        <w:t xml:space="preserve">(Sokal and Rohlf 1995)</w:t>
      </w:r>
      <w:r>
        <w:t xml:space="preserve">. Variables describing sediment composition and marginal habitat structure, expressed as percentages, were relativized by their column totals and subsequently subjected to the arcsine square-root transformation</w:t>
      </w:r>
      <w:r>
        <w:t xml:space="preserve"> </w:t>
      </w:r>
      <w:r>
        <w:t xml:space="preserve">(McCune and Grace 2002)</w:t>
      </w:r>
      <w:r>
        <w:t xml:space="preserve">. PCA was conducted in R using the</w:t>
      </w:r>
      <w:r>
        <w:t xml:space="preserve"> </w:t>
      </w:r>
      <w:r>
        <w:rPr>
          <w:rStyle w:val="VerbatimChar"/>
        </w:rPr>
        <w:t xml:space="preserve">FactoMineR</w:t>
      </w:r>
      <w:r>
        <w:t xml:space="preserve"> </w:t>
      </w:r>
      <w:r>
        <w:t xml:space="preserve">package</w:t>
      </w:r>
      <w:r>
        <w:t xml:space="preserve"> </w:t>
      </w:r>
      <w:r>
        <w:t xml:space="preserve">(Lê et al. 2008)</w:t>
      </w:r>
      <w:r>
        <w:t xml:space="preserve">, with all variables centered and standardized to unit variance before analysis. The water quality parameters temperature and dissolved oxygen, and all nutrients were used to characterize differences between streams but were not used in the PCA because they were not measured for both seasons. A Permutational Multivariate Analysis of Variance (PERMANOVA, 999 permutations) was performed to test whether the overall set of environmental variables measured differed across the seasons and streams</w:t>
      </w:r>
      <w:r>
        <w:t xml:space="preserve"> </w:t>
      </w:r>
      <w:r>
        <w:t xml:space="preserve">(Anderson and Walsh 2013, Freiry et al. 2020)</w:t>
      </w:r>
      <w:r>
        <w:t xml:space="preserve">.</w:t>
      </w:r>
    </w:p>
    <w:p>
      <w:pPr>
        <w:pStyle w:val="TextBody"/>
      </w:pPr>
      <w:r>
        <w:t xml:space="preserve">Differences in assemblage composition across the spatial hierarchy and seasons were explored using the Unweighted Pair Group Method with Averages (UPGMA)</w:t>
      </w:r>
      <w:r>
        <w:t xml:space="preserve"> </w:t>
      </w:r>
      <w:r>
        <w:t xml:space="preserve">(Belbin and McDonald 1993, Diniz-Reis et al. 2022)</w:t>
      </w:r>
      <w:r>
        <w:t xml:space="preserve">, based on Bray-Curtis dissimilarities calculated from the zooplankton density matrix</w:t>
      </w:r>
      <w:r>
        <w:t xml:space="preserve"> </w:t>
      </w:r>
      <w:r>
        <w:t xml:space="preserve">(Ávila et al. 2011)</w:t>
      </w:r>
      <w:r>
        <w:t xml:space="preserve">. Prior to the analyses, density data were relativized and square-root transformed to reduce the influence of highly abundant taxa and improve the distributional properties of the dataset</w:t>
      </w:r>
      <w:r>
        <w:t xml:space="preserve"> </w:t>
      </w:r>
      <w:r>
        <w:t xml:space="preserve">(Rocha et al. 2012)</w:t>
      </w:r>
      <w:r>
        <w:t xml:space="preserve">. To focus on spatial variation across sampling sites, habitat density data were pooled for this analysis. To assess how well the UPGMA dendrograms represented the original Bray-Curtis dissimilarities among sampling sites, the Cophenetic Correlation Coefficient (CC) was calculated</w:t>
      </w:r>
      <w:r>
        <w:t xml:space="preserve"> </w:t>
      </w:r>
      <w:r>
        <w:t xml:space="preserve">(Sokal and Rohlf 1962, Sneath and Sokal 1973, Saraçli et al. 2013)</w:t>
      </w:r>
      <w:r>
        <w:t xml:space="preserve">, where a cophenetic matrix was constructed from each seasonal dendrogram using the</w:t>
      </w:r>
      <w:r>
        <w:t xml:space="preserve"> </w:t>
      </w:r>
      <w:r>
        <w:rPr>
          <w:i/>
          <w:iCs/>
        </w:rPr>
        <w:t xml:space="preserve">cophenetic</w:t>
      </w:r>
      <w:r>
        <w:t xml:space="preserve"> </w:t>
      </w:r>
      <w:r>
        <w:t xml:space="preserve">function in the</w:t>
      </w:r>
      <w:r>
        <w:t xml:space="preserve"> </w:t>
      </w:r>
      <w:r>
        <w:rPr>
          <w:rStyle w:val="VerbatimChar"/>
        </w:rPr>
        <w:t xml:space="preserve">vegan</w:t>
      </w:r>
      <w:r>
        <w:t xml:space="preserve"> </w:t>
      </w:r>
      <w:r>
        <w:t xml:space="preserve">package in R. The cophenetic distance matrix was then correlated with the corresponding original Bray-Curtis dissimilarity matrix using Pearson’s product-moment correlation coefficient</w:t>
      </w:r>
      <w:r>
        <w:t xml:space="preserve"> </w:t>
      </w:r>
      <w:r>
        <w:t xml:space="preserve">(Sokal and Rohlf 1962, Farris 1969, Silva and Dias 2013)</w:t>
      </w:r>
      <w:r>
        <w:t xml:space="preserve">. To evaluate the strength of the hierarchical clustering structure obtained from the UPGMA dendrograms, the Agglomerative Coefficient (AC) was calculated for each season using the</w:t>
      </w:r>
      <w:r>
        <w:t xml:space="preserve"> </w:t>
      </w:r>
      <w:r>
        <w:rPr>
          <w:i/>
          <w:iCs/>
        </w:rPr>
        <w:t xml:space="preserve">coef.hclust</w:t>
      </w:r>
      <w:r>
        <w:t xml:space="preserve"> </w:t>
      </w:r>
      <w:r>
        <w:t xml:space="preserve">function from the</w:t>
      </w:r>
      <w:r>
        <w:t xml:space="preserve"> </w:t>
      </w:r>
      <w:r>
        <w:rPr>
          <w:rStyle w:val="VerbatimChar"/>
        </w:rPr>
        <w:t xml:space="preserve">cluster</w:t>
      </w:r>
      <w:r>
        <w:t xml:space="preserve"> </w:t>
      </w:r>
      <w:r>
        <w:t xml:space="preserve">package in R</w:t>
      </w:r>
      <w:r>
        <w:t xml:space="preserve"> </w:t>
      </w:r>
      <w:r>
        <w:t xml:space="preserve">(Kaufman and Rousseeuw 1990, Maechler et al. 2026)</w:t>
      </w:r>
      <w:r>
        <w:t xml:space="preserve">. The AC ranges from 0 to 1, where values closer to 1 indicate a strong, well-defined clustering structure and values near 0 reflect weak or indistinct grouping.</w:t>
      </w:r>
    </w:p>
    <w:p>
      <w:pPr>
        <w:pStyle w:val="TextBody"/>
      </w:pPr>
      <w:r>
        <w:t xml:space="preserve">Additive diversity partitioning was used to quantify the contribution of within- and between-unit diversity to total zooplankton diversity. In this framework, alpha diversity (</w:t>
      </w:r>
      <m:oMath>
        <m:r>
          <m:t>α</m:t>
        </m:r>
      </m:oMath>
      <w:r>
        <w:t xml:space="preserve">) represents diversity occurring within sampling units, whereas beta diversity (</w:t>
      </w:r>
      <m:oMath>
        <m:r>
          <m:t>β</m:t>
        </m:r>
      </m:oMath>
      <w:r>
        <w:t xml:space="preserve">) represents the contribution of differences among units at successive levels of the spatial hierarchy</w:t>
      </w:r>
      <w:r>
        <w:t xml:space="preserve"> </w:t>
      </w:r>
      <w:r>
        <w:t xml:space="preserve">(Lande 1996, Crist et al. 2003)</w:t>
      </w:r>
      <w:r>
        <w:t xml:space="preserve">. The hierarchical structure included three spatial scales. The finest scales consisted of the habitat samples within each site (n = 3), and of each site (n = 6, for the Barro Branco stream, and n = 9, for the Caiana stream). The intermediate scales corresponded to the upper and lower stream sections (n = 2), whereas the broadest scale represented differences among the two streams. Accordingly, the total diversity (</w:t>
      </w:r>
      <m:oMath>
        <m:r>
          <m:t>γ</m:t>
        </m:r>
      </m:oMath>
      <w:r>
        <w:t xml:space="preserve">) was decomposed into within-habitat diversity (</w:t>
      </w:r>
      <m:oMath>
        <m:sSub>
          <m:e>
            <m:r>
              <m:t>α</m:t>
            </m:r>
          </m:e>
          <m:sub>
            <m:r>
              <m:t>1</m:t>
            </m:r>
          </m:sub>
        </m:sSub>
      </m:oMath>
      <w:r>
        <w:t xml:space="preserve">) and the successive beta components associated with differences among habitats (</w:t>
      </w:r>
      <m:oMath>
        <m:sSub>
          <m:e>
            <m:r>
              <m:t>β</m:t>
            </m:r>
          </m:e>
          <m:sub>
            <m:r>
              <m:t>1</m:t>
            </m:r>
          </m:sub>
        </m:sSub>
      </m:oMath>
      <w:r>
        <w:t xml:space="preserve">), among sites withing upper and lower stream reaches (</w:t>
      </w:r>
      <m:oMath>
        <m:sSub>
          <m:e>
            <m:r>
              <m:t>β</m:t>
            </m:r>
          </m:e>
          <m:sub>
            <m:r>
              <m:t>2</m:t>
            </m:r>
          </m:sub>
        </m:sSub>
      </m:oMath>
      <w:r>
        <w:t xml:space="preserve">), and among streams (</w:t>
      </w:r>
      <m:oMath>
        <m:sSub>
          <m:e>
            <m:r>
              <m:t>β</m:t>
            </m:r>
          </m:e>
          <m:sub>
            <m:r>
              <m:t>3</m:t>
            </m:r>
          </m:sub>
        </m:sSub>
      </m:oMath>
      <w:r>
        <w:t xml:space="preserve">). The contribution of each component was expressed as a percentage of total diversity</w:t>
      </w:r>
      <w:r>
        <w:t xml:space="preserve"> </w:t>
      </w:r>
      <w:r>
        <w:t xml:space="preserve">(Crist et al. 2003, Farias et al. 2020)</w:t>
      </w:r>
      <w:r>
        <w:t xml:space="preserve">. To investigate seasonal variation in the hierarchical structure of diversity, additive partitioning was performed separately for each season and for each stream</w:t>
      </w:r>
      <w:r>
        <w:t xml:space="preserve"> </w:t>
      </w:r>
      <w:r>
        <w:t xml:space="preserve">(Melo and Medeiros 2013, Farias et al. 2020)</w:t>
      </w:r>
      <w:r>
        <w:t xml:space="preserve">.</w:t>
      </w:r>
    </w:p>
    <w:p>
      <w:pPr>
        <w:pStyle w:val="TextBody"/>
      </w:pPr>
      <w:r>
        <w:t xml:space="preserve">The overall diversity was taken to be the sum of the relative contributions of each scale in the hierarchical sampling design. Analysis of significance of the contribution of each hierarchical level was performed through with individual-based randomizations (type I null model)</w:t>
      </w:r>
      <w:r>
        <w:t xml:space="preserve"> </w:t>
      </w:r>
      <w:r>
        <w:t xml:space="preserve">(see Freiry et al. 2020, Melo and Medeiros 2013)</w:t>
      </w:r>
      <w:r>
        <w:t xml:space="preserve">. The randomization process was repeated 999 times to obtain null distributions of the</w:t>
      </w:r>
      <w:r>
        <w:t xml:space="preserve"> </w:t>
      </w:r>
      <m:oMath>
        <m:r>
          <m:t>α</m:t>
        </m:r>
      </m:oMath>
      <w:r>
        <w:t xml:space="preserve"> </w:t>
      </w:r>
      <w:r>
        <w:t xml:space="preserve">and</w:t>
      </w:r>
      <w:r>
        <w:t xml:space="preserve"> </w:t>
      </w:r>
      <m:oMath>
        <m:r>
          <m:t>β</m:t>
        </m:r>
      </m:oMath>
      <w:r>
        <w:t xml:space="preserve"> </w:t>
      </w:r>
      <w:r>
        <w:t xml:space="preserve">diversity at each hierarchical level, and used to test whether the observed values were higher or lower than expected by chance</w:t>
      </w:r>
      <w:r>
        <w:t xml:space="preserve"> </w:t>
      </w:r>
      <w:r>
        <w:t xml:space="preserve">(Crist et al. 2003)</w:t>
      </w:r>
      <w:r>
        <w:t xml:space="preserve">. The probabilities obtained from randomization tests were interpreted as</w:t>
      </w:r>
      <w:r>
        <w:t xml:space="preserve"> </w:t>
      </w:r>
      <w:r>
        <w:rPr>
          <w:i/>
          <w:iCs/>
        </w:rPr>
        <w:t xml:space="preserve">P</w:t>
      </w:r>
      <w:r>
        <w:t xml:space="preserve">-values, as a low</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&lt;</m:t>
        </m:r>
        <m:r>
          <m:t>0.05</m:t>
        </m:r>
      </m:oMath>
      <w:r>
        <w:t xml:space="preserve">) indicates an observed diversity significantly different than that expected under the null model. On the other hand, a high</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&gt;</m:t>
        </m:r>
        <m:r>
          <m:t>0.95</m:t>
        </m:r>
      </m:oMath>
      <w:r>
        <w:t xml:space="preserve">) indicates an observed diversity not different than that expected by chance</w:t>
      </w:r>
      <w:r>
        <w:t xml:space="preserve"> </w:t>
      </w:r>
      <w:r>
        <w:t xml:space="preserve">(Veech et al. 2002, Gering et al. 2003, Crist et al. 2003, Freiry et al. 2020)</w:t>
      </w:r>
      <w:r>
        <w:t xml:space="preserve">. The results of the analysis were subject to a Monte Carlo permutation test (999 permutations) for validation. The additive partitioning of the diversity was carried out with the function</w:t>
      </w:r>
      <w:r>
        <w:t xml:space="preserve"> </w:t>
      </w:r>
      <w:r>
        <w:rPr>
          <w:i/>
          <w:iCs/>
        </w:rPr>
        <w:t xml:space="preserve">adipart</w:t>
      </w:r>
      <w:r>
        <w:t xml:space="preserve"> </w:t>
      </w:r>
      <w:r>
        <w:t xml:space="preserve">from package</w:t>
      </w:r>
      <w:r>
        <w:t xml:space="preserve"> </w:t>
      </w:r>
      <w:r>
        <w:rPr>
          <w:rStyle w:val="VerbatimChar"/>
        </w:rPr>
        <w:t xml:space="preserve">vegan</w:t>
      </w:r>
      <w:r>
        <w:t xml:space="preserve"> </w:t>
      </w:r>
      <w:r>
        <w:t xml:space="preserve">(Oksanen et al. n.d.)</w:t>
      </w:r>
      <w:r>
        <w:t xml:space="preserve">. All analyses were conducted in the statistical environment R</w:t>
      </w:r>
      <w:r>
        <w:t xml:space="preserve"> </w:t>
      </w:r>
      <w:r>
        <w:t xml:space="preserve">(R Core Team 2017)</w:t>
      </w:r>
      <w:r>
        <w:t xml:space="preserve">.</w:t>
      </w:r>
    </w:p>
    <w:bookmarkEnd w:id="17"/>
    <w:bookmarkEnd w:id="18"/>
    <w:bookmarkStart w:id="22" w:name="results"/>
    <w:p>
      <w:pPr>
        <w:pStyle w:val="Heading1"/>
      </w:pPr>
      <w:r>
        <w:t xml:space="preserve">3. Results</w:t>
      </w:r>
    </w:p>
    <w:bookmarkStart w:id="19" w:name="X412dffe26fbcba18072f2196a47dcb94ee5ca39"/>
    <w:p>
      <w:pPr>
        <w:pStyle w:val="Heading2"/>
      </w:pPr>
      <w:r>
        <w:t xml:space="preserve">3.1 Environmental variables and nutrient concentration</w:t>
      </w:r>
    </w:p>
    <w:p>
      <w:pPr>
        <w:pStyle w:val="FirstParagraph"/>
      </w:pPr>
      <w:r>
        <w:t xml:space="preserve">Water velocity ranged from 0 to 0.41 m/s, with the highest average recorded at site 14. Waters were, on average, well oxygenated (data for the from 5.4 to 8.1 mg/L), and cool, with average temperatures from 25.2 to 27.8 °C. Conductivity was high, between 129.0 and 163.3 μS/cm, and pH, neutral to slightly acidic (from 5.5 to 7.0). Turbidity was generally low, although higher values were observed at sites 5 and 6, reaching 17.5 and 29.6 NTU, respectively. Elevation ranged from 41.5 to 112.8 m a.s.l., while the slope reached 50° for some sites. Width varied from 1.2 to 7.2 m, while depth ranged from 13.7 to 44.2 cm. Mud and sand were the main substrate components across all sampled sites, with average cover ranging from 30 to 100% and from 0 to 70%, respectively. Habitat structure varied along the stream course. The reference site (site 1) was characterized by high contributions of overhanging vegetation (90%) and exclusively muddy substrates. Site 2 exhibited similar characteristics, whereas site 3 showed a more reduced habitat complexity. Sites 4–6 displayed greater variation in habitat composition. Overall, the habitat structures contributing most were overhanging vegetation, debris, and root masses, although these contributions varied among sites. Aquatic macrophytes and littoral grass were particularly abundant at site 4, contributing on average 35.8% and 39.2%, respectively, whereas root masses represented the dominant habitat structure at site 5 (76.7%). Sand cover increased downstream, reaching 70% at site 6, where overhanging vegetation was markedly reduced (</w:t>
      </w:r>
      <w:hyperlink w:anchor="tbl-hab_gttable">
        <w:r>
          <w:rPr>
            <w:rStyle w:val="Hyperlink"/>
          </w:rPr>
          <w:t xml:space="preserve">Table 1</w:t>
        </w:r>
      </w:hyperlink>
      <w:r>
        <w:t xml:space="preserve">).</w:t>
      </w:r>
    </w:p>
    <w:p>
      <w:pPr>
        <w:pStyle w:val="TextBody"/>
      </w:pPr>
      <w:r>
        <w:t xml:space="preserve">Principal Component Analysis (PCA) was used to summarize environmental variation among sampling sites and to identify variables contributing to their differences (</w:t>
      </w:r>
      <w:hyperlink w:anchor="fig-hab_PCA_ref-site">
        <w:r>
          <w:rPr>
            <w:rStyle w:val="Hyperlink"/>
          </w:rPr>
          <w:t xml:space="preserve">Figure 2</w:t>
        </w:r>
      </w:hyperlink>
      <w:r>
        <w:t xml:space="preserve"> </w:t>
      </w:r>
      <w:r>
        <w:t xml:space="preserve">and</w:t>
      </w:r>
      <w:r>
        <w:t xml:space="preserve"> </w:t>
      </w:r>
      <w:hyperlink w:anchor="fig-hab_PCA_rio">
        <w:r>
          <w:rPr>
            <w:rStyle w:val="Hyperlink"/>
          </w:rPr>
          <w:t xml:space="preserve">Figure 3</w:t>
        </w:r>
      </w:hyperlink>
      <w:r>
        <w:t xml:space="preserve">). The first two principal components explained 37% of the total variance, with the first axis accounting for 21.1%. PCA confirmed the expected quality of sites, separating site types (</w:t>
      </w:r>
      <w:hyperlink w:anchor="fig-hab_PCA_ref-site">
        <w:r>
          <w:rPr>
            <w:rStyle w:val="Hyperlink"/>
          </w:rPr>
          <w:t xml:space="preserve">Figure 2</w:t>
        </w:r>
      </w:hyperlink>
      <w:r>
        <w:t xml:space="preserve">), where site types I and II where associated with higher elevation, the presence of algae and leaf litter, and where dominated by muddy substrate. Sites type III, tended to have higher water velocity and the presence of gravel and sand as substrate. The presence of root masses and greater inclination on the margins were also important features of these sites. Sites type IV showed a wide range of environmental characteristics, certainly due to their greater number. Nonetheless, these sites may be associated with greater depths, the presence of rocks in the substrate, and higher pH and turbidity. Comparison of the two study streams showed that, the Barro Branco stream tended to have a greater presence of algae, macrophytes, leaf litter and submerged vegetation as major habitat structures, a muddy substrate and an overall higher elevation. The Caiana stream was characterized by sandy substrate, with occasionally gravel and rocks, higher depths, and higher pH, turbidity, and water velocity. Dry and rainy seasons did not show clear segregation in the PCA.</w:t>
      </w:r>
    </w:p>
    <w:p>
      <w:pPr>
        <w:pStyle w:val="TextBody"/>
      </w:pPr>
      <w:r>
        <w:t xml:space="preserve">Among the averaged nutrient concentrations (</w:t>
      </w:r>
      <w:hyperlink w:anchor="tbl-nutri_gttable">
        <w:r>
          <w:rPr>
            <w:rStyle w:val="Hyperlink"/>
          </w:rPr>
          <w:t xml:space="preserve">Table 2</w:t>
        </w:r>
      </w:hyperlink>
      <w:r>
        <w:t xml:space="preserve">), ammonia ranged from 49.2 to 243.7 µg L⁻¹. The Caiana stream tended to have greater values, overall no clear trend can be observed when comparing both streams. Nitrite and nitrate, on the other hand, show greater concentrations at the Caiana stream, the latter varying from 166.4 to 2003.0 µg L⁻¹, compared with the maximum of 18.8 µg L⁻¹ at the Barro Branco stream. Nitrite was too low to be detectable at the Barro Branco stream. The same pattern was observed for orthophosphate concentrations, being barely detectable at Barro Branco stream, and varying from 4.0 to 13.0 µg L⁻¹ at the Caiana stream. Total phosphorus, however, tended to have higher concentrations at Barro Branco stream, reaching 50.1 µg L⁻¹ at Site 3, but with highly variable values (from non detectable to 38.7 µg L⁻¹, as the second highest value).</w:t>
      </w:r>
    </w:p>
    <w:bookmarkEnd w:id="19"/>
    <w:bookmarkStart w:id="20" w:name="community-structure"/>
    <w:p>
      <w:pPr>
        <w:pStyle w:val="Heading2"/>
      </w:pPr>
      <w:r>
        <w:t xml:space="preserve">3.2 Community structure</w:t>
      </w:r>
    </w:p>
    <w:p>
      <w:pPr>
        <w:pStyle w:val="FirstParagraph"/>
      </w:pPr>
      <w:r>
        <w:t xml:space="preserve">The UPGMA cluster analyses revealed low-to-moderate spatial clustering strength for the zooplankton communities across both periods, as indicated by the Agglomerative Coefficients (</w:t>
      </w:r>
      <m:oMath>
        <m:r>
          <m:t>A</m:t>
        </m:r>
        <m:sSub>
          <m:e>
            <m:r>
              <m:t>C</m:t>
            </m:r>
          </m:e>
          <m:sub>
            <m:r>
              <m:t>d</m:t>
            </m:r>
            <m:r>
              <m:t>r</m:t>
            </m:r>
            <m:r>
              <m:t>y</m:t>
            </m:r>
          </m:sub>
        </m:sSub>
        <m:r>
          <m:rPr>
            <m:sty m:val="p"/>
          </m:rPr>
          <m:t>=</m:t>
        </m:r>
        <m:r>
          <m:t>0.34</m:t>
        </m:r>
      </m:oMath>
      <w:r>
        <w:t xml:space="preserve"> </w:t>
      </w:r>
      <w:r>
        <w:t xml:space="preserve">and</w:t>
      </w:r>
      <w:r>
        <w:t xml:space="preserve"> </w:t>
      </w:r>
      <m:oMath>
        <m:r>
          <m:t>A</m:t>
        </m:r>
        <m:sSub>
          <m:e>
            <m:r>
              <m:t>C</m:t>
            </m:r>
          </m:e>
          <m:sub>
            <m:r>
              <m:t>w</m:t>
            </m:r>
            <m:r>
              <m:t>e</m:t>
            </m:r>
            <m:r>
              <m:t>t</m:t>
            </m:r>
          </m:sub>
        </m:sSub>
        <m:r>
          <m:rPr>
            <m:sty m:val="p"/>
          </m:rPr>
          <m:t>=</m:t>
        </m:r>
        <m:r>
          <m:t>0.39</m:t>
        </m:r>
      </m:oMath>
      <w:r>
        <w:t xml:space="preserve">). While community composition exhibited continuous variation across sites, spatial structuring was slightly more pronounced during the wet season than during the dry season.</w:t>
      </w:r>
    </w:p>
    <w:bookmarkEnd w:id="20"/>
    <w:bookmarkStart w:id="21" w:name="diversity-partitioning"/>
    <w:p>
      <w:pPr>
        <w:pStyle w:val="Heading2"/>
      </w:pPr>
      <w:r>
        <w:t xml:space="preserve">3.3 Diversity Partitioning</w:t>
      </w:r>
    </w:p>
    <w:bookmarkEnd w:id="21"/>
    <w:bookmarkEnd w:id="22"/>
    <w:bookmarkStart w:id="23" w:name="discussion"/>
    <w:p>
      <w:pPr>
        <w:pStyle w:val="Heading1"/>
      </w:pPr>
      <w:r>
        <w:t xml:space="preserve">4. Discussion</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w:t>
      </w:r>
    </w:p>
    <w:p>
      <w:pPr>
        <w:pStyle w:val="TextBody"/>
      </w:pPr>
      <w:r>
        <w:t xml:space="preserve">Mayara Mirelly da Silva Monteiro: Data curation, Formal analysis, Investigation.</w:t>
      </w:r>
    </w:p>
    <w:p>
      <w:pPr>
        <w:pStyle w:val="TextBody"/>
      </w:pPr>
      <w:r>
        <w:t xml:space="preserve">Ludmilla Cavalcanti Antunes Lucena: Supervision, Validation.</w:t>
      </w:r>
    </w:p>
    <w:p>
      <w:pPr>
        <w:pStyle w:val="TextBody"/>
      </w:pPr>
      <w:r>
        <w:t xml:space="preserve">Thais Xavier de Melo: Supervision, Validation.</w:t>
      </w:r>
    </w:p>
    <w:p>
      <w:pPr>
        <w:pStyle w:val="TextBody"/>
      </w:pPr>
      <w:r>
        <w:t xml:space="preserve">Elvio Sergio Figueredo Medeiros: Conceptualization, Data Curation, Formal Analysis, Funding Acquisition, Investigation, Methodology, Project Administration, Resources, Software, Supervision, Validation, Visualization, Writing – original draft, Writing – review &amp; editing.</w:t>
      </w:r>
    </w:p>
    <w:bookmarkEnd w:id="26"/>
    <w:bookmarkStart w:id="27" w:name="ethical-approval"/>
    <w:p>
      <w:pPr>
        <w:pStyle w:val="Heading1"/>
      </w:pPr>
      <w:r>
        <w:t xml:space="preserve">Ethical approval</w:t>
      </w:r>
    </w:p>
    <w:p>
      <w:pPr>
        <w:pStyle w:val="FirstParagraph"/>
      </w:pPr>
      <w:r>
        <w:t xml:space="preserve">Activities inside the REBIO Guaribas were authorized by the Instituto Chico Mendes de Conservação da Biodiversidade (license no. SISBIO-89415-1, SISBIO-89429-2 and SISBIO-89415-2).</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w:t>
      </w:r>
      <w:r>
        <w:t xml:space="preserve"> </w:t>
      </w:r>
      <w:r>
        <w:t xml:space="preserve">(CNPq 2026)</w:t>
      </w:r>
      <w:r>
        <w:t xml:space="preserve">.</w:t>
      </w:r>
    </w:p>
    <w:bookmarkEnd w:id="28"/>
    <w:bookmarkStart w:id="129" w:name="references"/>
    <w:p>
      <w:pPr>
        <w:pStyle w:val="Heading1"/>
      </w:pPr>
      <w:r>
        <w:t xml:space="preserve">References</w:t>
      </w:r>
    </w:p>
    <w:bookmarkStart w:id="128" w:name="refs"/>
    <w:bookmarkStart w:id="30" w:name="ref-anderson2013"/>
    <w:p>
      <w:pPr>
        <w:pStyle w:val="Bibliography"/>
      </w:pPr>
      <w:r>
        <w:t xml:space="preserve">Anderson, M. J., and D. C. I. Walsh. 2013.</w:t>
      </w:r>
      <w:r>
        <w:t xml:space="preserve"> </w:t>
      </w:r>
      <w:hyperlink r:id="rId29">
        <w:r>
          <w:rPr>
            <w:rStyle w:val="Hyperlink"/>
          </w:rPr>
          <w:t xml:space="preserve">PERMANOVA, ANOSIM, and the mantel test in the face of heterogeneous dispersions: What null hypothesis are you testing?</w:t>
        </w:r>
      </w:hyperlink>
      <w:r>
        <w:t xml:space="preserve"> Ecological Monographs 83:557574.</w:t>
      </w:r>
    </w:p>
    <w:bookmarkEnd w:id="30"/>
    <w:bookmarkStart w:id="32" w:name="ref-apha1998"/>
    <w:p>
      <w:pPr>
        <w:pStyle w:val="Bibliography"/>
      </w:pPr>
      <w:r>
        <w:t xml:space="preserve">APHA. 1998.</w:t>
      </w:r>
      <w:r>
        <w:t xml:space="preserve"> </w:t>
      </w:r>
      <w:hyperlink r:id="rId31">
        <w:r>
          <w:rPr>
            <w:rStyle w:val="Hyperlink"/>
          </w:rPr>
          <w:t xml:space="preserve">Standard methods for the examination of water and wastewater</w:t>
        </w:r>
      </w:hyperlink>
      <w:r>
        <w:t xml:space="preserve">. Washington, DC.</w:t>
      </w:r>
    </w:p>
    <w:bookmarkEnd w:id="32"/>
    <w:bookmarkStart w:id="34" w:name="ref-arruda2013"/>
    <w:p>
      <w:pPr>
        <w:pStyle w:val="Bibliography"/>
      </w:pPr>
      <w:r>
        <w:t xml:space="preserve">Arruda, D. B., B. P. Cunha, and K. M. C. Rêgo. 2013.</w:t>
      </w:r>
      <w:r>
        <w:t xml:space="preserve"> </w:t>
      </w:r>
      <w:hyperlink r:id="rId33">
        <w:r>
          <w:rPr>
            <w:rStyle w:val="Hyperlink"/>
          </w:rPr>
          <w:t xml:space="preserve">Conflitos entre REBIO Guaribas e comunidades locais: (in)justiça ambiental e ecologia política</w:t>
        </w:r>
      </w:hyperlink>
      <w:r>
        <w:t xml:space="preserve">. Revista Direitos Emergentes na Sociedade Global 2:280–304.</w:t>
      </w:r>
    </w:p>
    <w:bookmarkEnd w:id="34"/>
    <w:bookmarkStart w:id="36" w:name="ref-ávila2011"/>
    <w:p>
      <w:pPr>
        <w:pStyle w:val="Bibliography"/>
      </w:pPr>
      <w:r>
        <w:t xml:space="preserve">Ávila, A. C., C. Stenert, and L. Maltchik. 2011.</w:t>
      </w:r>
      <w:r>
        <w:t xml:space="preserve"> </w:t>
      </w:r>
      <w:hyperlink r:id="rId35">
        <w:r>
          <w:rPr>
            <w:rStyle w:val="Hyperlink"/>
          </w:rPr>
          <w:t xml:space="preserve">Partitioning macroinvertebrate diversity across different spatial scales in southern brazil coastal wetlands</w:t>
        </w:r>
      </w:hyperlink>
      <w:r>
        <w:t xml:space="preserve">. Wetlands 31:459–469.</w:t>
      </w:r>
    </w:p>
    <w:bookmarkEnd w:id="36"/>
    <w:bookmarkStart w:id="38" w:name="ref-baselga2010"/>
    <w:p>
      <w:pPr>
        <w:pStyle w:val="Bibliography"/>
      </w:pPr>
      <w:r>
        <w:t xml:space="preserve">Baselga, A. 2010.</w:t>
      </w:r>
      <w:r>
        <w:t xml:space="preserve"> </w:t>
      </w:r>
      <w:hyperlink r:id="rId37">
        <w:r>
          <w:rPr>
            <w:rStyle w:val="Hyperlink"/>
          </w:rPr>
          <w:t xml:space="preserve">Partitioning the turnover and nestedness components of beta diversity</w:t>
        </w:r>
      </w:hyperlink>
      <w:r>
        <w:t xml:space="preserve">. Global Ecology and Biogeography 19:134–143.</w:t>
      </w:r>
    </w:p>
    <w:bookmarkEnd w:id="38"/>
    <w:bookmarkStart w:id="40" w:name="ref-baselga2012"/>
    <w:p>
      <w:pPr>
        <w:pStyle w:val="Bibliography"/>
      </w:pPr>
      <w:r>
        <w:t xml:space="preserve">Baselga, A. 2012.</w:t>
      </w:r>
      <w:r>
        <w:t xml:space="preserve"> </w:t>
      </w:r>
      <w:hyperlink r:id="rId39">
        <w:r>
          <w:rPr>
            <w:rStyle w:val="Hyperlink"/>
          </w:rPr>
          <w:t xml:space="preserve">The relationship between species replacement, dissimilarity derived from nestedness, and nestedness</w:t>
        </w:r>
      </w:hyperlink>
      <w:r>
        <w:t xml:space="preserve">. Global Ecology and Biogeography 21:1223–1232.</w:t>
      </w:r>
    </w:p>
    <w:bookmarkEnd w:id="40"/>
    <w:bookmarkStart w:id="42" w:name="ref-belbin1993"/>
    <w:p>
      <w:pPr>
        <w:pStyle w:val="Bibliography"/>
      </w:pPr>
      <w:r>
        <w:t xml:space="preserve">Belbin, L., and C. McDonald. 1993.</w:t>
      </w:r>
      <w:r>
        <w:t xml:space="preserve"> </w:t>
      </w:r>
      <w:hyperlink r:id="rId41">
        <w:r>
          <w:rPr>
            <w:rStyle w:val="Hyperlink"/>
          </w:rPr>
          <w:t xml:space="preserve">Comparing three classification strategies for use in ecology</w:t>
        </w:r>
      </w:hyperlink>
      <w:r>
        <w:t xml:space="preserve">. Journal of Vegetation Science 4:341–348.</w:t>
      </w:r>
    </w:p>
    <w:bookmarkEnd w:id="42"/>
    <w:bookmarkStart w:id="44" w:name="ref-brasil2000"/>
    <w:p>
      <w:pPr>
        <w:pStyle w:val="Bibliography"/>
      </w:pPr>
      <w:r>
        <w:t xml:space="preserve">Brasil. 2000.</w:t>
      </w:r>
      <w:r>
        <w:t xml:space="preserve"> </w:t>
      </w:r>
      <w:hyperlink r:id="rId43">
        <w:r>
          <w:rPr>
            <w:rStyle w:val="Hyperlink"/>
          </w:rPr>
          <w:t xml:space="preserve">Lei no 9.985, de 18 de julho de 2000. Regulamenta o art. 225, § 1o, incisos i, II, III e VII da constituição federal, institui o sistema nacional de unidades de conservação da natureza e dá outras providências.</w:t>
        </w:r>
      </w:hyperlink>
    </w:p>
    <w:bookmarkEnd w:id="44"/>
    <w:bookmarkStart w:id="46" w:name="ref-cnpq2026"/>
    <w:p>
      <w:pPr>
        <w:pStyle w:val="Bibliography"/>
      </w:pPr>
      <w:r>
        <w:t xml:space="preserve">CNPq. 2026.</w:t>
      </w:r>
      <w:r>
        <w:t xml:space="preserve"> </w:t>
      </w:r>
      <w:hyperlink r:id="rId45">
        <w:r>
          <w:rPr>
            <w:rStyle w:val="Hyperlink"/>
          </w:rPr>
          <w:t xml:space="preserve">Portaria 2664/2026 de 6 de março de 2026 - política de integridade na atividade científica do CNPq</w:t>
        </w:r>
      </w:hyperlink>
      <w:r>
        <w:t xml:space="preserve">.</w:t>
      </w:r>
    </w:p>
    <w:bookmarkEnd w:id="46"/>
    <w:bookmarkStart w:id="48" w:name="ref-credit2026"/>
    <w:p>
      <w:pPr>
        <w:pStyle w:val="Bibliography"/>
      </w:pPr>
      <w:r>
        <w:t xml:space="preserve">CRediT. 2026.</w:t>
      </w:r>
      <w:r>
        <w:t xml:space="preserve"> </w:t>
      </w:r>
      <w:hyperlink r:id="rId47">
        <w:r>
          <w:rPr>
            <w:rStyle w:val="Hyperlink"/>
          </w:rPr>
          <w:t xml:space="preserve">CRediT - contributor role taxonomy</w:t>
        </w:r>
      </w:hyperlink>
      <w:r>
        <w:t xml:space="preserve">.</w:t>
      </w:r>
    </w:p>
    <w:bookmarkEnd w:id="48"/>
    <w:bookmarkStart w:id="50" w:name="ref-crist2003"/>
    <w:p>
      <w:pPr>
        <w:pStyle w:val="Bibliography"/>
      </w:pPr>
      <w:r>
        <w:t xml:space="preserve">Crist, Thomas O., Joseph A. Veech, Jon C. Gering, and Keith S. Summerville. 2003.</w:t>
      </w:r>
      <w:r>
        <w:t xml:space="preserve"> </w:t>
      </w:r>
      <w:hyperlink r:id="rId49">
        <w:r>
          <w:rPr>
            <w:rStyle w:val="Hyperlink"/>
          </w:rPr>
          <w:t xml:space="preserve">Partitioning species diversity across landscapes and regions: A hierarchical analysis of α, β, and γ diversity</w:t>
        </w:r>
      </w:hyperlink>
      <w:r>
        <w:t xml:space="preserve">. The American Naturalist 162:734–743.</w:t>
      </w:r>
    </w:p>
    <w:bookmarkEnd w:id="50"/>
    <w:bookmarkStart w:id="52" w:name="ref-diniz-reis2022"/>
    <w:p>
      <w:pPr>
        <w:pStyle w:val="Bibliography"/>
      </w:pPr>
      <w:r>
        <w:t xml:space="preserve">Diniz-Reis, T. R., F. G. Augusto, A. L. Abdalla Filho, M. G. D. S. Araújo, S. S. F. Chaves, R. F. Almeida, E. B. Perez, C. D. P. Simon, J. De Souza, C. F. G. Da Costa, T. Gomes, M. G. Martinez, A. Soltangheisi, E. Mariano, A. S. Vanin, T. Andrade, A. Boesing, F. J. V. Costa, M. D. Fortuna, V. M. Guedes, T. B. Kisaka, C. Kruszynski, N. F. Lara, R. A. M. Lima, V. Pompermaier, B. D. S. Rangel, J. F. Ribeiro, A. D. Santi Junior, M. Tassoni Filho, A. Ferreira, T. S. Marques, A. L. Pereira, L. M. D. S. Aguiar, M. B. D. Anjos, E. S. F. Medeiros, E. Benedito, D. F. Calheiros, R. A. Christofoletti, M. Cremer, P. J. Duarte-Neto, G. B. Nardoto, A. C. B. D. Oliveira, C. E. D. Rezende, M. Da Silva, J. A. S. Zuanon, L. Verdade, M. Z. Moreira, P. B. D. Camargo, and L. A. Martinelli. 2022.</w:t>
      </w:r>
      <w:r>
        <w:t xml:space="preserve"> </w:t>
      </w:r>
      <w:hyperlink r:id="rId51">
        <w:r>
          <w:rPr>
            <w:rStyle w:val="Hyperlink"/>
          </w:rPr>
          <w:t xml:space="preserve">SIA</w:t>
        </w:r>
        <w:r>
          <w:rPr>
            <w:rStyle w:val="Hyperlink"/>
          </w:rPr>
          <w:t xml:space="preserve">-</w:t>
        </w:r>
        <w:r>
          <w:rPr>
            <w:rStyle w:val="Hyperlink"/>
          </w:rPr>
          <w:t xml:space="preserve">BRA: A database of animal stable carbon and nitrogen isotope ratios of brazil</w:t>
        </w:r>
      </w:hyperlink>
      <w:r>
        <w:t xml:space="preserve">. Global Ecology and Biogeography 31:611–620.</w:t>
      </w:r>
    </w:p>
    <w:bookmarkEnd w:id="52"/>
    <w:bookmarkStart w:id="54" w:name="ref-epa2020"/>
    <w:p>
      <w:pPr>
        <w:pStyle w:val="Bibliography"/>
      </w:pPr>
      <w:r>
        <w:t xml:space="preserve">EPA. 2020.</w:t>
      </w:r>
      <w:r>
        <w:t xml:space="preserve"> </w:t>
      </w:r>
      <w:hyperlink r:id="rId53">
        <w:r>
          <w:rPr>
            <w:rStyle w:val="Hyperlink"/>
          </w:rPr>
          <w:t xml:space="preserve">Standard operating procedure for zooplankton sample collection and preservation</w:t>
        </w:r>
      </w:hyperlink>
      <w:r>
        <w:t xml:space="preserve">.</w:t>
      </w:r>
    </w:p>
    <w:bookmarkEnd w:id="54"/>
    <w:bookmarkStart w:id="56" w:name="ref-farias2020"/>
    <w:p>
      <w:pPr>
        <w:pStyle w:val="Bibliography"/>
      </w:pPr>
      <w:r>
        <w:t xml:space="preserve">Farias, R. L., C. Stenert, L. Maltchik, and E. S. F. Medeiros. 2020.</w:t>
      </w:r>
      <w:r>
        <w:t xml:space="preserve"> </w:t>
      </w:r>
      <w:hyperlink r:id="rId55">
        <w:r>
          <w:rPr>
            <w:rStyle w:val="Hyperlink"/>
          </w:rPr>
          <w:t xml:space="preserve">Partitioning of macroinvertebrate assemblages across temporary pools in an intermittent dryland river</w:t>
        </w:r>
      </w:hyperlink>
      <w:r>
        <w:t xml:space="preserve">. Inland Waters 10:480–492.</w:t>
      </w:r>
    </w:p>
    <w:bookmarkEnd w:id="56"/>
    <w:bookmarkStart w:id="58" w:name="ref-farris1969"/>
    <w:p>
      <w:pPr>
        <w:pStyle w:val="Bibliography"/>
      </w:pPr>
      <w:r>
        <w:t xml:space="preserve">Farris, J. S. 1969.</w:t>
      </w:r>
      <w:r>
        <w:t xml:space="preserve"> </w:t>
      </w:r>
      <w:hyperlink r:id="rId57">
        <w:r>
          <w:rPr>
            <w:rStyle w:val="Hyperlink"/>
          </w:rPr>
          <w:t xml:space="preserve">On the cophenetic correlation coefficient</w:t>
        </w:r>
      </w:hyperlink>
      <w:r>
        <w:t xml:space="preserve">. Systematic Zoology 18:279.</w:t>
      </w:r>
    </w:p>
    <w:bookmarkEnd w:id="58"/>
    <w:bookmarkStart w:id="60" w:name="ref-freiry2020"/>
    <w:p>
      <w:pPr>
        <w:pStyle w:val="Bibliography"/>
      </w:pPr>
      <w:r>
        <w:t xml:space="preserve">Freiry, R. F., V. Weber, C. C. Bonecker, F. A. Lansac-Tôha, M. M. Pires, C. Stenert, and L. Maltchik. 2020.</w:t>
      </w:r>
      <w:r>
        <w:t xml:space="preserve"> </w:t>
      </w:r>
      <w:hyperlink r:id="rId59">
        <w:r>
          <w:rPr>
            <w:rStyle w:val="Hyperlink"/>
          </w:rPr>
          <w:t xml:space="preserve">Additive partitioning of the diversity of the dormant zooplankton communities in intermittent ponds along a forest</w:t>
        </w:r>
        <w:r>
          <w:rPr>
            <w:rStyle w:val="Hyperlink"/>
          </w:rPr>
          <w:t xml:space="preserve">grassland transition</w:t>
        </w:r>
      </w:hyperlink>
      <w:r>
        <w:t xml:space="preserve">. Hydrobiologia 847:1327–1342.</w:t>
      </w:r>
    </w:p>
    <w:bookmarkEnd w:id="60"/>
    <w:bookmarkStart w:id="62" w:name="ref-frissell1986"/>
    <w:p>
      <w:pPr>
        <w:pStyle w:val="Bibliography"/>
      </w:pPr>
      <w:r>
        <w:t xml:space="preserve">Frissell, C. A., W. J. Liss, C. E. Warren, and M. D. Hurley. 1986.</w:t>
      </w:r>
      <w:r>
        <w:t xml:space="preserve"> </w:t>
      </w:r>
      <w:hyperlink r:id="rId61">
        <w:r>
          <w:rPr>
            <w:rStyle w:val="Hyperlink"/>
          </w:rPr>
          <w:t xml:space="preserve">A hierarchical framework for stream habitat classification: Viewing streams in a watershed context</w:t>
        </w:r>
      </w:hyperlink>
      <w:r>
        <w:t xml:space="preserve">. Environmental Management 10:199–214.</w:t>
      </w:r>
    </w:p>
    <w:bookmarkEnd w:id="62"/>
    <w:bookmarkStart w:id="64" w:name="ref-gering2003"/>
    <w:p>
      <w:pPr>
        <w:pStyle w:val="Bibliography"/>
      </w:pPr>
      <w:r>
        <w:t xml:space="preserve">Gering, J. C., T. O. Crist, and J. A. Veech. 2003.</w:t>
      </w:r>
      <w:r>
        <w:t xml:space="preserve"> </w:t>
      </w:r>
      <w:hyperlink r:id="rId63">
        <w:r>
          <w:rPr>
            <w:rStyle w:val="Hyperlink"/>
          </w:rPr>
          <w:t xml:space="preserve">Additive partitioning of species diversity across multiple spatial scales: Implications for regional conservation of biodiversity</w:t>
        </w:r>
      </w:hyperlink>
      <w:r>
        <w:t xml:space="preserve">. Conservation Biology 17:488–499.</w:t>
      </w:r>
    </w:p>
    <w:bookmarkEnd w:id="64"/>
    <w:bookmarkStart w:id="66" w:name="ref-gouveia2017"/>
    <w:p>
      <w:pPr>
        <w:pStyle w:val="Bibliography"/>
      </w:pPr>
      <w:r>
        <w:t xml:space="preserve">Gouveia, R. S. D., G. L. D. A. Lira, T. P. A. Ramos, and E. S. F. Medeiros. 2017.</w:t>
      </w:r>
      <w:r>
        <w:t xml:space="preserve"> </w:t>
      </w:r>
      <w:hyperlink r:id="rId65">
        <w:r>
          <w:rPr>
            <w:rStyle w:val="Hyperlink"/>
          </w:rPr>
          <w:t xml:space="preserve">Ichthyofauna of the reserva biológica guaribas and surrounding areas, state of paraíba, brazil</w:t>
        </w:r>
      </w:hyperlink>
      <w:r>
        <w:t xml:space="preserve">. Check List 13:581–590.</w:t>
      </w:r>
    </w:p>
    <w:bookmarkEnd w:id="66"/>
    <w:bookmarkStart w:id="68" w:name="ref-haney1973"/>
    <w:p>
      <w:pPr>
        <w:pStyle w:val="Bibliography"/>
      </w:pPr>
      <w:r>
        <w:t xml:space="preserve">Haney, J. F., and D. J. Hall. 1973.</w:t>
      </w:r>
      <w:r>
        <w:t xml:space="preserve"> </w:t>
      </w:r>
      <w:hyperlink r:id="rId67">
        <w:r>
          <w:rPr>
            <w:rStyle w:val="Hyperlink"/>
          </w:rPr>
          <w:t xml:space="preserve">Sugar</w:t>
        </w:r>
        <w:r>
          <w:rPr>
            <w:rStyle w:val="Hyperlink"/>
          </w:rPr>
          <w:t xml:space="preserve">-</w:t>
        </w:r>
        <w:r>
          <w:rPr>
            <w:rStyle w:val="Hyperlink"/>
          </w:rPr>
          <w:t xml:space="preserve">coated</w:t>
        </w:r>
        <w:r>
          <w:rPr>
            <w:rStyle w:val="Hyperlink"/>
          </w:rPr>
          <w:t xml:space="preserve"> </w:t>
        </w:r>
        <w:r>
          <w:rPr>
            <w:rStyle w:val="Hyperlink"/>
            <w:i/>
            <w:iCs/>
          </w:rPr>
          <w:t xml:space="preserve">Daphnia</w:t>
        </w:r>
        <w:r>
          <w:rPr>
            <w:rStyle w:val="Hyperlink"/>
          </w:rPr>
          <w:t xml:space="preserve"> </w:t>
        </w:r>
        <w:r>
          <w:rPr>
            <w:rStyle w:val="Hyperlink"/>
          </w:rPr>
          <w:t xml:space="preserve">: A preservation technique for Cladocera1</w:t>
        </w:r>
      </w:hyperlink>
      <w:r>
        <w:t xml:space="preserve">. Limnology and Oceanography 18:331–333.</w:t>
      </w:r>
    </w:p>
    <w:bookmarkEnd w:id="68"/>
    <w:bookmarkStart w:id="70" w:name="ref-heinrichs2017"/>
    <w:p>
      <w:pPr>
        <w:pStyle w:val="Bibliography"/>
      </w:pPr>
      <w:r>
        <w:t xml:space="preserve">Heinrichs, R., R. Otto, A. Magalhães, and G. C. Meirelles. 2017.</w:t>
      </w:r>
      <w:r>
        <w:t xml:space="preserve"> </w:t>
      </w:r>
      <w:hyperlink r:id="rId69">
        <w:r>
          <w:rPr>
            <w:rStyle w:val="Hyperlink"/>
          </w:rPr>
          <w:t xml:space="preserve">Importance of sugarcane in brazilian and world bioeconomy</w:t>
        </w:r>
      </w:hyperlink>
      <w:r>
        <w:t xml:space="preserve">. Pages 205–217</w:t>
      </w:r>
      <w:r>
        <w:t xml:space="preserve"> </w:t>
      </w:r>
      <w:r>
        <w:rPr>
          <w:i/>
          <w:iCs/>
        </w:rPr>
        <w:t xml:space="preserve">in</w:t>
      </w:r>
      <w:r>
        <w:t xml:space="preserve"> </w:t>
      </w:r>
      <w:r>
        <w:t xml:space="preserve">S. Dabbert, I. Lewandowski, J. Weiss, and A. Pyka, editors. Springer International Publishing, Cham, Switzerland.</w:t>
      </w:r>
    </w:p>
    <w:bookmarkEnd w:id="70"/>
    <w:bookmarkStart w:id="72" w:name="ref-kaufman1990"/>
    <w:p>
      <w:pPr>
        <w:pStyle w:val="Bibliography"/>
      </w:pPr>
      <w:r>
        <w:t xml:space="preserve">Kaufman, L., and P. J. Rousseeuw. 1990.</w:t>
      </w:r>
      <w:r>
        <w:t xml:space="preserve"> </w:t>
      </w:r>
      <w:hyperlink r:id="rId71">
        <w:r>
          <w:rPr>
            <w:rStyle w:val="Hyperlink"/>
          </w:rPr>
          <w:t xml:space="preserve">Agglomerative nesting (program AGNES)</w:t>
        </w:r>
      </w:hyperlink>
      <w:r>
        <w:t xml:space="preserve">. Pages 199–252. First edition. Wiley.</w:t>
      </w:r>
    </w:p>
    <w:bookmarkEnd w:id="72"/>
    <w:bookmarkStart w:id="74" w:name="ref-lande1996"/>
    <w:p>
      <w:pPr>
        <w:pStyle w:val="Bibliography"/>
      </w:pPr>
      <w:r>
        <w:t xml:space="preserve">Lande, R. 1996.</w:t>
      </w:r>
      <w:r>
        <w:t xml:space="preserve"> </w:t>
      </w:r>
      <w:hyperlink r:id="rId73">
        <w:r>
          <w:rPr>
            <w:rStyle w:val="Hyperlink"/>
          </w:rPr>
          <w:t xml:space="preserve">Statistics and partitioning of species diversity, and similarity among multiple communities</w:t>
        </w:r>
      </w:hyperlink>
      <w:r>
        <w:t xml:space="preserve">. Oikos 76:5.</w:t>
      </w:r>
    </w:p>
    <w:bookmarkEnd w:id="74"/>
    <w:bookmarkStart w:id="75" w:name="ref-lê2008"/>
    <w:p>
      <w:pPr>
        <w:pStyle w:val="Bibliography"/>
      </w:pPr>
      <w:r>
        <w:t xml:space="preserve">Lê, S., J. Josse, and F. Husson. 2008. FactoMineR: An r package for multivariate analysis. Journal of Statistical Software 25:1–18.</w:t>
      </w:r>
    </w:p>
    <w:bookmarkEnd w:id="75"/>
    <w:bookmarkStart w:id="76" w:name="ref-legendre1998"/>
    <w:p>
      <w:pPr>
        <w:pStyle w:val="Bibliography"/>
      </w:pPr>
      <w:r>
        <w:t xml:space="preserve">Legendre, P., and L. Legendre. 1998. Numerical ecology. 2nd English ed. Amsterdam, The Netherlands ; New York ; Oxford.</w:t>
      </w:r>
    </w:p>
    <w:bookmarkEnd w:id="76"/>
    <w:bookmarkStart w:id="78" w:name="ref-ligeiro2010"/>
    <w:p>
      <w:pPr>
        <w:pStyle w:val="Bibliography"/>
      </w:pPr>
      <w:r>
        <w:t xml:space="preserve">Ligeiro, R., A. S. Melo, and M. Callisto. 2010.</w:t>
      </w:r>
      <w:r>
        <w:t xml:space="preserve"> </w:t>
      </w:r>
      <w:hyperlink r:id="rId77">
        <w:r>
          <w:rPr>
            <w:rStyle w:val="Hyperlink"/>
          </w:rPr>
          <w:t xml:space="preserve">Spatial scale and the diversity of macroinvertebrates in a neotropical catchment</w:t>
        </w:r>
      </w:hyperlink>
      <w:r>
        <w:t xml:space="preserve">. Freshwater Biology 2010:424–435.</w:t>
      </w:r>
    </w:p>
    <w:bookmarkEnd w:id="78"/>
    <w:bookmarkStart w:id="80" w:name="ref-lucena2015"/>
    <w:p>
      <w:pPr>
        <w:pStyle w:val="Bibliography"/>
      </w:pPr>
      <w:r>
        <w:t xml:space="preserve">Lucena, L. C. A., T. X. Melo, and E. S. F. Medeiros. 2015.</w:t>
      </w:r>
      <w:r>
        <w:t xml:space="preserve"> </w:t>
      </w:r>
      <w:hyperlink r:id="rId79">
        <w:r>
          <w:rPr>
            <w:rStyle w:val="Hyperlink"/>
          </w:rPr>
          <w:t xml:space="preserve">Zooplankton community of parnaíba river, northeastern brazil</w:t>
        </w:r>
      </w:hyperlink>
      <w:r>
        <w:t xml:space="preserve">. Acta Limnologica Brasiliensia 27:118–129.</w:t>
      </w:r>
    </w:p>
    <w:bookmarkEnd w:id="80"/>
    <w:bookmarkStart w:id="81" w:name="ref-mackereth1978"/>
    <w:p>
      <w:pPr>
        <w:pStyle w:val="Bibliography"/>
      </w:pPr>
      <w:r>
        <w:t xml:space="preserve">Mackereth, F. J. H., J. Heron, and J. F. Talling. 1978. Water analysis: Some revised methods for limnologists.(scientific publication n. 36) freshwater biological association. Cumbria and Dorset, England.</w:t>
      </w:r>
    </w:p>
    <w:bookmarkEnd w:id="81"/>
    <w:bookmarkStart w:id="83" w:name="ref-maechler2026"/>
    <w:p>
      <w:pPr>
        <w:pStyle w:val="Bibliography"/>
      </w:pPr>
      <w:r>
        <w:t xml:space="preserve">Maechler, M., P. Rousseeuw, A. Struyf, M. Hubert, and K. Hornik. 2026.</w:t>
      </w:r>
      <w:r>
        <w:t xml:space="preserve"> </w:t>
      </w:r>
      <w:hyperlink r:id="rId82">
        <w:r>
          <w:rPr>
            <w:rStyle w:val="Hyperlink"/>
          </w:rPr>
          <w:t xml:space="preserve">Cluster: Cluster analysis basics and extensions</w:t>
        </w:r>
      </w:hyperlink>
      <w:r>
        <w:t xml:space="preserve">.</w:t>
      </w:r>
    </w:p>
    <w:bookmarkEnd w:id="83"/>
    <w:bookmarkStart w:id="85" w:name="ref-maitland1990"/>
    <w:p>
      <w:pPr>
        <w:pStyle w:val="Bibliography"/>
      </w:pPr>
      <w:r>
        <w:t xml:space="preserve">Maitland, P. S. 1990.</w:t>
      </w:r>
      <w:r>
        <w:t xml:space="preserve"> </w:t>
      </w:r>
      <w:hyperlink r:id="rId84">
        <w:r>
          <w:rPr>
            <w:rStyle w:val="Hyperlink"/>
          </w:rPr>
          <w:t xml:space="preserve">Biology of fresh waters</w:t>
        </w:r>
      </w:hyperlink>
      <w:r>
        <w:t xml:space="preserve">. First edition. Springer Netherlands, Dordrecht.</w:t>
      </w:r>
    </w:p>
    <w:bookmarkEnd w:id="85"/>
    <w:bookmarkStart w:id="86" w:name="ref-mccune2002"/>
    <w:p>
      <w:pPr>
        <w:pStyle w:val="Bibliography"/>
      </w:pPr>
      <w:r>
        <w:t xml:space="preserve">McCune, B., and J. B. Grace. 2002. Analysis of ecological communities. MjM Software Design, Gleneden Beach, Oregon, U.S.A.</w:t>
      </w:r>
    </w:p>
    <w:bookmarkEnd w:id="86"/>
    <w:bookmarkStart w:id="88" w:name="ref-medeiros2008"/>
    <w:p>
      <w:pPr>
        <w:pStyle w:val="Bibliography"/>
      </w:pPr>
      <w:r>
        <w:t xml:space="preserve">Medeiros, E. S. F., M. J. Silva, and R. T. C. Ramos. 2008.</w:t>
      </w:r>
      <w:r>
        <w:t xml:space="preserve"> </w:t>
      </w:r>
      <w:hyperlink r:id="rId87">
        <w:r>
          <w:rPr>
            <w:rStyle w:val="Hyperlink"/>
          </w:rPr>
          <w:t xml:space="preserve">Application of catchment- and local-scale variables for aquatic habitat characterization and assessment in the Brazilian semi-arid region</w:t>
        </w:r>
      </w:hyperlink>
      <w:r>
        <w:t xml:space="preserve">. Neotropical Biology and Conservation 3:13–20.</w:t>
      </w:r>
    </w:p>
    <w:bookmarkEnd w:id="88"/>
    <w:bookmarkStart w:id="90" w:name="ref-mehla2026"/>
    <w:p>
      <w:pPr>
        <w:pStyle w:val="Bibliography"/>
      </w:pPr>
      <w:r>
        <w:t xml:space="preserve">Mehla, M. K., J. Jeong, G. Cho, J. E. Wolfe, and E. Kan. 2026.</w:t>
      </w:r>
      <w:r>
        <w:t xml:space="preserve"> </w:t>
      </w:r>
      <w:hyperlink r:id="rId89">
        <w:r>
          <w:rPr>
            <w:rStyle w:val="Hyperlink"/>
          </w:rPr>
          <w:t xml:space="preserve">How agricultural field management modulates downstream transport of antibiotics, bacteria and nutrients in runoff water using edge-of-field monitoring</w:t>
        </w:r>
      </w:hyperlink>
      <w:r>
        <w:t xml:space="preserve">. Water Research 307:126704.</w:t>
      </w:r>
    </w:p>
    <w:bookmarkEnd w:id="90"/>
    <w:bookmarkStart w:id="92" w:name="ref-melo2014"/>
    <w:p>
      <w:pPr>
        <w:pStyle w:val="Bibliography"/>
      </w:pPr>
      <w:r>
        <w:t xml:space="preserve">Melo, T. X. D., L. D. J. S. Lourenço, and E. S. F. Medeiros. 2014.</w:t>
      </w:r>
      <w:r>
        <w:t xml:space="preserve"> </w:t>
      </w:r>
      <w:hyperlink r:id="rId91">
        <w:r>
          <w:rPr>
            <w:rStyle w:val="Hyperlink"/>
          </w:rPr>
          <w:t xml:space="preserve">Checklist of zooplankton from the upper ipanema river (pernambuco), an intermittent river in semi-arid brazil</w:t>
        </w:r>
      </w:hyperlink>
      <w:r>
        <w:t xml:space="preserve">. Check List 10:524–528.</w:t>
      </w:r>
    </w:p>
    <w:bookmarkEnd w:id="92"/>
    <w:bookmarkStart w:id="94" w:name="ref-melo2013"/>
    <w:p>
      <w:pPr>
        <w:pStyle w:val="Bibliography"/>
      </w:pPr>
      <w:r>
        <w:t xml:space="preserve">Melo, T. X., and E. S. F. Medeiros. 2013.</w:t>
      </w:r>
      <w:r>
        <w:t xml:space="preserve"> </w:t>
      </w:r>
      <w:hyperlink r:id="rId93">
        <w:r>
          <w:rPr>
            <w:rStyle w:val="Hyperlink"/>
          </w:rPr>
          <w:t xml:space="preserve">Spatial distribution of zooplankton diversity across temporary pools in a semiarid intermittent river</w:t>
        </w:r>
      </w:hyperlink>
      <w:r>
        <w:t xml:space="preserve">. International Journal of Biodiversity 2013:1–13.</w:t>
      </w:r>
    </w:p>
    <w:bookmarkEnd w:id="94"/>
    <w:bookmarkStart w:id="95" w:name="ref-mma2003"/>
    <w:p>
      <w:pPr>
        <w:pStyle w:val="Bibliography"/>
      </w:pPr>
      <w:r>
        <w:t xml:space="preserve">MMA. 2003. Plano de Manejo da Reserva Biológica Guaribas. [S.I.].</w:t>
      </w:r>
    </w:p>
    <w:bookmarkEnd w:id="95"/>
    <w:bookmarkStart w:id="97" w:name="ref-mma2026"/>
    <w:p>
      <w:pPr>
        <w:pStyle w:val="Bibliography"/>
      </w:pPr>
      <w:r>
        <w:t xml:space="preserve">MMA. 2026.</w:t>
      </w:r>
      <w:r>
        <w:t xml:space="preserve"> </w:t>
      </w:r>
      <w:hyperlink r:id="rId96">
        <w:r>
          <w:rPr>
            <w:rStyle w:val="Hyperlink"/>
          </w:rPr>
          <w:t xml:space="preserve">Plano de manejo integrado do fogo 2026-2030. Reserva biológica guaribas</w:t>
        </w:r>
      </w:hyperlink>
      <w:r>
        <w:t xml:space="preserve">. Page 56. Mamanguape, PB.</w:t>
      </w:r>
    </w:p>
    <w:bookmarkEnd w:id="97"/>
    <w:bookmarkStart w:id="99" w:name="ref-mugodo2006"/>
    <w:p>
      <w:pPr>
        <w:pStyle w:val="Bibliography"/>
      </w:pPr>
      <w:r>
        <w:t xml:space="preserve">Mugodo, J., M. J. Kennard, P. Liston, S. Nichols, S. Linke, R. H. Norris, and M. Lintermans. 2006.</w:t>
      </w:r>
      <w:r>
        <w:t xml:space="preserve"> </w:t>
      </w:r>
      <w:hyperlink r:id="rId98">
        <w:r>
          <w:rPr>
            <w:rStyle w:val="Hyperlink"/>
          </w:rPr>
          <w:t xml:space="preserve">Local stream habitat variables predicted from catchment scale characteristics are useful for predicting fish distribution</w:t>
        </w:r>
      </w:hyperlink>
      <w:r>
        <w:t xml:space="preserve">. Hydrobiologia 572:59–70.</w:t>
      </w:r>
    </w:p>
    <w:bookmarkEnd w:id="99"/>
    <w:bookmarkStart w:id="101" w:name="ref-oksanen"/>
    <w:p>
      <w:pPr>
        <w:pStyle w:val="Bibliography"/>
      </w:pPr>
      <w:r>
        <w:t xml:space="preserve">Oksanen, J., G. L. Simpson, F. G. Blanchet, R. Kindt, P. Legendre, P. R. Minchin, R. B. O’Hara, P. Solymos, M. H. H. Stevens, E. Szoecs, H. Wagner, M. Barbour, M. Bedward, B. Bolker, D. Borcard, T. Borman, G. Carvalho, M. Chirico, M. Caceres, S. Durand, H. B. A. Evangelista, R. FitzJohn, M. Friendly, B. Furneaux, G. Hannigan, M. O. Hill, L. Lahti, C. Martino, D. McGlinn, M.-H. Ouellette, E. Ribeiro Cunha, T. Smith, A. Stier, C. J. F. T. Braak, and J. Weedon. (n.d.).</w:t>
      </w:r>
      <w:r>
        <w:t xml:space="preserve"> </w:t>
      </w:r>
      <w:hyperlink r:id="rId100">
        <w:r>
          <w:rPr>
            <w:rStyle w:val="Hyperlink"/>
          </w:rPr>
          <w:t xml:space="preserve">Vegan: Community ecology package</w:t>
        </w:r>
      </w:hyperlink>
      <w:r>
        <w:t xml:space="preserve">.</w:t>
      </w:r>
    </w:p>
    <w:bookmarkEnd w:id="101"/>
    <w:bookmarkStart w:id="103" w:name="ref-peel2007"/>
    <w:p>
      <w:pPr>
        <w:pStyle w:val="Bibliography"/>
      </w:pPr>
      <w:r>
        <w:t xml:space="preserve">Peel, M. C., B. L. Finlayson, and T. A. McMahon. 2007.</w:t>
      </w:r>
      <w:r>
        <w:t xml:space="preserve"> </w:t>
      </w:r>
      <w:hyperlink r:id="rId102">
        <w:r>
          <w:rPr>
            <w:rStyle w:val="Hyperlink"/>
          </w:rPr>
          <w:t xml:space="preserve">Updated world map of the köppen-geiger climate classification</w:t>
        </w:r>
      </w:hyperlink>
      <w:r>
        <w:t xml:space="preserve">. Hydrology and Earth System Sciences 11:1633–1644.</w:t>
      </w:r>
    </w:p>
    <w:bookmarkEnd w:id="103"/>
    <w:bookmarkStart w:id="105" w:name="ref-pereira2026"/>
    <w:p>
      <w:pPr>
        <w:pStyle w:val="Bibliography"/>
      </w:pPr>
      <w:r>
        <w:t xml:space="preserve">Pereira, K. M. G., N. G. Cordeiro, L. P. Z. L. Suzuki, and E. van den Berg. 2026.</w:t>
      </w:r>
      <w:r>
        <w:t xml:space="preserve"> </w:t>
      </w:r>
      <w:hyperlink r:id="rId104">
        <w:r>
          <w:rPr>
            <w:rStyle w:val="Hyperlink"/>
          </w:rPr>
          <w:t xml:space="preserve">How important are small fragments for restoration in the central portion of the atlantic forest?</w:t>
        </w:r>
      </w:hyperlink>
      <w:r>
        <w:t xml:space="preserve"> Biological Conservation 321:Article 111958.</w:t>
      </w:r>
    </w:p>
    <w:bookmarkEnd w:id="105"/>
    <w:bookmarkStart w:id="106" w:name="ref-pusey2004"/>
    <w:p>
      <w:pPr>
        <w:pStyle w:val="Bibliography"/>
      </w:pPr>
      <w:r>
        <w:t xml:space="preserve">Pusey, B., M. J. Kennard, and A. Arthington. 2004. Study area, data collection, analysis and presentation. Pages 26–48</w:t>
      </w:r>
      <w:r>
        <w:t xml:space="preserve"> </w:t>
      </w:r>
      <w:r>
        <w:rPr>
          <w:i/>
          <w:iCs/>
        </w:rPr>
        <w:t xml:space="preserve">in</w:t>
      </w:r>
      <w:r>
        <w:t xml:space="preserve"> </w:t>
      </w:r>
      <w:r>
        <w:t xml:space="preserve">B. Pusey, M. J. Kennard, and A. Arthington, editors. CSIRO Publishing, Melbourne, Australia. 682 pp.</w:t>
      </w:r>
    </w:p>
    <w:bookmarkEnd w:id="106"/>
    <w:bookmarkStart w:id="108" w:name="ref-rcoreteam2017"/>
    <w:p>
      <w:pPr>
        <w:pStyle w:val="Bibliography"/>
      </w:pPr>
      <w:r>
        <w:t xml:space="preserve">R Core Team. 2017.</w:t>
      </w:r>
      <w:r>
        <w:t xml:space="preserve"> </w:t>
      </w:r>
      <w:hyperlink r:id="rId107">
        <w:r>
          <w:rPr>
            <w:rStyle w:val="Hyperlink"/>
          </w:rPr>
          <w:t xml:space="preserve">R: A language and environment for statistical computing</w:t>
        </w:r>
      </w:hyperlink>
      <w:r>
        <w:t xml:space="preserve">.</w:t>
      </w:r>
    </w:p>
    <w:bookmarkEnd w:id="108"/>
    <w:bookmarkStart w:id="110" w:name="ref-rocha2012"/>
    <w:p>
      <w:pPr>
        <w:pStyle w:val="Bibliography"/>
      </w:pPr>
      <w:r>
        <w:t xml:space="preserve">Rocha, L. G., E. S. F. Medeiros, and H. T. A. Andrade. 2012.</w:t>
      </w:r>
      <w:r>
        <w:t xml:space="preserve"> </w:t>
      </w:r>
      <w:hyperlink r:id="rId109">
        <w:r>
          <w:rPr>
            <w:rStyle w:val="Hyperlink"/>
          </w:rPr>
          <w:t xml:space="preserve">Influence of flow variability on macroinvertebrate assemblages in an intermittent stream of semi-arid brazil</w:t>
        </w:r>
      </w:hyperlink>
      <w:r>
        <w:t xml:space="preserve">. Journal of Arid Environments 85:33–40.</w:t>
      </w:r>
    </w:p>
    <w:bookmarkEnd w:id="110"/>
    <w:bookmarkStart w:id="112" w:name="ref-saraçli2013"/>
    <w:p>
      <w:pPr>
        <w:pStyle w:val="Bibliography"/>
      </w:pPr>
      <w:r>
        <w:t xml:space="preserve">Saraçli, S., N. Doğan, and İ. Doğan. 2013.</w:t>
      </w:r>
      <w:r>
        <w:t xml:space="preserve"> </w:t>
      </w:r>
      <w:hyperlink r:id="rId111">
        <w:r>
          <w:rPr>
            <w:rStyle w:val="Hyperlink"/>
          </w:rPr>
          <w:t xml:space="preserve">Comparison of hierarchical cluster analysis methods by cophenetic correlation</w:t>
        </w:r>
      </w:hyperlink>
      <w:r>
        <w:t xml:space="preserve">. Journal of Inequalities and Applications 2013:203.</w:t>
      </w:r>
    </w:p>
    <w:bookmarkEnd w:id="112"/>
    <w:bookmarkStart w:id="114" w:name="ref-shell2018"/>
    <w:p>
      <w:pPr>
        <w:pStyle w:val="Bibliography"/>
      </w:pPr>
      <w:r>
        <w:t xml:space="preserve">Shell, T. M., and K. J. Collier. 2018.</w:t>
      </w:r>
      <w:r>
        <w:t xml:space="preserve"> </w:t>
      </w:r>
      <w:hyperlink r:id="rId113">
        <w:r>
          <w:rPr>
            <w:rStyle w:val="Hyperlink"/>
          </w:rPr>
          <w:t xml:space="preserve">Partitioning of macroinvertebrate communities in a large new zealand river highlights the role of multiple shore</w:t>
        </w:r>
        <w:r>
          <w:rPr>
            <w:rStyle w:val="Hyperlink"/>
          </w:rPr>
          <w:t xml:space="preserve">-</w:t>
        </w:r>
        <w:r>
          <w:rPr>
            <w:rStyle w:val="Hyperlink"/>
          </w:rPr>
          <w:t xml:space="preserve">zone habitat types</w:t>
        </w:r>
      </w:hyperlink>
      <w:r>
        <w:t xml:space="preserve">. River Research and Applications 34:993–1002.</w:t>
      </w:r>
    </w:p>
    <w:bookmarkEnd w:id="114"/>
    <w:bookmarkStart w:id="116" w:name="ref-silva2013"/>
    <w:p>
      <w:pPr>
        <w:pStyle w:val="Bibliography"/>
      </w:pPr>
      <w:r>
        <w:t xml:space="preserve">Silva, A. R., and C. T. S. Dias. 2013.</w:t>
      </w:r>
      <w:r>
        <w:t xml:space="preserve"> </w:t>
      </w:r>
      <w:hyperlink r:id="rId115">
        <w:r>
          <w:rPr>
            <w:rStyle w:val="Hyperlink"/>
          </w:rPr>
          <w:t xml:space="preserve">A cophenetic correlation coefficient for tocher’s method</w:t>
        </w:r>
      </w:hyperlink>
      <w:r>
        <w:t xml:space="preserve">. Pesquisa Agropecuária Brasileira 48:589–596.</w:t>
      </w:r>
    </w:p>
    <w:bookmarkEnd w:id="116"/>
    <w:bookmarkStart w:id="117" w:name="ref-silva2003"/>
    <w:p>
      <w:pPr>
        <w:pStyle w:val="Bibliography"/>
      </w:pPr>
      <w:r>
        <w:t xml:space="preserve">Silva, J. M. C., and C. H. M. Casteleti. 2003. Status of the biodiversity of the atlantic forest of brazil. Pages 43–59</w:t>
      </w:r>
      <w:r>
        <w:t xml:space="preserve"> </w:t>
      </w:r>
      <w:r>
        <w:rPr>
          <w:i/>
          <w:iCs/>
        </w:rPr>
        <w:t xml:space="preserve">in</w:t>
      </w:r>
      <w:r>
        <w:t xml:space="preserve"> </w:t>
      </w:r>
      <w:r>
        <w:t xml:space="preserve">C. Galindo-Leal and I. G. Câmara, editors. CABS; Island Press, Washington, DC.</w:t>
      </w:r>
    </w:p>
    <w:bookmarkEnd w:id="117"/>
    <w:bookmarkStart w:id="118" w:name="ref-sneath1973"/>
    <w:p>
      <w:pPr>
        <w:pStyle w:val="Bibliography"/>
      </w:pPr>
      <w:r>
        <w:t xml:space="preserve">Sneath, P. H. A., and R. R. Sokal. 1973. Numerical taxonomy: The principles and practice of numerical classification. First edition. W H Freeman &amp; Co.</w:t>
      </w:r>
    </w:p>
    <w:bookmarkEnd w:id="118"/>
    <w:bookmarkStart w:id="120" w:name="ref-sokal1962"/>
    <w:p>
      <w:pPr>
        <w:pStyle w:val="Bibliography"/>
      </w:pPr>
      <w:r>
        <w:t xml:space="preserve">Sokal, R. R., and F. J. Rohlf. 1962.</w:t>
      </w:r>
      <w:r>
        <w:t xml:space="preserve"> </w:t>
      </w:r>
      <w:hyperlink r:id="rId119">
        <w:r>
          <w:rPr>
            <w:rStyle w:val="Hyperlink"/>
          </w:rPr>
          <w:t xml:space="preserve">The comparison of dendrograms by objective methods</w:t>
        </w:r>
      </w:hyperlink>
      <w:r>
        <w:t xml:space="preserve">. Taxon 11:33–40.</w:t>
      </w:r>
    </w:p>
    <w:bookmarkEnd w:id="120"/>
    <w:bookmarkStart w:id="121" w:name="ref-sokal1995"/>
    <w:p>
      <w:pPr>
        <w:pStyle w:val="Bibliography"/>
      </w:pPr>
      <w:r>
        <w:t xml:space="preserve">Sokal, R. R., and F. J. Rohlf. 1995. Biometry: The principles and practice of statistics in biological research. Third edition. W.H. Freeman; Company, New York.</w:t>
      </w:r>
    </w:p>
    <w:bookmarkEnd w:id="121"/>
    <w:bookmarkStart w:id="123" w:name="ref-strahler1957"/>
    <w:p>
      <w:pPr>
        <w:pStyle w:val="Bibliography"/>
      </w:pPr>
      <w:r>
        <w:t xml:space="preserve">Strahler, A. N. 1957.</w:t>
      </w:r>
      <w:r>
        <w:t xml:space="preserve"> </w:t>
      </w:r>
      <w:hyperlink r:id="rId122">
        <w:r>
          <w:rPr>
            <w:rStyle w:val="Hyperlink"/>
          </w:rPr>
          <w:t xml:space="preserve">Quantitative analysis of watershed geomorphology</w:t>
        </w:r>
      </w:hyperlink>
      <w:r>
        <w:t xml:space="preserve">. Eos, Transactions American Geophysical Union 38:913–920.</w:t>
      </w:r>
    </w:p>
    <w:bookmarkEnd w:id="123"/>
    <w:bookmarkStart w:id="125" w:name="ref-veech2003"/>
    <w:p>
      <w:pPr>
        <w:pStyle w:val="Bibliography"/>
      </w:pPr>
      <w:r>
        <w:t xml:space="preserve">Veech, J. A., T. O. Crist, and K. S. Summerville. 2003.</w:t>
      </w:r>
      <w:r>
        <w:t xml:space="preserve"> </w:t>
      </w:r>
      <w:hyperlink r:id="rId124">
        <w:r>
          <w:rPr>
            <w:rStyle w:val="Hyperlink"/>
          </w:rPr>
          <w:t xml:space="preserve">Intraspecific aggregation decreases local species diversity of arthropods</w:t>
        </w:r>
      </w:hyperlink>
      <w:r>
        <w:t xml:space="preserve">. Ecology 84:3376–3383.</w:t>
      </w:r>
    </w:p>
    <w:bookmarkEnd w:id="125"/>
    <w:bookmarkStart w:id="127" w:name="ref-veech2002"/>
    <w:p>
      <w:pPr>
        <w:pStyle w:val="Bibliography"/>
      </w:pPr>
      <w:r>
        <w:t xml:space="preserve">Veech, J. A., K. S. Summerville, T. O. Crist, and J. C. Gering. 2002.</w:t>
      </w:r>
      <w:r>
        <w:t xml:space="preserve"> </w:t>
      </w:r>
      <w:hyperlink r:id="rId126">
        <w:r>
          <w:rPr>
            <w:rStyle w:val="Hyperlink"/>
          </w:rPr>
          <w:t xml:space="preserve">The additive partitioning of species diversity: Recent revival of an old idea</w:t>
        </w:r>
      </w:hyperlink>
      <w:r>
        <w:t xml:space="preserve">. Oikos 99:3–9.</w:t>
      </w:r>
    </w:p>
    <w:bookmarkEnd w:id="127"/>
    <w:bookmarkEnd w:id="128"/>
    <w:bookmarkEnd w:id="129"/>
    <w:bookmarkStart w:id="171"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w:t>
      </w:r>
    </w:p>
    <w:p>
      <w:pPr>
        <w:pStyle w:val="TextBody"/>
      </w:pPr>
      <w:hyperlink w:anchor="fig-hab_PCA_ref-site">
        <w:r>
          <w:rPr>
            <w:rStyle w:val="Hyperlink"/>
          </w:rPr>
          <w:t xml:space="preserve">Figure 2</w:t>
        </w:r>
      </w:hyperlink>
      <w:r>
        <w:t xml:space="preserve">: Principal Component Analysis (PCA) biplot of the sampling units (SUs) and environmental variables in the Barro Branco and Caiana streams during the study period, categorized by site type. Points represent the SUs, whereas vectors represent the environmental variables associated with habitat structure. Ellipses represent 95% confidence regions for the distribution of the groups of points, calculated based on the t-distribution.</w:t>
      </w:r>
    </w:p>
    <w:p>
      <w:pPr>
        <w:pStyle w:val="TextBody"/>
      </w:pPr>
      <w:hyperlink w:anchor="fig-hab_PCA_rio">
        <w:r>
          <w:rPr>
            <w:rStyle w:val="Hyperlink"/>
          </w:rPr>
          <w:t xml:space="preserve">Figure 3</w:t>
        </w:r>
      </w:hyperlink>
      <w:r>
        <w:t xml:space="preserve">: Principal Component Analysis (PCA) biplot of the sampling units (SUs) and environmental variables in the Barro Branco and Caiana streams during the study period, categorized by stream. Points represent the SUs, whereas vectors represent the environmental variables associated with habitat structure. Ellipses represent 95% confidence regions for the distribution of the groups of points, calculated based on the t-distribution.</w:t>
      </w:r>
    </w:p>
    <w:p>
      <w:pPr>
        <w:pStyle w:val="TextBody"/>
      </w:pPr>
      <w:hyperlink w:anchor="fig-hab_PCA_periodo">
        <w:r>
          <w:rPr>
            <w:rStyle w:val="Hyperlink"/>
          </w:rPr>
          <w:t xml:space="preserve">Figure 4</w:t>
        </w:r>
      </w:hyperlink>
      <w:r>
        <w:t xml:space="preserve">: Principal Component Analysis (PCA) biplot of the sampling units (SUs) and environmental variables in the Barro Branco and Caiana streams during the study period, categorized by season. Points represent the SUs, whereas vectors represent the environmental variables associated with habitat structure. Ellipses represent 95% confidence regions for the distribution of the groups of points, calculated based on the t-distribution.</w:t>
      </w:r>
    </w:p>
    <w:p>
      <w:pPr>
        <w:pStyle w:val="TextBody"/>
      </w:pPr>
      <w:hyperlink w:anchor="fig-rare1">
        <w:r>
          <w:rPr>
            <w:rStyle w:val="Hyperlink"/>
          </w:rPr>
          <w:t xml:space="preserve">Figure 5</w:t>
        </w:r>
      </w:hyperlink>
      <w:r>
        <w:t xml:space="preserve">: Individual-based extrapolation and rarefaction curves for the richness of resting stages of zooplanktonic taxa in each study stream. Shaded areas indicate 95% confidence intervals.</w:t>
      </w:r>
    </w:p>
    <w:p>
      <w:pPr>
        <w:pStyle w:val="TextBody"/>
      </w:pPr>
      <w:hyperlink w:anchor="fig-upgma">
        <w:r>
          <w:rPr>
            <w:rStyle w:val="Hyperlink"/>
          </w:rPr>
          <w:t xml:space="preserve">Figure 6</w:t>
        </w:r>
      </w:hyperlink>
      <w:r>
        <w:t xml:space="preserve">: Classification analysis (UPGMA using Bray-Curtis dissimilarity) of wetland macroinvertebrate samples obtained in a. permanent and b. intermitent wetlands. The first number of the sample label indicates the wetland. The second number indicates the habitat type (1=hydrophytes; 2=reed-like emergent plants; and 3=leafy emergent plants). The third number indicates the individual sweeps realized in each habitat (1–3)UPGMA Hierarchical flexible beta clustering (β = −0.25) based on Bray-Curtis distance of (a) macroinvertebrates and (b) Chironomidae in the Paraíba River during the 2015 wet season. Tag codes indicate different sections of the river: U = upper segment, M = middle segment, and T = Taperoá River segment. R = reaches (1–3), S = sites (1–3), and Hab = habitat types (1–3). Percent chaining &lt;4%.</w:t>
      </w:r>
    </w:p>
    <w:p>
      <w:pPr>
        <w:pStyle w:val="TextBody"/>
      </w:pPr>
      <w:hyperlink w:anchor="fig-particao">
        <w:r>
          <w:rPr>
            <w:rStyle w:val="Hyperlink"/>
          </w:rPr>
          <w:t xml:space="preserve">Figure 7</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w:t>
      </w:r>
    </w:p>
    <w:p>
      <w:pPr>
        <w:pStyle w:val="TextBody"/>
      </w:pPr>
      <w:hyperlink w:anchor="tbl-spp_gttable">
        <w:r>
          <w:rPr>
            <w:rStyle w:val="Hyperlink"/>
          </w:rPr>
          <w:t xml:space="preserve">Table 3</w:t>
        </w:r>
      </w:hyperlink>
      <w:r>
        <w:t xml:space="preserve">: Density (ind/m2) and frequency of occurrence (FO%) of zooplankton collected during the 2024 hydrological cycle.</w:t>
      </w:r>
    </w:p>
    <w:p>
      <w:pPr>
        <w:pStyle w:val="TextBody"/>
      </w:pPr>
      <w:hyperlink w:anchor="tbl-part_gttable">
        <w:r>
          <w:rPr>
            <w:rStyle w:val="Hyperlink"/>
          </w:rPr>
          <w:t xml:space="preserve">Table 4</w:t>
        </w:r>
      </w:hyperlink>
      <w:r>
        <w:t xml:space="preserve">: Contribution (expressed in percentage values) of each spatial scale assessed to the total diversity (richness) of the dormant stages of the zooplankton. Numbers in ‘P value’ column indicate the proportion of randomized samples containing more species than the observed sample for each partition.</w:t>
      </w:r>
    </w:p>
    <w:bookmarkStart w:id="165" w:name="figures"/>
    <w:p>
      <w:pPr>
        <w:pStyle w:val="Heading2"/>
      </w:pPr>
      <w:r>
        <w:t xml:space="preserve">Figures</w:t>
      </w:r>
    </w:p>
    <w:p>
      <w:pPr>
        <w:pStyle w:val="FirstParagraph"/>
      </w:pPr>
      <w:hyperlink w:anchor="fig-mapa">
        <w:r>
          <w:rPr>
            <w:rStyle w:val="Hyperlink"/>
          </w:rPr>
          <w:t xml:space="preserve">Figure 1</w:t>
        </w:r>
      </w:hyperlink>
    </w:p>
    <w:tbl>
      <w:tblPr>
        <w:tblStyle w:val="Table"/>
        <w:tblW w:type="pct" w:w="5000"/>
        <w:tblLayout w:type="fixed"/>
        <w:tblLook w:firstRow="0" w:lastRow="0" w:firstColumn="0" w:lastColumn="0" w:noHBand="0" w:noVBand="0" w:val="0000"/>
      </w:tblPr>
      <w:tblGrid>
        <w:gridCol w:w="7920"/>
      </w:tblGrid>
      <w:tr>
        <w:tc>
          <w:tcPr/>
          <w:bookmarkStart w:id="134" w:name="fig-mapa"/>
          <w:p>
            <w:pPr>
              <w:pStyle w:val="Compact"/>
              <w:jc w:val="center"/>
            </w:pPr>
            <w:bookmarkStart w:id="133" w:name="fig-mapa"/>
            <w:r>
              <w:drawing>
                <wp:inline>
                  <wp:extent cx="5943600" cy="4202583"/>
                  <wp:effectExtent b="0" l="0" r="0" t="0"/>
                  <wp:docPr descr="" title="" id="131" name="Picture"/>
                  <a:graphic>
                    <a:graphicData uri="http://schemas.openxmlformats.org/drawingml/2006/picture">
                      <pic:pic>
                        <pic:nvPicPr>
                          <pic:cNvPr descr="imagens/Uso%20de%20Solo%20Rebio_en.png" id="132" name="Picture"/>
                          <pic:cNvPicPr>
                            <a:picLocks noChangeArrowheads="1" noChangeAspect="1"/>
                          </pic:cNvPicPr>
                        </pic:nvPicPr>
                        <pic:blipFill>
                          <a:blip r:embed="rId130"/>
                          <a:stretch>
                            <a:fillRect/>
                          </a:stretch>
                        </pic:blipFill>
                        <pic:spPr bwMode="auto">
                          <a:xfrm>
                            <a:off x="0" y="0"/>
                            <a:ext cx="5943600" cy="4202583"/>
                          </a:xfrm>
                          <a:prstGeom prst="rect">
                            <a:avLst/>
                          </a:prstGeom>
                          <a:noFill/>
                          <a:ln w="9525">
                            <a:noFill/>
                            <a:headEnd/>
                            <a:tailEnd/>
                          </a:ln>
                        </pic:spPr>
                      </pic:pic>
                    </a:graphicData>
                  </a:graphic>
                </wp:inline>
              </w:drawing>
            </w:r>
            <w:bookmarkEnd w:id="133"/>
          </w:p>
          <w:p>
            <w:pPr>
              <w:jc w:val="center"/>
            </w:pPr>
            <w:pPr>
              <w:jc w:val="left"/>
              <w:spacing w:before="200"/>
              <w:pStyle w:val="ImageCaption"/>
            </w:pPr>
            <w:r>
              <w:t xml:space="preserve">Figure 1</w:t>
            </w:r>
          </w:p>
          <w:bookmarkEnd w:id="134"/>
        </w:tc>
      </w:tr>
    </w:tbl>
    <w:p>
      <w:pPr>
        <w:pStyle w:val="TextBody"/>
      </w:pPr>
      <w:hyperlink w:anchor="fig-hab_PCA_ref-site">
        <w:r>
          <w:rPr>
            <w:rStyle w:val="Hyperlink"/>
          </w:rPr>
          <w:t xml:space="preserve">Figure 2</w:t>
        </w:r>
      </w:hyperlink>
    </w:p>
    <w:tbl>
      <w:tblPr>
        <w:tblStyle w:val="Table"/>
        <w:tblW w:type="pct" w:w="5000"/>
        <w:tblLayout w:type="fixed"/>
        <w:tblLook w:firstRow="0" w:lastRow="0" w:firstColumn="0" w:lastColumn="0" w:noHBand="0" w:noVBand="0" w:val="0000"/>
      </w:tblPr>
      <w:tblGrid>
        <w:gridCol w:w="7920"/>
      </w:tblGrid>
      <w:tr>
        <w:tc>
          <w:tcPr/>
          <w:bookmarkStart w:id="139" w:name="fig-hab_PCA_ref-site"/>
          <w:p>
            <w:pPr>
              <w:pStyle w:val="Compact"/>
              <w:jc w:val="center"/>
            </w:pPr>
            <w:bookmarkStart w:id="138" w:name="fig-hab_PCA_ref-site"/>
            <w:r>
              <w:drawing>
                <wp:inline>
                  <wp:extent cx="5943600" cy="3494706"/>
                  <wp:effectExtent b="0" l="0" r="0" t="0"/>
                  <wp:docPr descr="" title="" id="136" name="Picture"/>
                  <a:graphic>
                    <a:graphicData uri="http://schemas.openxmlformats.org/drawingml/2006/picture">
                      <pic:pic>
                        <pic:nvPicPr>
                          <pic:cNvPr descr="res/fig-hab_PCA_ref-site.png" id="137" name="Picture"/>
                          <pic:cNvPicPr>
                            <a:picLocks noChangeArrowheads="1" noChangeAspect="1"/>
                          </pic:cNvPicPr>
                        </pic:nvPicPr>
                        <pic:blipFill>
                          <a:blip r:embed="rId135"/>
                          <a:stretch>
                            <a:fillRect/>
                          </a:stretch>
                        </pic:blipFill>
                        <pic:spPr bwMode="auto">
                          <a:xfrm>
                            <a:off x="0" y="0"/>
                            <a:ext cx="5943600" cy="3494706"/>
                          </a:xfrm>
                          <a:prstGeom prst="rect">
                            <a:avLst/>
                          </a:prstGeom>
                          <a:noFill/>
                          <a:ln w="9525">
                            <a:noFill/>
                            <a:headEnd/>
                            <a:tailEnd/>
                          </a:ln>
                        </pic:spPr>
                      </pic:pic>
                    </a:graphicData>
                  </a:graphic>
                </wp:inline>
              </w:drawing>
            </w:r>
            <w:bookmarkEnd w:id="138"/>
          </w:p>
          <w:p>
            <w:pPr>
              <w:jc w:val="center"/>
            </w:pPr>
            <w:pPr>
              <w:jc w:val="left"/>
              <w:spacing w:before="200"/>
              <w:pStyle w:val="ImageCaption"/>
            </w:pPr>
            <w:r>
              <w:t xml:space="preserve">Figure 2</w:t>
            </w:r>
          </w:p>
          <w:bookmarkEnd w:id="139"/>
        </w:tc>
      </w:tr>
    </w:tbl>
    <w:p>
      <w:pPr>
        <w:pStyle w:val="TextBody"/>
      </w:pPr>
      <w:hyperlink w:anchor="fig-hab_PCA_rio">
        <w:r>
          <w:rPr>
            <w:rStyle w:val="Hyperlink"/>
          </w:rPr>
          <w:t xml:space="preserve">Figure 3</w:t>
        </w:r>
      </w:hyperlink>
    </w:p>
    <w:tbl>
      <w:tblPr>
        <w:tblStyle w:val="Table"/>
        <w:tblW w:type="pct" w:w="5000"/>
        <w:tblLayout w:type="fixed"/>
        <w:tblLook w:firstRow="0" w:lastRow="0" w:firstColumn="0" w:lastColumn="0" w:noHBand="0" w:noVBand="0" w:val="0000"/>
      </w:tblPr>
      <w:tblGrid>
        <w:gridCol w:w="7920"/>
      </w:tblGrid>
      <w:tr>
        <w:tc>
          <w:tcPr/>
          <w:bookmarkStart w:id="144" w:name="fig-hab_PCA_rio"/>
          <w:p>
            <w:pPr>
              <w:pStyle w:val="Compact"/>
              <w:jc w:val="center"/>
            </w:pPr>
            <w:bookmarkStart w:id="143" w:name="fig-hab_PCA_rio"/>
            <w:r>
              <w:drawing>
                <wp:inline>
                  <wp:extent cx="5943600" cy="4261203"/>
                  <wp:effectExtent b="0" l="0" r="0" t="0"/>
                  <wp:docPr descr="" title="" id="141" name="Picture"/>
                  <a:graphic>
                    <a:graphicData uri="http://schemas.openxmlformats.org/drawingml/2006/picture">
                      <pic:pic>
                        <pic:nvPicPr>
                          <pic:cNvPr descr="res/fig-hab_PCA_rio.png" id="142" name="Picture"/>
                          <pic:cNvPicPr>
                            <a:picLocks noChangeArrowheads="1" noChangeAspect="1"/>
                          </pic:cNvPicPr>
                        </pic:nvPicPr>
                        <pic:blipFill>
                          <a:blip r:embed="rId140"/>
                          <a:stretch>
                            <a:fillRect/>
                          </a:stretch>
                        </pic:blipFill>
                        <pic:spPr bwMode="auto">
                          <a:xfrm>
                            <a:off x="0" y="0"/>
                            <a:ext cx="5943600" cy="4261203"/>
                          </a:xfrm>
                          <a:prstGeom prst="rect">
                            <a:avLst/>
                          </a:prstGeom>
                          <a:noFill/>
                          <a:ln w="9525">
                            <a:noFill/>
                            <a:headEnd/>
                            <a:tailEnd/>
                          </a:ln>
                        </pic:spPr>
                      </pic:pic>
                    </a:graphicData>
                  </a:graphic>
                </wp:inline>
              </w:drawing>
            </w:r>
            <w:bookmarkEnd w:id="143"/>
          </w:p>
          <w:p>
            <w:pPr>
              <w:jc w:val="center"/>
            </w:pPr>
            <w:pPr>
              <w:jc w:val="left"/>
              <w:spacing w:before="200"/>
              <w:pStyle w:val="ImageCaption"/>
            </w:pPr>
            <w:r>
              <w:t xml:space="preserve">Figure 3</w:t>
            </w:r>
          </w:p>
          <w:bookmarkEnd w:id="144"/>
        </w:tc>
      </w:tr>
    </w:tbl>
    <w:p>
      <w:pPr>
        <w:pStyle w:val="TextBody"/>
      </w:pPr>
      <w:hyperlink w:anchor="fig-hab_PCA_periodo">
        <w:r>
          <w:rPr>
            <w:rStyle w:val="Hyperlink"/>
          </w:rPr>
          <w:t xml:space="preserve">Figure 4</w:t>
        </w:r>
      </w:hyperlink>
    </w:p>
    <w:tbl>
      <w:tblPr>
        <w:tblStyle w:val="Table"/>
        <w:tblW w:type="pct" w:w="5000"/>
        <w:tblLayout w:type="fixed"/>
        <w:tblLook w:firstRow="0" w:lastRow="0" w:firstColumn="0" w:lastColumn="0" w:noHBand="0" w:noVBand="0" w:val="0000"/>
      </w:tblPr>
      <w:tblGrid>
        <w:gridCol w:w="7920"/>
      </w:tblGrid>
      <w:tr>
        <w:tc>
          <w:tcPr/>
          <w:bookmarkStart w:id="149" w:name="fig-hab_PCA_periodo"/>
          <w:p>
            <w:pPr>
              <w:pStyle w:val="Compact"/>
              <w:jc w:val="center"/>
            </w:pPr>
            <w:bookmarkStart w:id="148" w:name="fig-hab_PCA_periodo"/>
            <w:r>
              <w:drawing>
                <wp:inline>
                  <wp:extent cx="5943600" cy="4261203"/>
                  <wp:effectExtent b="0" l="0" r="0" t="0"/>
                  <wp:docPr descr="" title="" id="146" name="Picture"/>
                  <a:graphic>
                    <a:graphicData uri="http://schemas.openxmlformats.org/drawingml/2006/picture">
                      <pic:pic>
                        <pic:nvPicPr>
                          <pic:cNvPr descr="res/fig-hab_PCA_periodo.png" id="147" name="Picture"/>
                          <pic:cNvPicPr>
                            <a:picLocks noChangeArrowheads="1" noChangeAspect="1"/>
                          </pic:cNvPicPr>
                        </pic:nvPicPr>
                        <pic:blipFill>
                          <a:blip r:embed="rId145"/>
                          <a:stretch>
                            <a:fillRect/>
                          </a:stretch>
                        </pic:blipFill>
                        <pic:spPr bwMode="auto">
                          <a:xfrm>
                            <a:off x="0" y="0"/>
                            <a:ext cx="5943600" cy="4261203"/>
                          </a:xfrm>
                          <a:prstGeom prst="rect">
                            <a:avLst/>
                          </a:prstGeom>
                          <a:noFill/>
                          <a:ln w="9525">
                            <a:noFill/>
                            <a:headEnd/>
                            <a:tailEnd/>
                          </a:ln>
                        </pic:spPr>
                      </pic:pic>
                    </a:graphicData>
                  </a:graphic>
                </wp:inline>
              </w:drawing>
            </w:r>
            <w:bookmarkEnd w:id="148"/>
          </w:p>
          <w:p>
            <w:pPr>
              <w:jc w:val="center"/>
            </w:pPr>
            <w:pPr>
              <w:jc w:val="left"/>
              <w:spacing w:before="200"/>
              <w:pStyle w:val="ImageCaption"/>
            </w:pPr>
            <w:r>
              <w:t xml:space="preserve">Figure 4</w:t>
            </w:r>
          </w:p>
          <w:bookmarkEnd w:id="149"/>
        </w:tc>
      </w:tr>
    </w:tbl>
    <w:p>
      <w:pPr>
        <w:pStyle w:val="TextBody"/>
      </w:pPr>
      <w:hyperlink w:anchor="fig-rare1">
        <w:r>
          <w:rPr>
            <w:rStyle w:val="Hyperlink"/>
          </w:rPr>
          <w:t xml:space="preserve">Figure 5</w:t>
        </w:r>
      </w:hyperlink>
    </w:p>
    <w:tbl>
      <w:tblPr>
        <w:tblStyle w:val="Table"/>
        <w:tblW w:type="pct" w:w="5000"/>
        <w:tblLayout w:type="fixed"/>
        <w:tblLook w:firstRow="0" w:lastRow="0" w:firstColumn="0" w:lastColumn="0" w:noHBand="0" w:noVBand="0" w:val="0000"/>
      </w:tblPr>
      <w:tblGrid>
        <w:gridCol w:w="7920"/>
      </w:tblGrid>
      <w:tr>
        <w:tc>
          <w:tcPr/>
          <w:bookmarkStart w:id="154" w:name="fig-rare1"/>
          <w:p>
            <w:pPr>
              <w:pStyle w:val="Compact"/>
              <w:jc w:val="center"/>
            </w:pPr>
            <w:bookmarkStart w:id="153" w:name="fig-rare1"/>
            <w:r>
              <w:drawing>
                <wp:inline>
                  <wp:extent cx="5943600" cy="4457699"/>
                  <wp:effectExtent b="0" l="0" r="0" t="0"/>
                  <wp:docPr descr="" title="" id="151" name="Picture"/>
                  <a:graphic>
                    <a:graphicData uri="http://schemas.openxmlformats.org/drawingml/2006/picture">
                      <pic:pic>
                        <pic:nvPicPr>
                          <pic:cNvPr descr="res/fig-rare1.png" id="152" name="Picture"/>
                          <pic:cNvPicPr>
                            <a:picLocks noChangeArrowheads="1" noChangeAspect="1"/>
                          </pic:cNvPicPr>
                        </pic:nvPicPr>
                        <pic:blipFill>
                          <a:blip r:embed="rId150"/>
                          <a:stretch>
                            <a:fillRect/>
                          </a:stretch>
                        </pic:blipFill>
                        <pic:spPr bwMode="auto">
                          <a:xfrm>
                            <a:off x="0" y="0"/>
                            <a:ext cx="5943600" cy="4457699"/>
                          </a:xfrm>
                          <a:prstGeom prst="rect">
                            <a:avLst/>
                          </a:prstGeom>
                          <a:noFill/>
                          <a:ln w="9525">
                            <a:noFill/>
                            <a:headEnd/>
                            <a:tailEnd/>
                          </a:ln>
                        </pic:spPr>
                      </pic:pic>
                    </a:graphicData>
                  </a:graphic>
                </wp:inline>
              </w:drawing>
            </w:r>
            <w:bookmarkEnd w:id="153"/>
          </w:p>
          <w:p>
            <w:pPr>
              <w:jc w:val="center"/>
            </w:pPr>
            <w:pPr>
              <w:jc w:val="left"/>
              <w:spacing w:before="200"/>
              <w:pStyle w:val="ImageCaption"/>
            </w:pPr>
            <w:r>
              <w:t xml:space="preserve">Figure 5</w:t>
            </w:r>
          </w:p>
          <w:bookmarkEnd w:id="154"/>
        </w:tc>
      </w:tr>
    </w:tbl>
    <w:p>
      <w:pPr>
        <w:pStyle w:val="TextBody"/>
      </w:pPr>
      <w:hyperlink w:anchor="fig-upgma">
        <w:r>
          <w:rPr>
            <w:rStyle w:val="Hyperlink"/>
          </w:rPr>
          <w:t xml:space="preserve">Figure 6</w:t>
        </w:r>
      </w:hyperlink>
    </w:p>
    <w:tbl>
      <w:tblPr>
        <w:tblStyle w:val="Table"/>
        <w:tblW w:type="pct" w:w="5000"/>
        <w:tblLayout w:type="fixed"/>
        <w:tblLook w:firstRow="0" w:lastRow="0" w:firstColumn="0" w:lastColumn="0" w:noHBand="0" w:noVBand="0" w:val="0000"/>
      </w:tblPr>
      <w:tblGrid>
        <w:gridCol w:w="7920"/>
      </w:tblGrid>
      <w:tr>
        <w:tc>
          <w:tcPr/>
          <w:bookmarkStart w:id="159" w:name="fig-upgma"/>
          <w:p>
            <w:pPr>
              <w:pStyle w:val="Compact"/>
              <w:jc w:val="center"/>
            </w:pPr>
            <w:bookmarkStart w:id="158" w:name="fig-upgma"/>
            <w:r>
              <w:drawing>
                <wp:inline>
                  <wp:extent cx="5943600" cy="4862945"/>
                  <wp:effectExtent b="0" l="0" r="0" t="0"/>
                  <wp:docPr descr="" title="" id="156" name="Picture"/>
                  <a:graphic>
                    <a:graphicData uri="http://schemas.openxmlformats.org/drawingml/2006/picture">
                      <pic:pic>
                        <pic:nvPicPr>
                          <pic:cNvPr descr="res/fig-upgma.png" id="157" name="Picture"/>
                          <pic:cNvPicPr>
                            <a:picLocks noChangeArrowheads="1" noChangeAspect="1"/>
                          </pic:cNvPicPr>
                        </pic:nvPicPr>
                        <pic:blipFill>
                          <a:blip r:embed="rId155"/>
                          <a:stretch>
                            <a:fillRect/>
                          </a:stretch>
                        </pic:blipFill>
                        <pic:spPr bwMode="auto">
                          <a:xfrm>
                            <a:off x="0" y="0"/>
                            <a:ext cx="5943600" cy="4862945"/>
                          </a:xfrm>
                          <a:prstGeom prst="rect">
                            <a:avLst/>
                          </a:prstGeom>
                          <a:noFill/>
                          <a:ln w="9525">
                            <a:noFill/>
                            <a:headEnd/>
                            <a:tailEnd/>
                          </a:ln>
                        </pic:spPr>
                      </pic:pic>
                    </a:graphicData>
                  </a:graphic>
                </wp:inline>
              </w:drawing>
            </w:r>
            <w:bookmarkEnd w:id="158"/>
          </w:p>
          <w:p>
            <w:pPr>
              <w:jc w:val="center"/>
            </w:pPr>
            <w:pPr>
              <w:jc w:val="left"/>
              <w:spacing w:before="200"/>
              <w:pStyle w:val="ImageCaption"/>
            </w:pPr>
            <w:r>
              <w:t xml:space="preserve">Figure 6</w:t>
            </w:r>
          </w:p>
          <w:bookmarkEnd w:id="159"/>
        </w:tc>
      </w:tr>
    </w:tbl>
    <w:p>
      <w:pPr>
        <w:pStyle w:val="TextBody"/>
      </w:pPr>
      <w:hyperlink w:anchor="fig-particao">
        <w:r>
          <w:rPr>
            <w:rStyle w:val="Hyperlink"/>
          </w:rPr>
          <w:t xml:space="preserve">Figure 7</w:t>
        </w:r>
      </w:hyperlink>
    </w:p>
    <w:tbl>
      <w:tblPr>
        <w:tblStyle w:val="Table"/>
        <w:tblW w:type="pct" w:w="5000"/>
        <w:tblLayout w:type="fixed"/>
        <w:tblLook w:firstRow="0" w:lastRow="0" w:firstColumn="0" w:lastColumn="0" w:noHBand="0" w:noVBand="0" w:val="0000"/>
      </w:tblPr>
      <w:tblGrid>
        <w:gridCol w:w="7920"/>
      </w:tblGrid>
      <w:tr>
        <w:tc>
          <w:tcPr/>
          <w:bookmarkStart w:id="164" w:name="fig-particao"/>
          <w:p>
            <w:pPr>
              <w:pStyle w:val="Compact"/>
              <w:jc w:val="center"/>
            </w:pPr>
            <w:bookmarkStart w:id="163" w:name="fig-particao"/>
            <w:r>
              <w:drawing>
                <wp:inline>
                  <wp:extent cx="5943600" cy="4754880"/>
                  <wp:effectExtent b="0" l="0" r="0" t="0"/>
                  <wp:docPr descr="" title="" id="161" name="Picture"/>
                  <a:graphic>
                    <a:graphicData uri="http://schemas.openxmlformats.org/drawingml/2006/picture">
                      <pic:pic>
                        <pic:nvPicPr>
                          <pic:cNvPr descr="res/fig-painel_partição.png" id="162" name="Picture"/>
                          <pic:cNvPicPr>
                            <a:picLocks noChangeArrowheads="1" noChangeAspect="1"/>
                          </pic:cNvPicPr>
                        </pic:nvPicPr>
                        <pic:blipFill>
                          <a:blip r:embed="rId160"/>
                          <a:stretch>
                            <a:fillRect/>
                          </a:stretch>
                        </pic:blipFill>
                        <pic:spPr bwMode="auto">
                          <a:xfrm>
                            <a:off x="0" y="0"/>
                            <a:ext cx="5943600" cy="4754880"/>
                          </a:xfrm>
                          <a:prstGeom prst="rect">
                            <a:avLst/>
                          </a:prstGeom>
                          <a:noFill/>
                          <a:ln w="9525">
                            <a:noFill/>
                            <a:headEnd/>
                            <a:tailEnd/>
                          </a:ln>
                        </pic:spPr>
                      </pic:pic>
                    </a:graphicData>
                  </a:graphic>
                </wp:inline>
              </w:drawing>
            </w:r>
            <w:bookmarkEnd w:id="163"/>
          </w:p>
          <w:p>
            <w:pPr>
              <w:jc w:val="center"/>
            </w:pPr>
            <w:pPr>
              <w:jc w:val="left"/>
              <w:spacing w:before="200"/>
              <w:pStyle w:val="ImageCaption"/>
            </w:pPr>
            <w:r>
              <w:t xml:space="preserve">Figure 7</w:t>
            </w:r>
          </w:p>
          <w:bookmarkEnd w:id="164"/>
        </w:tc>
      </w:tr>
    </w:tbl>
    <w:bookmarkEnd w:id="165"/>
    <w:bookmarkStart w:id="170" w:name="tables"/>
    <w:p>
      <w:pPr>
        <w:pStyle w:val="Heading2"/>
      </w:pPr>
      <w:r>
        <w:t xml:space="preserve">Tables</w:t>
      </w:r>
    </w:p>
    <w:p>
      <w:pPr>
        <w:pStyle w:val="FirstParagraph"/>
      </w:pPr>
      <w:hyperlink w:anchor="tbl-hab_gttable">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166"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166"/>
        </w:tc>
      </w:tr>
    </w:tbl>
    <w:p>
      <w:pPr>
        <w:pStyle w:val="TextBody"/>
      </w:pPr>
      <w:hyperlink w:anchor="tbl-nutri_gttable">
        <w:r>
          <w:rPr>
            <w:rStyle w:val="Hyperlink"/>
          </w:rPr>
          <w:t xml:space="preserve">Table 2</w:t>
        </w:r>
      </w:hyperlink>
    </w:p>
    <w:tbl>
      <w:tblPr>
        <w:tblStyle w:val="Table"/>
        <w:tblW w:type="pct" w:w="5000"/>
        <w:tblLayout w:type="fixed"/>
        <w:tblLook w:firstRow="0" w:lastRow="0" w:firstColumn="0" w:lastColumn="0" w:noHBand="0" w:noVBand="0" w:val="0000"/>
      </w:tblPr>
      <w:tblGrid>
        <w:gridCol w:w="7920"/>
      </w:tblGrid>
      <w:tr>
        <w:tc>
          <w:tcPr/>
          <w:bookmarkStart w:id="167"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167"/>
        </w:tc>
      </w:tr>
    </w:tbl>
    <w:p>
      <w:pPr>
        <w:pStyle w:val="TextBody"/>
      </w:pPr>
      <w:hyperlink w:anchor="tbl-spp_gttable">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168"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168"/>
        </w:tc>
      </w:tr>
    </w:tbl>
    <w:p>
      <w:pPr>
        <w:pStyle w:val="TextBody"/>
      </w:pPr>
      <w:hyperlink w:anchor="tbl-part_gttable">
        <w:r>
          <w:rPr>
            <w:rStyle w:val="Hyperlink"/>
          </w:rPr>
          <w:t xml:space="preserve">Table 4</w:t>
        </w:r>
      </w:hyperlink>
    </w:p>
    <w:tbl>
      <w:tblPr>
        <w:tblStyle w:val="Table"/>
        <w:tblW w:type="pct" w:w="5000"/>
        <w:tblLayout w:type="fixed"/>
        <w:tblLook w:firstRow="0" w:lastRow="0" w:firstColumn="0" w:lastColumn="0" w:noHBand="0" w:noVBand="0" w:val="0000"/>
      </w:tblPr>
      <w:tblGrid>
        <w:gridCol w:w="7920"/>
      </w:tblGrid>
      <w:tr>
        <w:tc>
          <w:tcPr/>
          <w:bookmarkStart w:id="169"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169"/>
        </w:tc>
      </w:tr>
    </w:tbl>
    <w:bookmarkEnd w:id="170"/>
    <w:bookmarkEnd w:id="171"/>
    <w:bookmarkStart w:id="172" w:name="apendices"/>
    <w:p>
      <w:pPr>
        <w:pStyle w:val="Heading1"/>
      </w:pPr>
      <w:r>
        <w:t xml:space="preserve">Apendices</w:t>
      </w:r>
    </w:p>
    <w:bookmarkEnd w:id="172"/>
    <w:bookmarkStart w:id="176"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C:\PROGRA~1\RStudio\RESOUR~1\app\bin\quarto\share\formats\docx\warning.png" id="175"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76"/>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173" Target="media/rId173.png" /><Relationship Type="http://schemas.openxmlformats.org/officeDocument/2006/relationships/image" Id="rId130" Target="media/rId130.png" /><Relationship Type="http://schemas.openxmlformats.org/officeDocument/2006/relationships/image" Id="rId145" Target="media/rId145.png" /><Relationship Type="http://schemas.openxmlformats.org/officeDocument/2006/relationships/image" Id="rId135" Target="media/rId135.png" /><Relationship Type="http://schemas.openxmlformats.org/officeDocument/2006/relationships/image" Id="rId140" Target="media/rId140.png" /><Relationship Type="http://schemas.openxmlformats.org/officeDocument/2006/relationships/image" Id="rId160" Target="media/rId160.png" /><Relationship Type="http://schemas.openxmlformats.org/officeDocument/2006/relationships/image" Id="rId150" Target="media/rId150.png" /><Relationship Type="http://schemas.openxmlformats.org/officeDocument/2006/relationships/image" Id="rId155" Target="media/rId155.png" /><Relationship Type="http://schemas.openxmlformats.org/officeDocument/2006/relationships/hyperlink" Id="rId45" Target="http://memoria2.cnpq.br/web/guest/view/-/journal_content/56_INSTANCE_0oED/10157/23142775" TargetMode="External" /><Relationship Type="http://schemas.openxmlformats.org/officeDocument/2006/relationships/hyperlink" Id="rId82" Target="https://CRAN.R-project.org/package=cluster" TargetMode="External" /><Relationship Type="http://schemas.openxmlformats.org/officeDocument/2006/relationships/hyperlink" Id="rId47" Target="https://credit.niso.org/" TargetMode="External" /><Relationship Type="http://schemas.openxmlformats.org/officeDocument/2006/relationships/hyperlink" Id="rId71" Target="https://doi.org/10.1002/9780470316801.ch5" TargetMode="External" /><Relationship Type="http://schemas.openxmlformats.org/officeDocument/2006/relationships/hyperlink" Id="rId113" Target="https://doi.org/10.1002/rra.3344" TargetMode="External" /><Relationship Type="http://schemas.openxmlformats.org/officeDocument/2006/relationships/hyperlink" Id="rId69" Target="https://doi.org/10.1007/978-3-319-58374-7_11" TargetMode="External" /><Relationship Type="http://schemas.openxmlformats.org/officeDocument/2006/relationships/hyperlink" Id="rId84" Target="https://doi.org/10.1007/978-94-011-7852-5" TargetMode="External" /><Relationship Type="http://schemas.openxmlformats.org/officeDocument/2006/relationships/hyperlink" Id="rId61" Target="https://doi.org/10.1007/BF01867358" TargetMode="External" /><Relationship Type="http://schemas.openxmlformats.org/officeDocument/2006/relationships/hyperlink" Id="rId98" Target="https://doi.org/10.1007/s10750-006-0252-7" TargetMode="External" /><Relationship Type="http://schemas.openxmlformats.org/officeDocument/2006/relationships/hyperlink" Id="rId59" Target="https://doi.org/10.1007/s10750-020-04187-0" TargetMode="External" /><Relationship Type="http://schemas.openxmlformats.org/officeDocument/2006/relationships/hyperlink" Id="rId35" Target="https://doi.org/10.1007/s13157-011-0178-3" TargetMode="External" /><Relationship Type="http://schemas.openxmlformats.org/officeDocument/2006/relationships/hyperlink" Id="rId104" Target="https://doi.org/10.1016/j.biocon.2026.111958" TargetMode="External" /><Relationship Type="http://schemas.openxmlformats.org/officeDocument/2006/relationships/hyperlink" Id="rId109" Target="https://doi.org/10.1016/j.jaridenv.2012.04.001" TargetMode="External" /><Relationship Type="http://schemas.openxmlformats.org/officeDocument/2006/relationships/hyperlink" Id="rId89" Target="https://doi.org/10.1016/j.watres.2026.126704" TargetMode="External" /><Relationship Type="http://schemas.openxmlformats.org/officeDocument/2006/relationships/hyperlink" Id="rId122" Target="https://doi.org/10.1029/TR038i006p00913" TargetMode="External" /><Relationship Type="http://schemas.openxmlformats.org/officeDocument/2006/relationships/hyperlink" Id="rId126" Target="https://doi.org/10.1034/j.1600-0706.2002.990101.x" TargetMode="External" /><Relationship Type="http://schemas.openxmlformats.org/officeDocument/2006/relationships/hyperlink" Id="rId63" Target="https://doi.org/10.1046/j.1523-1739.2003.01465.x" TargetMode="External" /><Relationship Type="http://schemas.openxmlformats.org/officeDocument/2006/relationships/hyperlink" Id="rId55" Target="https://doi.org/10.1080/20442041.2020.1738841" TargetMode="External" /><Relationship Type="http://schemas.openxmlformats.org/officeDocument/2006/relationships/hyperlink" Id="rId49" Target="https://doi.org/10.1086/378901" TargetMode="External" /><Relationship Type="http://schemas.openxmlformats.org/officeDocument/2006/relationships/hyperlink" Id="rId51" Target="https://doi.org/10.1111/geb.13449" TargetMode="External" /><Relationship Type="http://schemas.openxmlformats.org/officeDocument/2006/relationships/hyperlink" Id="rId77" Target="https://doi.org/10.1111/j.1365-2427.2009.02291.x" TargetMode="External" /><Relationship Type="http://schemas.openxmlformats.org/officeDocument/2006/relationships/hyperlink" Id="rId37" Target="https://doi.org/10.1111/j.1466-8238.2009.00490.x" TargetMode="External" /><Relationship Type="http://schemas.openxmlformats.org/officeDocument/2006/relationships/hyperlink" Id="rId39" Target="https://doi.org/10.1111/j.1466-8238.2011.00756.x" TargetMode="External" /><Relationship Type="http://schemas.openxmlformats.org/officeDocument/2006/relationships/hyperlink" Id="rId93" Target="https://doi.org/10.1155/2013/946361" TargetMode="External" /><Relationship Type="http://schemas.openxmlformats.org/officeDocument/2006/relationships/hyperlink" Id="rId111" Target="https://doi.org/10.1186/1029-242X-2013-203" TargetMode="External" /><Relationship Type="http://schemas.openxmlformats.org/officeDocument/2006/relationships/hyperlink" Id="rId91" Target="https://doi.org/10.15560/10.3.524" TargetMode="External" /><Relationship Type="http://schemas.openxmlformats.org/officeDocument/2006/relationships/hyperlink" Id="rId65" Target="https://doi.org/10.15560/13.5.581" TargetMode="External" /><Relationship Type="http://schemas.openxmlformats.org/officeDocument/2006/relationships/hyperlink" Id="rId115" Target="https://doi.org/10.1590/S0100-204X2013000600003" TargetMode="External" /><Relationship Type="http://schemas.openxmlformats.org/officeDocument/2006/relationships/hyperlink" Id="rId79" Target="https://doi.org/10.1590/S2179-975X3214" TargetMode="External" /><Relationship Type="http://schemas.openxmlformats.org/officeDocument/2006/relationships/hyperlink" Id="rId124" Target="https://doi.org/10.1890/02-3127" TargetMode="External" /><Relationship Type="http://schemas.openxmlformats.org/officeDocument/2006/relationships/hyperlink" Id="rId29" Target="https://doi.org/10.1890/12-2010.1" TargetMode="External" /><Relationship Type="http://schemas.openxmlformats.org/officeDocument/2006/relationships/hyperlink" Id="rId119" Target="https://doi.org/10.2307/1217208" TargetMode="External" /><Relationship Type="http://schemas.openxmlformats.org/officeDocument/2006/relationships/hyperlink" Id="rId57" Target="https://doi.org/10.2307/2412324" TargetMode="External" /><Relationship Type="http://schemas.openxmlformats.org/officeDocument/2006/relationships/hyperlink" Id="rId41" Target="https://doi.org/10.2307/3235592" TargetMode="External" /><Relationship Type="http://schemas.openxmlformats.org/officeDocument/2006/relationships/hyperlink" Id="rId73" Target="https://doi.org/10.2307/3545743" TargetMode="External" /><Relationship Type="http://schemas.openxmlformats.org/officeDocument/2006/relationships/hyperlink" Id="rId100" Target="https://doi.org/10.32614/CRAN.package.vegan" TargetMode="External" /><Relationship Type="http://schemas.openxmlformats.org/officeDocument/2006/relationships/hyperlink" Id="rId87" Target="https://doi.org/10.4013/5440" TargetMode="External" /><Relationship Type="http://schemas.openxmlformats.org/officeDocument/2006/relationships/hyperlink" Id="rId67" Target="https://doi.org/10.4319/lo.1973.18.2.0331" TargetMode="External" /><Relationship Type="http://schemas.openxmlformats.org/officeDocument/2006/relationships/hyperlink" Id="rId102" Target="https://doi.org/10.5194/hess-11-1633-2007" TargetMode="External" /><Relationship Type="http://schemas.openxmlformats.org/officeDocument/2006/relationships/hyperlink" Id="rId33" Target="https://doi.org/10.5902/2316305410852" TargetMode="External" /><Relationship Type="http://schemas.openxmlformats.org/officeDocument/2006/relationships/hyperlink" Id="rId107" Target="https://www.R-project.org/" TargetMode="External" /><Relationship Type="http://schemas.openxmlformats.org/officeDocument/2006/relationships/hyperlink" Id="rId53" Target="https://www.epa.gov/system/files/documents/2021-08/lg402a.v15-zooplankton-sampling_rfa.pdf" TargetMode="External" /><Relationship Type="http://schemas.openxmlformats.org/officeDocument/2006/relationships/hyperlink" Id="rId96" Target="https://www.gov.br/icmbio/pt-br/centrais-de-conteudo/publicacoes/planos-de-manejo-integrado-do-fogo/Plano_de_Manejo_Integrado_do_Fogo_da_Reserva_Biologica_Guaribas.pdf" TargetMode="External" /><Relationship Type="http://schemas.openxmlformats.org/officeDocument/2006/relationships/hyperlink" Id="rId43" Target="https://www.planalto.gov.br/ccivil_03/leis/l9985.htm" TargetMode="External" /><Relationship Type="http://schemas.openxmlformats.org/officeDocument/2006/relationships/hyperlink" Id="rId31"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45" Target="http://memoria2.cnpq.br/web/guest/view/-/journal_content/56_INSTANCE_0oED/10157/23142775" TargetMode="External" /><Relationship Type="http://schemas.openxmlformats.org/officeDocument/2006/relationships/hyperlink" Id="rId82" Target="https://CRAN.R-project.org/package=cluster" TargetMode="External" /><Relationship Type="http://schemas.openxmlformats.org/officeDocument/2006/relationships/hyperlink" Id="rId47" Target="https://credit.niso.org/" TargetMode="External" /><Relationship Type="http://schemas.openxmlformats.org/officeDocument/2006/relationships/hyperlink" Id="rId71" Target="https://doi.org/10.1002/9780470316801.ch5" TargetMode="External" /><Relationship Type="http://schemas.openxmlformats.org/officeDocument/2006/relationships/hyperlink" Id="rId113" Target="https://doi.org/10.1002/rra.3344" TargetMode="External" /><Relationship Type="http://schemas.openxmlformats.org/officeDocument/2006/relationships/hyperlink" Id="rId69" Target="https://doi.org/10.1007/978-3-319-58374-7_11" TargetMode="External" /><Relationship Type="http://schemas.openxmlformats.org/officeDocument/2006/relationships/hyperlink" Id="rId84" Target="https://doi.org/10.1007/978-94-011-7852-5" TargetMode="External" /><Relationship Type="http://schemas.openxmlformats.org/officeDocument/2006/relationships/hyperlink" Id="rId61" Target="https://doi.org/10.1007/BF01867358" TargetMode="External" /><Relationship Type="http://schemas.openxmlformats.org/officeDocument/2006/relationships/hyperlink" Id="rId98" Target="https://doi.org/10.1007/s10750-006-0252-7" TargetMode="External" /><Relationship Type="http://schemas.openxmlformats.org/officeDocument/2006/relationships/hyperlink" Id="rId59" Target="https://doi.org/10.1007/s10750-020-04187-0" TargetMode="External" /><Relationship Type="http://schemas.openxmlformats.org/officeDocument/2006/relationships/hyperlink" Id="rId35" Target="https://doi.org/10.1007/s13157-011-0178-3" TargetMode="External" /><Relationship Type="http://schemas.openxmlformats.org/officeDocument/2006/relationships/hyperlink" Id="rId104" Target="https://doi.org/10.1016/j.biocon.2026.111958" TargetMode="External" /><Relationship Type="http://schemas.openxmlformats.org/officeDocument/2006/relationships/hyperlink" Id="rId109" Target="https://doi.org/10.1016/j.jaridenv.2012.04.001" TargetMode="External" /><Relationship Type="http://schemas.openxmlformats.org/officeDocument/2006/relationships/hyperlink" Id="rId89" Target="https://doi.org/10.1016/j.watres.2026.126704" TargetMode="External" /><Relationship Type="http://schemas.openxmlformats.org/officeDocument/2006/relationships/hyperlink" Id="rId122" Target="https://doi.org/10.1029/TR038i006p00913" TargetMode="External" /><Relationship Type="http://schemas.openxmlformats.org/officeDocument/2006/relationships/hyperlink" Id="rId126" Target="https://doi.org/10.1034/j.1600-0706.2002.990101.x" TargetMode="External" /><Relationship Type="http://schemas.openxmlformats.org/officeDocument/2006/relationships/hyperlink" Id="rId63" Target="https://doi.org/10.1046/j.1523-1739.2003.01465.x" TargetMode="External" /><Relationship Type="http://schemas.openxmlformats.org/officeDocument/2006/relationships/hyperlink" Id="rId55" Target="https://doi.org/10.1080/20442041.2020.1738841" TargetMode="External" /><Relationship Type="http://schemas.openxmlformats.org/officeDocument/2006/relationships/hyperlink" Id="rId49" Target="https://doi.org/10.1086/378901" TargetMode="External" /><Relationship Type="http://schemas.openxmlformats.org/officeDocument/2006/relationships/hyperlink" Id="rId51" Target="https://doi.org/10.1111/geb.13449" TargetMode="External" /><Relationship Type="http://schemas.openxmlformats.org/officeDocument/2006/relationships/hyperlink" Id="rId77" Target="https://doi.org/10.1111/j.1365-2427.2009.02291.x" TargetMode="External" /><Relationship Type="http://schemas.openxmlformats.org/officeDocument/2006/relationships/hyperlink" Id="rId37" Target="https://doi.org/10.1111/j.1466-8238.2009.00490.x" TargetMode="External" /><Relationship Type="http://schemas.openxmlformats.org/officeDocument/2006/relationships/hyperlink" Id="rId39" Target="https://doi.org/10.1111/j.1466-8238.2011.00756.x" TargetMode="External" /><Relationship Type="http://schemas.openxmlformats.org/officeDocument/2006/relationships/hyperlink" Id="rId93" Target="https://doi.org/10.1155/2013/946361" TargetMode="External" /><Relationship Type="http://schemas.openxmlformats.org/officeDocument/2006/relationships/hyperlink" Id="rId111" Target="https://doi.org/10.1186/1029-242X-2013-203" TargetMode="External" /><Relationship Type="http://schemas.openxmlformats.org/officeDocument/2006/relationships/hyperlink" Id="rId91" Target="https://doi.org/10.15560/10.3.524" TargetMode="External" /><Relationship Type="http://schemas.openxmlformats.org/officeDocument/2006/relationships/hyperlink" Id="rId65" Target="https://doi.org/10.15560/13.5.581" TargetMode="External" /><Relationship Type="http://schemas.openxmlformats.org/officeDocument/2006/relationships/hyperlink" Id="rId115" Target="https://doi.org/10.1590/S0100-204X2013000600003" TargetMode="External" /><Relationship Type="http://schemas.openxmlformats.org/officeDocument/2006/relationships/hyperlink" Id="rId79" Target="https://doi.org/10.1590/S2179-975X3214" TargetMode="External" /><Relationship Type="http://schemas.openxmlformats.org/officeDocument/2006/relationships/hyperlink" Id="rId124" Target="https://doi.org/10.1890/02-3127" TargetMode="External" /><Relationship Type="http://schemas.openxmlformats.org/officeDocument/2006/relationships/hyperlink" Id="rId29" Target="https://doi.org/10.1890/12-2010.1" TargetMode="External" /><Relationship Type="http://schemas.openxmlformats.org/officeDocument/2006/relationships/hyperlink" Id="rId119" Target="https://doi.org/10.2307/1217208" TargetMode="External" /><Relationship Type="http://schemas.openxmlformats.org/officeDocument/2006/relationships/hyperlink" Id="rId57" Target="https://doi.org/10.2307/2412324" TargetMode="External" /><Relationship Type="http://schemas.openxmlformats.org/officeDocument/2006/relationships/hyperlink" Id="rId41" Target="https://doi.org/10.2307/3235592" TargetMode="External" /><Relationship Type="http://schemas.openxmlformats.org/officeDocument/2006/relationships/hyperlink" Id="rId73" Target="https://doi.org/10.2307/3545743" TargetMode="External" /><Relationship Type="http://schemas.openxmlformats.org/officeDocument/2006/relationships/hyperlink" Id="rId100" Target="https://doi.org/10.32614/CRAN.package.vegan" TargetMode="External" /><Relationship Type="http://schemas.openxmlformats.org/officeDocument/2006/relationships/hyperlink" Id="rId87" Target="https://doi.org/10.4013/5440" TargetMode="External" /><Relationship Type="http://schemas.openxmlformats.org/officeDocument/2006/relationships/hyperlink" Id="rId67" Target="https://doi.org/10.4319/lo.1973.18.2.0331" TargetMode="External" /><Relationship Type="http://schemas.openxmlformats.org/officeDocument/2006/relationships/hyperlink" Id="rId102" Target="https://doi.org/10.5194/hess-11-1633-2007" TargetMode="External" /><Relationship Type="http://schemas.openxmlformats.org/officeDocument/2006/relationships/hyperlink" Id="rId33" Target="https://doi.org/10.5902/2316305410852" TargetMode="External" /><Relationship Type="http://schemas.openxmlformats.org/officeDocument/2006/relationships/hyperlink" Id="rId107" Target="https://www.R-project.org/" TargetMode="External" /><Relationship Type="http://schemas.openxmlformats.org/officeDocument/2006/relationships/hyperlink" Id="rId53" Target="https://www.epa.gov/system/files/documents/2021-08/lg402a.v15-zooplankton-sampling_rfa.pdf" TargetMode="External" /><Relationship Type="http://schemas.openxmlformats.org/officeDocument/2006/relationships/hyperlink" Id="rId96" Target="https://www.gov.br/icmbio/pt-br/centrais-de-conteudo/publicacoes/planos-de-manejo-integrado-do-fogo/Plano_de_Manejo_Integrado_do_Fogo_da_Reserva_Biologica_Guaribas.pdf" TargetMode="External" /><Relationship Type="http://schemas.openxmlformats.org/officeDocument/2006/relationships/hyperlink" Id="rId43" Target="https://www.planalto.gov.br/ccivil_03/leis/l9985.htm" TargetMode="External" /><Relationship Type="http://schemas.openxmlformats.org/officeDocument/2006/relationships/hyperlink" Id="rId31"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Contrasting conservation conditions shape the spatial partitioning of zooplankton diversity in Atlantic Forest streams</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2026-10-03T00:45:30Z</dcterms:created>
  <dcterms:modified xsi:type="dcterms:W3CDTF">2026-10-03T00:45:30Z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refs/ecology.csl</vt:lpwstr>
  </property>
  <property fmtid="{D5CDD505-2E9C-101B-9397-08002B2CF9AE}" pid="12" name="date">
    <vt:lpwstr>2026-10-02</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