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3.png" ContentType="image/png"/>
  <Override PartName="/word/media/rId177.png" ContentType="image/png"/>
  <Override PartName="/word/media/rId185.png" ContentType="image/png"/>
  <Override PartName="/word/media/rId181.png" ContentType="image/png"/>
  <Override PartName="/word/media/rId197.png" ContentType="image/png"/>
  <Override PartName="/word/media/rId201.png" ContentType="image/png"/>
  <Override PartName="/word/media/rId189.png" ContentType="image/png"/>
  <Override PartName="/word/media/rId19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Zooplankton diversity partitioning: implications for stream conservation in the Atlantic Forest</w:t>
      </w:r>
    </w:p>
    <w:p>
      <w:pPr>
        <w:pStyle w:val="Subtitle"/>
      </w:pPr>
      <w:r>
        <w:t xml:space="preserve">Short title: Zooplankton diversity partitioning in Atlantic Forest streams</w:t>
      </w:r>
      <w:r>
        <w:t xml:space="preserve"> </w:t>
      </w:r>
      <w:r>
        <w:t xml:space="preserve">ON</w:t>
      </w:r>
      <w:r>
        <w:t xml:space="preserve"> </w:t>
      </w:r>
      <w:r>
        <w:t xml:space="preserve">Acta Limnologica Brasiliensia</w:t>
      </w:r>
    </w:p>
    <w:p>
      <w:pPr>
        <w:pStyle w:val="Author"/>
      </w:pPr>
      <w:r>
        <w:t xml:space="preserve">Ellen Gomes da Silva</w:t>
      </w:r>
    </w:p>
    <w:p>
      <w:pPr>
        <w:pStyle w:val="Author"/>
      </w:pPr>
      <w:r>
        <w:t xml:space="preserve">Mayara Mirelly da Silva Monteiro</w:t>
      </w:r>
    </w:p>
    <w:p>
      <w:pPr>
        <w:pStyle w:val="Author"/>
      </w:pPr>
      <w:r>
        <w:t xml:space="preserve">Marcela Vitória Bernardo da Silva</w:t>
      </w:r>
    </w:p>
    <w:p>
      <w:pPr>
        <w:pStyle w:val="Author"/>
      </w:pPr>
      <w:r>
        <w:t xml:space="preserve">Ludmilla Cavalcanti Antunes Lucena</w:t>
      </w:r>
    </w:p>
    <w:p>
      <w:pPr>
        <w:pStyle w:val="Author"/>
      </w:pPr>
      <w:r>
        <w:t xml:space="preserve">Thais Xavier de Melo</w:t>
      </w:r>
    </w:p>
    <w:p>
      <w:pPr>
        <w:pStyle w:val="Author"/>
      </w:pPr>
      <w:r>
        <w:t xml:space="preserve">Elvio Sergio Figueredo Medeiros</w:t>
      </w:r>
    </w:p>
    <w:p>
      <w:pPr>
        <w:pStyle w:val="Date"/>
      </w:pPr>
      <w:r>
        <w:t xml:space="preserve">2026-10-16</w:t>
      </w:r>
    </w:p>
    <w:p>
      <w:pPr>
        <w:pStyle w:val="AbstractTitle"/>
      </w:pPr>
      <w:r>
        <w:t xml:space="preserve">Abstract</w:t>
      </w:r>
    </w:p>
    <w:p>
      <w:pPr>
        <w:pStyle w:val="Abstract"/>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13" w:name="introduction"/>
    <w:p>
      <w:pPr>
        <w:pStyle w:val="Heading1"/>
      </w:pPr>
      <w:r>
        <w:t xml:space="preserve">1. Introduction</w:t>
      </w:r>
    </w:p>
    <w:p>
      <w:pPr>
        <w:pStyle w:val="FirstParagraph"/>
      </w:pPr>
      <w:r>
        <w:t xml:space="preserve">The Atlantic Forest, recognized for its species richness and high level of endemism, is one of the most threatened tropical forests in the world, making it a global priority for biodiversity conservation</w:t>
      </w:r>
      <w:r>
        <w:t xml:space="preserve"> </w:t>
      </w:r>
      <w:r>
        <w:t xml:space="preserve"> </w:t>
      </w:r>
      <w:r>
        <w:t xml:space="preserve">–&gt;</w:t>
      </w:r>
      <w:r>
        <w:t xml:space="preserve"> </w:t>
      </w:r>
      <w:r>
        <w:t xml:space="preserve">(Fonseca 1985, Myers et al. 2000, Tabarelli et al. 2010)</w:t>
      </w:r>
      <w:r>
        <w:t xml:space="preserve">. Originally, its vegetation cover extended over 1.5 million km², however, centuries of human occupation and resource exploitation have led to severe landscape reduction, compromising the ecological integrity of its remnants and the maintenance of biodiversity</w:t>
      </w:r>
      <w:r>
        <w:t xml:space="preserve"> </w:t>
      </w:r>
      <w:r>
        <w:t xml:space="preserve">(Tabarelli et al. 2010, Safar et al. 2020, Vancine et al. 2024)</w:t>
      </w:r>
      <w:r>
        <w:t xml:space="preserve">. Habitat loss driven by deforestation is directly linked to forest fragmentation, which promotes the isolation of remnants, reduces landscape connectivity, and restricts species dispersal</w:t>
      </w:r>
      <w:r>
        <w:t xml:space="preserve"> </w:t>
      </w:r>
      <w:r>
        <w:t xml:space="preserve">(Zaú 1998, Tabarelli et al. 2010, Souza et al. 2025)</w:t>
      </w:r>
      <w:r>
        <w:t xml:space="preserve">.</w:t>
      </w:r>
    </w:p>
    <w:p>
      <w:pPr>
        <w:pStyle w:val="TextBody"/>
      </w:pPr>
      <w:r>
        <w:t xml:space="preserve">These impacts are not confined to terrestrial environments, they extend to the associated aquatic ecosystems and, most importantly, headwater streams</w:t>
      </w:r>
      <w:r>
        <w:t xml:space="preserve"> </w:t>
      </w:r>
      <w:r>
        <w:t xml:space="preserve">(Malabarba 2006, Meyer et al. 2007)</w:t>
      </w:r>
      <w:r>
        <w:t xml:space="preserve">. Forest fragmentation and land management can generate significant impacts on stream fauna within the Atlantic Forest, as aquatic organisms are highly sensitive to changes in natural water conditions</w:t>
      </w:r>
      <w:r>
        <w:t xml:space="preserve"> </w:t>
      </w:r>
      <w:r>
        <w:t xml:space="preserve">(England and Rosemond 2004)</w:t>
      </w:r>
      <w:r>
        <w:t xml:space="preserve">. Furthermore, landscape-level processes—such as disturbance, fragmentation, dispersal, and mosaic structure—exert a direct influence on local populations</w:t>
      </w:r>
      <w:r>
        <w:t xml:space="preserve"> </w:t>
      </w:r>
      <w:r>
        <w:t xml:space="preserve">(Maltchik and Medeiros 2006, Lôbo et al. 2011)</w:t>
      </w:r>
      <w:r>
        <w:t xml:space="preserve">. Therefore, understanding the ecological processes structuring freshwater communities is essential to comprehend how diversity is distributed across different spatial scales</w:t>
      </w:r>
      <w:r>
        <w:t xml:space="preserve"> </w:t>
      </w:r>
      <w:r>
        <w:t xml:space="preserve">(Ávila et al. 2011)</w:t>
      </w:r>
      <w:r>
        <w:t xml:space="preserve"> </w:t>
      </w:r>
      <w:r>
        <w:t xml:space="preserve">and to evaluate the ecological health of stream.</w:t>
      </w:r>
    </w:p>
    <w:p>
      <w:pPr>
        <w:pStyle w:val="TextBody"/>
      </w:pPr>
      <w:r>
        <w:t xml:space="preserve">In addition to landscape alterations, stream dynamics are strongly driven by seasonal factors. The Atlantic Forest features a predominantly tropical climate with rainfall distributed throughout the year. These hydrological fluctuations directly influence Neotropical freshwater environments by modifying physical and chemical conditions [</w:t>
      </w:r>
      <w:r>
        <w:t xml:space="preserve">Barboza et al. (2024)</w:t>
      </w:r>
      <w:r>
        <w:t xml:space="preserve">]. The shift between dry and rainy seasons alters resource availability, microhabitat structure, and the establishment and persistence of organisms, thereby shaping community composition and dynamics</w:t>
      </w:r>
      <w:r>
        <w:t xml:space="preserve"> </w:t>
      </w:r>
      <w:r>
        <w:t xml:space="preserve">(Ward 1998, Souza et al. 2025)</w:t>
      </w:r>
      <w:r>
        <w:t xml:space="preserve">. During the dry season, reduced precipitation and lower streamflow stabilize hydrological conditions, which may favor the persistence of local populations. Conversely, the wet season is characterized by increased rainfall and discharge, intensifying disturbance events, dispersal, and species turnover. Consequently, seasonality acts as a major driver of aquatic community organization, making these organisms valuable biological tools for assessing the ecological state of freshwater systems</w:t>
      </w:r>
      <w:r>
        <w:t xml:space="preserve"> </w:t>
      </w:r>
      <w:r>
        <w:t xml:space="preserve">(Souza et al. 2025)</w:t>
      </w:r>
      <w:r>
        <w:t xml:space="preserve">, and shifts in species composition and community turnover often reflect underlying alterations in environmental conditions [</w:t>
      </w:r>
      <w:r>
        <w:t xml:space="preserve">Freiry et al. (2020)</w:t>
      </w:r>
      <w:r>
        <w:t xml:space="preserve">;</w:t>
      </w:r>
      <w:r>
        <w:t xml:space="preserve"> </w:t>
      </w:r>
      <w:r>
        <w:t xml:space="preserve">Melo and Medeiros (2013)</w:t>
      </w:r>
      <w:r>
        <w:t xml:space="preserve">;</w:t>
      </w:r>
      <w:r>
        <w:t xml:space="preserve"> </w:t>
      </w:r>
      <w:r>
        <w:t xml:space="preserve">Keppeler and Hardy (2004)</w:t>
      </w:r>
      <w:r>
        <w:t xml:space="preserve">].</w:t>
      </w:r>
    </w:p>
    <w:p>
      <w:pPr>
        <w:pStyle w:val="TextBody"/>
      </w:pPr>
      <w:r>
        <w:t xml:space="preserve">Among the biological components of lotic communities, zooplankton—particularly Rotifera, Cladocera, and Copepoda—play a pivotal role. These organisms exhibit diverse body sizes, morphologies, life histories, and functional roles, serving as excellent bioindicators due to their rapid sensitivity to environmental changes</w:t>
      </w:r>
      <w:r>
        <w:t xml:space="preserve"> </w:t>
      </w:r>
      <w:r>
        <w:t xml:space="preserve">(Bonecker et al. 2013)</w:t>
      </w:r>
      <w:r>
        <w:t xml:space="preserve">. Furthermore, zooplankton constitute a critical food source for fish and other organisms, an essential trophic bridge that transfers energy from primary producers to higher trophic levels [</w:t>
      </w:r>
      <w:r>
        <w:t xml:space="preserve">Altindağ and Berdi̇ (2025)</w:t>
      </w:r>
      <w:r>
        <w:t xml:space="preserve">;</w:t>
      </w:r>
      <w:r>
        <w:t xml:space="preserve"> </w:t>
      </w:r>
      <w:r>
        <w:t xml:space="preserve">Balkić et al. (2022)</w:t>
      </w:r>
      <w:r>
        <w:t xml:space="preserve">;</w:t>
      </w:r>
      <w:r>
        <w:t xml:space="preserve"> </w:t>
      </w:r>
      <w:r>
        <w:t xml:space="preserve">Marcelino et al. (2025)</w:t>
      </w:r>
      <w:r>
        <w:t xml:space="preserve">;</w:t>
      </w:r>
      <w:r>
        <w:t xml:space="preserve"> </w:t>
      </w:r>
      <w:r>
        <w:t xml:space="preserve">Souza et al. (2025)</w:t>
      </w:r>
      <w:r>
        <w:t xml:space="preserve">].</w:t>
      </w:r>
    </w:p>
    <w:p>
      <w:pPr>
        <w:pStyle w:val="TextBody"/>
      </w:pPr>
      <w:r>
        <w:t xml:space="preserve">In recent decades, researchers have argued that biodiversity assessments should not be reduced to a single diversity index.</w:t>
      </w:r>
      <w:r>
        <w:t xml:space="preserve"> </w:t>
      </w:r>
      <w:r>
        <w:t xml:space="preserve">Romanelli et al. (2022)</w:t>
      </w:r>
      <w:r>
        <w:t xml:space="preserve"> </w:t>
      </w:r>
      <w:r>
        <w:t xml:space="preserve">proposes that a multiple statistical diversity approach with multi-taxon evaluation provides a more comprehensive understanding of environmental ecological health and species responses to anthropogenic stress. Nevertheless, few approaches allow for the assessment of diversity organization across explicit hierarchical spatial scales, such as in streams. Diversity partitioning stands out in this context. This framework decomposes overall diversity across multiple spatial levels, testing whether observed diversity is higher or lower than expected under a null distribution model</w:t>
      </w:r>
      <w:r>
        <w:t xml:space="preserve"> </w:t>
      </w:r>
      <w:r>
        <w:t xml:space="preserve">(Lopes et al. 2014)</w:t>
      </w:r>
      <w:r>
        <w:t xml:space="preserve">, thereby offering valuable insights into community assembly and underlying ecological drivers.</w:t>
      </w:r>
    </w:p>
    <w:p>
      <w:pPr>
        <w:pStyle w:val="TextBody"/>
      </w:pPr>
      <w:r>
        <w:t xml:space="preserve">Among the diversity partitioning framework, additive partitioning is widely applied in ecological studies, even though,</w:t>
      </w:r>
      <w:r>
        <w:t xml:space="preserve"> </w:t>
      </w:r>
      <w:r>
        <w:t xml:space="preserve"> </w:t>
      </w:r>
      <w:r>
        <w:t xml:space="preserve">–&gt;</w:t>
      </w:r>
      <w:r>
        <w:t xml:space="preserve"> </w:t>
      </w:r>
      <w:r>
        <w:t xml:space="preserve">Ligeiro et al. (2010)</w:t>
      </w:r>
      <w:r>
        <w:t xml:space="preserve"> </w:t>
      </w:r>
      <w:r>
        <w:t xml:space="preserve">point out that its application in freshwater systems remains relatively scarce and highlights a critical knowledge gap regarding alpha and beta diversity distribution in freshwater systems. Additive diversity partitioning has been shown to provide a robust framework to evaluate how freshwater communities respond to landscape fragmentation and/or seasonal dynamics</w:t>
      </w:r>
      <w:r>
        <w:t xml:space="preserve"> </w:t>
      </w:r>
      <w:r>
        <w:t xml:space="preserve">(Akhyar et al. 2026)</w:t>
      </w:r>
      <w:r>
        <w:t xml:space="preserve">. By decomposing total diversity into hierarchical</w:t>
      </w:r>
      <w:r>
        <w:t xml:space="preserve"> </w:t>
      </w:r>
      <m:oMath>
        <m:r>
          <m:t>α</m:t>
        </m:r>
      </m:oMath>
      <w:r>
        <w:t xml:space="preserve"> </w:t>
      </w:r>
      <w:r>
        <w:t xml:space="preserve">and</w:t>
      </w:r>
      <w:r>
        <w:t xml:space="preserve"> </w:t>
      </w:r>
      <m:oMath>
        <m:r>
          <m:t>β</m:t>
        </m:r>
      </m:oMath>
      <w:r>
        <w:t xml:space="preserve"> </w:t>
      </w:r>
      <w:r>
        <w:t xml:space="preserve">components, it is possible to quantify spatial contributions to overall diversity and detect species turnover across scales</w:t>
      </w:r>
      <w:r>
        <w:t xml:space="preserve"> </w:t>
      </w:r>
      <w:r>
        <w:t xml:space="preserve">(Jost 2007)</w:t>
      </w:r>
      <w:r>
        <w:t xml:space="preserve">. That is, under the additive partitioning model, total regional diversity (</w:t>
      </w:r>
      <m:oMath>
        <m:r>
          <m:t>γ</m:t>
        </m:r>
      </m:oMath>
      <w:r>
        <w:t xml:space="preserve">-diversity) is partitioned into additive alpha (</w:t>
      </w:r>
      <m:oMath>
        <m:r>
          <m:t>α</m:t>
        </m:r>
      </m:oMath>
      <w:r>
        <w:t xml:space="preserve">) and beta (</w:t>
      </w:r>
      <m:oMath>
        <m:r>
          <m:t>β</m:t>
        </m:r>
      </m:oMath>
      <w:r>
        <w:t xml:space="preserve">) components</w:t>
      </w:r>
      <w:r>
        <w:t xml:space="preserve"> </w:t>
      </w:r>
      <w:r>
        <w:t xml:space="preserve">(Crist et al. 2003)</w:t>
      </w:r>
      <w:r>
        <w:t xml:space="preserve">, where</w:t>
      </w:r>
      <w:r>
        <w:t xml:space="preserve"> </w:t>
      </w:r>
      <m:oMath>
        <m:r>
          <m:t>α</m:t>
        </m:r>
      </m:oMath>
      <w:r>
        <w:t xml:space="preserve">-diversity represents the mean local richness and</w:t>
      </w:r>
      <w:r>
        <w:t xml:space="preserve"> </w:t>
      </w:r>
      <m:oMath>
        <m:r>
          <m:t>β</m:t>
        </m:r>
      </m:oMath>
      <w:r>
        <w:t xml:space="preserve">-diversity reflects spatial turnover or variation in species composition among sampling units</w:t>
      </w:r>
      <w:r>
        <w:t xml:space="preserve"> </w:t>
      </w:r>
      <w:r>
        <w:t xml:space="preserve">(Whittaker 1972, Jost 2007, Ligeiro et al. 2010, Ávila et al. 2011, Baselga 2012)</w:t>
      </w:r>
      <w:r>
        <w:t xml:space="preserve">.</w:t>
      </w:r>
    </w:p>
    <w:p>
      <w:pPr>
        <w:pStyle w:val="TextBody"/>
      </w:pPr>
      <w:r>
        <w:t xml:space="preserve">Therefore, understanding the spatial structure and distribution of biodiversity across scale remains a central theme in community ecology and conservation planning</w:t>
      </w:r>
      <w:r>
        <w:t xml:space="preserve"> </w:t>
      </w:r>
      <w:r>
        <w:t xml:space="preserve">(Lande 1996, Crist et al. 2003)</w:t>
      </w:r>
      <w:r>
        <w:t xml:space="preserve">. These approaches are based on the concepts of species turnover and nestedness, two distinct components used to break down and understand beta diversity – which measures how much species composition changes between different communities or sites</w:t>
      </w:r>
      <w:r>
        <w:t xml:space="preserve"> </w:t>
      </w:r>
      <w:r>
        <w:t xml:space="preserve">(Baselga 2010)</w:t>
      </w:r>
      <w:r>
        <w:t xml:space="preserve">. Turnover is the replacement of some species by different species from one site to another, while nestedness is the loss or gain of species where poorer sites contain a strict subset of the species found at richer sites.</w:t>
      </w:r>
    </w:p>
    <w:p>
      <w:pPr>
        <w:pStyle w:val="TextBody"/>
      </w:pPr>
      <w:r>
        <w:t xml:space="preserve">Total regional species richness (</w:t>
      </w:r>
      <m:oMath>
        <m:r>
          <m:t>γ</m:t>
        </m:r>
      </m:oMath>
      <w:r>
        <w:t xml:space="preserve">-diversity) can be hierarchically partitioned into its additive components: local richness (</w:t>
      </w:r>
      <m:oMath>
        <m:r>
          <m:t>α</m:t>
        </m:r>
      </m:oMath>
      <w:r>
        <w:t xml:space="preserve">-diversity) and species turnover among assemblages (</w:t>
      </w:r>
      <m:oMath>
        <m:r>
          <m:t>β</m:t>
        </m:r>
      </m:oMath>
      <w:r>
        <w:t xml:space="preserve">-diversity) across spatial or temporal scales</w:t>
      </w:r>
      <w:r>
        <w:t xml:space="preserve"> </w:t>
      </w:r>
      <w:r>
        <w:t xml:space="preserve">(Lande 1996)</w:t>
      </w:r>
      <w:r>
        <w:t xml:space="preserve">. Examining these components allows ecologists to disentangle whether regional diversity is primarily governed by fine-scale local processes or broader spatial heterogeneity</w:t>
      </w:r>
      <w:r>
        <w:t xml:space="preserve"> </w:t>
      </w:r>
      <w:r>
        <w:t xml:space="preserve">(Crist et al. 2003, Tuomisto 2010)</w:t>
      </w:r>
      <w:r>
        <w:t xml:space="preserve">. Beta diversity (</w:t>
      </w:r>
      <m:oMath>
        <m:r>
          <m:t>β</m:t>
        </m:r>
      </m:oMath>
      <w:r>
        <w:t xml:space="preserve">) itself reflects the variation in species composition among sites and is driven by two distinct ecological phenomena: turnover (species replacement) and nestedness (richness differences)</w:t>
      </w:r>
      <w:r>
        <w:t xml:space="preserve"> </w:t>
      </w:r>
      <w:r>
        <w:t xml:space="preserve">(Baselga 2010)</w:t>
      </w:r>
      <w:r>
        <w:t xml:space="preserve">. Species turnover occurs when species are replaced by different species along environmental or spatial gradients, usually driven by environmental filtering, competitive exclusion, or dispersal limitation</w:t>
      </w:r>
      <w:r>
        <w:t xml:space="preserve"> </w:t>
      </w:r>
      <w:r>
        <w:t xml:space="preserve">(Baselga 2010, Tuomisto 2010)</w:t>
      </w:r>
      <w:r>
        <w:t xml:space="preserve">. In contrast, nestedness occurs when communities at species-poor sites are non-random subsets of those at species-rich sites</w:t>
      </w:r>
      <w:r>
        <w:t xml:space="preserve"> </w:t>
      </w:r>
      <w:r>
        <w:t xml:space="preserve">(Baselga 2010)</w:t>
      </w:r>
      <w:r>
        <w:t xml:space="preserve">. Nested patterns typically stem from deterministic processes such as selective extinction, differential colonization capacity, or habitat fragmentation that sequentially eliminate sensitive taxa while retaining tolerant generalists</w:t>
      </w:r>
      <w:r>
        <w:t xml:space="preserve"> </w:t>
      </w:r>
      <w:r>
        <w:t xml:space="preserve">(Baselga 2010)</w:t>
      </w:r>
      <w:r>
        <w:t xml:space="preserve">. Evaluating the relative contribution of turnover and nestedness—alongside null models using Standardized Effect Sizes (</w:t>
      </w:r>
      <m:oMath>
        <m:r>
          <m:rPr>
            <m:nor/>
            <m:sty m:val="p"/>
          </m:rPr>
          <m:t>SES</m:t>
        </m:r>
      </m:oMath>
      <w:r>
        <w:t xml:space="preserve">)—provides critical insights into assembly rules and conservation prioritization</w:t>
      </w:r>
      <w:r>
        <w:t xml:space="preserve"> </w:t>
      </w:r>
      <w:r>
        <w:t xml:space="preserve">(Gotelli and McCabe 2002, Baselga 2010)</w:t>
      </w:r>
      <w:r>
        <w:t xml:space="preserve">. A pattern dominated by turnover (</w:t>
      </w:r>
      <m:oMath>
        <m:r>
          <m:rPr>
            <m:nor/>
            <m:sty m:val="p"/>
          </m:rPr>
          <m:t>SES</m:t>
        </m:r>
        <m:r>
          <m:rPr>
            <m:sty m:val="p"/>
          </m:rPr>
          <m:t>&gt;</m:t>
        </m:r>
        <m:r>
          <m:t>0</m:t>
        </m:r>
      </m:oMath>
      <w:r>
        <w:t xml:space="preserve">) implies strong ecological differentiation and high beta diversity, signaling that distinct localities host unique biological assemblages</w:t>
      </w:r>
      <w:r>
        <w:t xml:space="preserve"> </w:t>
      </w:r>
      <w:r>
        <w:t xml:space="preserve">(Baselga 2010)</w:t>
      </w:r>
      <w:r>
        <w:t xml:space="preserve">. From a conservation perspective, high turnover necessitates a network-wide preservation strategy, as multiple sites must be protected to encompass regional biodiversity</w:t>
      </w:r>
      <w:r>
        <w:t xml:space="preserve"> </w:t>
      </w:r>
      <w:r>
        <w:t xml:space="preserve">(Baselga 2010)</w:t>
      </w:r>
      <w:r>
        <w:t xml:space="preserve">. Conversely, a system dominated by nestedness or fine-scale homogenization (</w:t>
      </w:r>
      <m:oMath>
        <m:r>
          <m:rPr>
            <m:nor/>
            <m:sty m:val="p"/>
          </m:rPr>
          <m:t>SES</m:t>
        </m:r>
        <m:r>
          <m:rPr>
            <m:sty m:val="p"/>
          </m:rPr>
          <m:t>&lt;</m:t>
        </m:r>
        <m:r>
          <m:t>0</m:t>
        </m:r>
      </m:oMath>
      <w:r>
        <w:t xml:space="preserve">) indicates that local assemblages are nested sub-collections of regional species pools. Under a nested regime, management efforts are most effectively concentrated on protecting the largest or highest-quality species-rich sites, which inherently harbor the vast majority of the regional pool</w:t>
      </w:r>
      <w:r>
        <w:t xml:space="preserve"> </w:t>
      </w:r>
      <w:r>
        <w:t xml:space="preserve">(Baselga 2010)</w:t>
      </w:r>
      <w:r>
        <w:t xml:space="preserve">.</w:t>
      </w:r>
    </w:p>
    <w:p>
      <w:pPr>
        <w:pStyle w:val="TextBody"/>
      </w:pPr>
      <w:r>
        <w:t xml:space="preserve">CITAR:</w:t>
      </w:r>
      <w:r>
        <w:t xml:space="preserve"> </w:t>
      </w:r>
      <w:r>
        <w:t xml:space="preserve">(Gering et al. 2003, Crist et al. 2003, Veech et al. 2003, Baselga 2010, 2012, Ligeiro et al. 2010, Ávila et al. 2011, Shell and Collier 2018)</w:t>
      </w:r>
    </w:p>
    <w:bookmarkStart w:id="12" w:name="objectives"/>
    <w:p>
      <w:pPr>
        <w:pStyle w:val="Heading2"/>
      </w:pPr>
      <w:r>
        <w:t xml:space="preserve">1.1 Objectives</w:t>
      </w:r>
    </w:p>
    <w:p>
      <w:pPr>
        <w:pStyle w:val="FirstParagraph"/>
      </w:pPr>
      <w:r>
        <w:t xml:space="preserve">This study describes the richness and density of zooplankton, comparatively between two small head water streams subject to different levels of environmental pressures. One originates withing a protected area - Biological Reserve, or REBIO, according to</w:t>
      </w:r>
      <w:r>
        <w:t xml:space="preserve"> </w:t>
      </w:r>
      <w:r>
        <w:t xml:space="preserve">BRASIL (2000)</w:t>
      </w:r>
      <w:r>
        <w:t xml:space="preserve"> </w:t>
      </w:r>
      <w:r>
        <w:t xml:space="preserve">- and its course extends beyond its administrative boundaries</w:t>
      </w:r>
      <w:r>
        <w:t xml:space="preserve"> </w:t>
      </w:r>
      <w:r>
        <w:t xml:space="preserve">(MMA 2003)</w:t>
      </w:r>
      <w:r>
        <w:t xml:space="preserve">, and a second one that flows entirely outside of the protected area. Within this framework, we use hierarchical additive partitioning to evaluate the relative contribution of different spatial and temporal scales to the diversity of zooplankton assemblages. Given the importance of the Atlantic Forest to the biodiversity</w:t>
      </w:r>
      <w:r>
        <w:t xml:space="preserve"> </w:t>
      </w:r>
      <w:r>
        <w:t xml:space="preserve">(Pereira et al. 2026)</w:t>
      </w:r>
      <w:r>
        <w:t xml:space="preserve"> </w:t>
      </w:r>
      <w:r>
        <w:t xml:space="preserve">and its fragmented stated north of the São Francisco river basin</w:t>
      </w:r>
      <w:r>
        <w:t xml:space="preserve"> </w:t>
      </w:r>
      <w:r>
        <w:t xml:space="preserve">(Silva and Casteleti 2003)</w:t>
      </w:r>
      <w:r>
        <w:t xml:space="preserve">, we aim with this study, (1) to infer environmental degradation from species turnover</w:t>
      </w:r>
      <w:r>
        <w:t xml:space="preserve"> </w:t>
      </w:r>
      <w:r>
        <w:t xml:space="preserve">(Baselga 2010)</w:t>
      </w:r>
      <w:r>
        <w:t xml:space="preserve"> </w:t>
      </w:r>
      <w:r>
        <w:t xml:space="preserve">and (2) to associate beta-diversity to the ecological health of sites inside and surrounding a protected area of Atlantic Forest. Given the expected different levels of environmental pressures in the area</w:t>
      </w:r>
      <w:r>
        <w:t xml:space="preserve"> </w:t>
      </w:r>
      <w:r>
        <w:t xml:space="preserve">(Gouveia et al. 2017)</w:t>
      </w:r>
      <w:r>
        <w:t xml:space="preserve">, we hypothesize that the diversity is not be homogeneously distributed among the different spatial scales but concentrated at the finer levels and seasonal variation will be limited to species composition, but no spacial variation is expected between dry and wet seasons. Some environmental features (reach morphology, habitat structure, and water quality) are also described to explore possible explaining factors for the observed patterns. Ultimately, this study generates key baseline data on the ecological condition of the studied streams and the ecological mechanisms structuring zooplankton communities, contributing to safer conservation strategies in Atlantic Forest remnants.</w:t>
      </w:r>
    </w:p>
    <w:bookmarkEnd w:id="12"/>
    <w:bookmarkEnd w:id="13"/>
    <w:bookmarkStart w:id="18" w:name="material-and-methods"/>
    <w:p>
      <w:pPr>
        <w:pStyle w:val="Heading1"/>
      </w:pPr>
      <w:r>
        <w:t xml:space="preserve">2. Material and methods</w:t>
      </w:r>
    </w:p>
    <w:bookmarkStart w:id="14" w:name="study-area-and-sampling-design"/>
    <w:p>
      <w:pPr>
        <w:pStyle w:val="Heading2"/>
      </w:pPr>
      <w:r>
        <w:t xml:space="preserve">2.1 Study area and sampling design</w:t>
      </w:r>
    </w:p>
    <w:p>
      <w:pPr>
        <w:pStyle w:val="FirstParagraph"/>
      </w:pPr>
      <w:r>
        <w:t xml:space="preserve">This study was conducted in the Guaribas Biological Reserve (REBIO Guaribas), a protected area of Atlantic Forest in northeastern Brazil. This protected area is located in a transitional zone between the Caatinga and Atlantic Forest ecoregions. The land use of the study area is based on the occupation of traditional human populations and an increasing use of land for large scale monocultures, mostly sugar cane</w:t>
      </w:r>
      <w:r>
        <w:t xml:space="preserve"> </w:t>
      </w:r>
      <w:r>
        <w:t xml:space="preserve">(Heinrichs et al. 2017)</w:t>
      </w:r>
      <w:r>
        <w:t xml:space="preserve">. Other than these, small scale agricultural activities, fishing, and the modification of the natural vegetation for livestock are important anthropogenic pressures that affect the buffer zone of the REBIO</w:t>
      </w:r>
      <w:r>
        <w:t xml:space="preserve"> </w:t>
      </w:r>
      <w:r>
        <w:t xml:space="preserve">(Arruda et al. 2013, MMA 2026)</w:t>
      </w:r>
      <w:r>
        <w:t xml:space="preserve">. Other common uses of the soil in the area are, coconut plantations, orchards and subsistence agriculture. These land uses represent important sources of pollution, either through agrochemicals runoff or direct and indirect domestic effluents (such as septic tanks). These nonpoint source pollutants contaminate underground water and create a spatial gradient of environmental disturbance</w:t>
      </w:r>
      <w:r>
        <w:t xml:space="preserve"> </w:t>
      </w:r>
      <w:r>
        <w:t xml:space="preserve">(Mehla et al. 2026)</w:t>
      </w:r>
      <w:r>
        <w:t xml:space="preserve">. Therefore, the mainly rural nature of the land use associated with the management of vegetation, will cause direct impact to aquatic systems, by the siltation of streams and contamination of groundwater. The hydrographic network of the study region is composed predominantly of small catchments containing first- and second-order streams</w:t>
      </w:r>
      <w:r>
        <w:t xml:space="preserve"> </w:t>
      </w:r>
      <w:r>
        <w:t xml:space="preserve">(Strahler 1957 classification)</w:t>
      </w:r>
      <w:r>
        <w:t xml:space="preserve"> </w:t>
      </w:r>
      <w:r>
        <w:t xml:space="preserve">(</w:t>
      </w:r>
      <w:hyperlink w:anchor="fig-mapa">
        <w:r>
          <w:rPr>
            <w:rStyle w:val="Hyperlink"/>
          </w:rPr>
          <w:t xml:space="preserve">Figure 1</w:t>
        </w:r>
      </w:hyperlink>
      <w:r>
        <w:t xml:space="preserve">). These watercourses are tributaries of the Camaratuba River and are sustained by numerous springs distributed throughout the region. The two main stream systems in the study area are the Barro Branco and Caiana catchemnts. The Barro Branco stream is approximately 8.8 km long and originates within the protected area. Its upper section remains within the boundaries of the REBIO, whereas its middle and lower sections extend into the surrounding landscape. Despite this transition, riparian vegetation is preserved along most of the stream. The Caiana stream is approximately 9.8 km long and also originates within the REBIO, although most of its course lies outside the protection area.</w:t>
      </w:r>
    </w:p>
    <w:p>
      <w:pPr>
        <w:pStyle w:val="TextBody"/>
      </w:pPr>
      <w:r>
        <w:t xml:space="preserve">The climate in the region is classified as As’</w:t>
      </w:r>
      <w:r>
        <w:t xml:space="preserve"> </w:t>
      </w:r>
      <w:r>
        <w:t xml:space="preserve">(Peel et al. 2007)</w:t>
      </w:r>
      <w:r>
        <w:t xml:space="preserve">, characterized by a mean annual temperature of approximately 25 °C, with maximum temperatures occurring mainly between February and March, during the dry period, as well as by low annual thermal amplitude. Annual precipitation ranges from 1,400 to 1,800 mm, concentrated between March and July, whereas the lowest rainfall levels occur between September and December. In the study area, rainfall is concentrated between March and July, beginning in autumn and extending into winter. This pattern is attributed to the influence of cold air masses from the South Atlantic ocean that affect the region. The hydrographic network is composed of small headwater streams fed by rain</w:t>
      </w:r>
      <w:r>
        <w:t xml:space="preserve"> </w:t>
      </w:r>
      <w:r>
        <w:t xml:space="preserve">(Gouveia et al. 2017)</w:t>
      </w:r>
      <w:r>
        <w:t xml:space="preserve">.</w:t>
      </w:r>
    </w:p>
    <w:p>
      <w:pPr>
        <w:pStyle w:val="TextBody"/>
      </w:pPr>
      <w:r>
        <w:t xml:space="preserve">A total of 15 sampling sites distributed longitudinally across the two Atlantic Forest streams were selected to capture spatial variation in environmental conditions and habitat characteristics. The Barro Branco stream included sampling sites located within a protected area (REBIO Guaribas) and sites located outside its boundaries, whereas all sampling sites in the Caiana stream were located outside the protected area. This sampling design allowed the assessment of zooplankton diversity across nested spatial scales and contrasting conditions of environmental protection and human influence (</w:t>
      </w:r>
      <w:hyperlink w:anchor="fig-mapa">
        <w:r>
          <w:rPr>
            <w:rStyle w:val="Hyperlink"/>
          </w:rPr>
          <w:t xml:space="preserve">Figure 1</w:t>
        </w:r>
      </w:hyperlink>
      <w:r>
        <w:t xml:space="preserve">). Sampling included temporal (dry and wet seasons) and spatial scales. The spatial scales of zooplankton diversity were represented by the total gamma (γ) diversity, encompassing both study streams. At each stream, several sites were selected according to their position in the main channel of the catchment basin and, at each site, three habitas were sampled to represent different habitat types (pool, riffle, near underwater structures)</w:t>
      </w:r>
      <w:r>
        <w:t xml:space="preserve"> </w:t>
      </w:r>
      <w:r>
        <w:t xml:space="preserve">(Frissell et al. 1986)</w:t>
      </w:r>
      <w:r>
        <w:t xml:space="preserve">. We also considered a further spatial scale being the upper reaches (portion of the Barro Branco stream within the conservation unit and the Caiana stream before its confluence with the Pipina stream) and the lower reaches (portion of the Barro Branco stream outside the conservation unit and the Caiana stream after its confluence with the Pipina stream) (</w:t>
      </w:r>
      <w:hyperlink w:anchor="fig-mapa">
        <w:r>
          <w:rPr>
            <w:rStyle w:val="Hyperlink"/>
          </w:rPr>
          <w:t xml:space="preserve">Figure 1</w:t>
        </w:r>
      </w:hyperlink>
      <w:r>
        <w:t xml:space="preserve">). Sampling was conducted during the dry (January-February) and wet (June-July) seasons of 2024.</w:t>
      </w:r>
    </w:p>
    <w:bookmarkEnd w:id="14"/>
    <w:bookmarkStart w:id="15" w:name="environmental-data-collection"/>
    <w:p>
      <w:pPr>
        <w:pStyle w:val="Heading2"/>
      </w:pPr>
      <w:r>
        <w:t xml:space="preserve">2.2 Environmental data collection</w:t>
      </w:r>
    </w:p>
    <w:p>
      <w:pPr>
        <w:pStyle w:val="FirstParagraph"/>
      </w:pPr>
      <w:r>
        <w:t xml:space="preserve">Environmental conditions were characterized using four groups of variables, following procedures adapted by</w:t>
      </w:r>
      <w:r>
        <w:t xml:space="preserve"> </w:t>
      </w:r>
      <w:r>
        <w:t xml:space="preserve">Medeiros et al. (2008)</w:t>
      </w:r>
      <w:r>
        <w:t xml:space="preserve"> </w:t>
      </w:r>
      <w:r>
        <w:t xml:space="preserve">from the protocols proposed by</w:t>
      </w:r>
      <w:r>
        <w:t xml:space="preserve"> </w:t>
      </w:r>
      <w:r>
        <w:t xml:space="preserve">Pusey et al. (2004)</w:t>
      </w:r>
      <w:r>
        <w:t xml:space="preserve"> </w:t>
      </w:r>
      <w:r>
        <w:t xml:space="preserve">and</w:t>
      </w:r>
      <w:r>
        <w:t xml:space="preserve"> </w:t>
      </w:r>
      <w:r>
        <w:t xml:space="preserve">Mugodo et al. (2006)</w:t>
      </w:r>
      <w:r>
        <w:t xml:space="preserve">: physicochemical water quality, stream site morphology, substrate composition, and marginal habitat structure. Water quality was characterized using physical and chemical measurements obtained with portable instruments, including water temperature (°C) and dissolved oxygen concentration (mg/L). Turbidity was subsequently measured in the laboratory with a turbidimeter using water samples collected at each sampling site. Current velocity (m/s) was estimated using the float method, as described by</w:t>
      </w:r>
      <w:r>
        <w:t xml:space="preserve"> </w:t>
      </w:r>
      <w:r>
        <w:t xml:space="preserve">Maitland (1990)</w:t>
      </w:r>
      <w:r>
        <w:t xml:space="preserve">. Morphological characteristics were assessed from three randomly selected transects at each site, where stream width (cm) and water depth (cm) were measured. Bank slope was classified into four categories according to its inclination: 1, ≤ 20°; 2, &gt; 20–30°; 3, &gt; 30–50°; and 4, &gt; 50°. Broader-scale landscape characteristics, including elevation and stream length, were obtained from handheld GPS records and satellite imagery. Substrate composition and the physical structure of marginal habitats were evaluated from 9 to 12 quadrats (1 m²) distributed along the terrestrial-aquatic interface at each sampling site. Within each quadrat, the proportional cover of different substrate categories was visually estimated, including mud, sand, cobbles, fine and coarse gravel and rocks. The same quadrats were used to characterize littoral and submerged habitat features. Recorded habitat components included macrophytes, marginal grasses, leaf litter, attached and filamentous algae, overhanging and submerged vegetation, small and large woody debris, and root masses</w:t>
      </w:r>
      <w:r>
        <w:t xml:space="preserve"> </w:t>
      </w:r>
      <w:r>
        <w:t xml:space="preserve">(Medeiros et al. 2008)</w:t>
      </w:r>
      <w:r>
        <w:t xml:space="preserve">. For subsequent analyses and presentation, environmental measurements were summarized as mean values for each sampling site.</w:t>
      </w:r>
    </w:p>
    <w:p>
      <w:pPr>
        <w:pStyle w:val="TextBody"/>
      </w:pPr>
      <w:r>
        <w:t xml:space="preserve">Three 250 mL replicate samples of water from each site were taken and refrigerated for concentration analysis (μg L⁻¹) of ammonia, nitrite, nitrate, orthophosphate (soluble reactive phosphorus) and total phosphorus. Nutrient concentrations were obtained based on Standard Methods for the Examination of Water</w:t>
      </w:r>
      <w:r>
        <w:t xml:space="preserve"> </w:t>
      </w:r>
      <w:r>
        <w:t xml:space="preserve">(APHA 1998)</w:t>
      </w:r>
      <w:r>
        <w:t xml:space="preserve"> </w:t>
      </w:r>
      <w:r>
        <w:t xml:space="preserve">and</w:t>
      </w:r>
      <w:r>
        <w:t xml:space="preserve"> </w:t>
      </w:r>
      <w:r>
        <w:t xml:space="preserve">Mackereth et al. (1978)</w:t>
      </w:r>
      <w:r>
        <w:t xml:space="preserve">.</w:t>
      </w:r>
    </w:p>
    <w:bookmarkEnd w:id="15"/>
    <w:bookmarkStart w:id="16" w:name="zooplankton-sampling"/>
    <w:p>
      <w:pPr>
        <w:pStyle w:val="Heading2"/>
      </w:pPr>
      <w:r>
        <w:t xml:space="preserve">2.3 Zooplankton sampling</w:t>
      </w:r>
    </w:p>
    <w:p>
      <w:pPr>
        <w:pStyle w:val="FirstParagraph"/>
      </w:pPr>
      <w:r>
        <w:t xml:space="preserve">Zooplankton was sampled at habitats within each sampling site, hereafter referred to as habitat samples. Collections were performed in the main channel of the streams at the surface water. At each sampling habitat, a plankton net (30 cm mouth diameter, 70 cm length, and 60 μm mesh size) was used to filter 50 L of water. The net was rinsed between successive samples to prevent clogging and carryover of organisms. Each sample was concentrated to a final volume of 80 mL for laboratory analyses. Following collection, zooplankton samples were anesthetized with commercial sparkling water and subsequently preserved in 4% formalin</w:t>
      </w:r>
      <w:r>
        <w:t xml:space="preserve"> </w:t>
      </w:r>
      <w:r>
        <w:t xml:space="preserve">(EPA 2020)</w:t>
      </w:r>
      <w:r>
        <w:t xml:space="preserve">. Sucrose was added to the preserved sample to prevent female cladocerans from losing eggs and to minimize carapace distortion</w:t>
      </w:r>
      <w:r>
        <w:t xml:space="preserve"> </w:t>
      </w:r>
      <w:r>
        <w:t xml:space="preserve">(Haney and Hall 1973)</w:t>
      </w:r>
      <w:r>
        <w:t xml:space="preserve">. In the laboratory, samples had their zooplankton identified and counted using a Sedgewick–Rafter counting chamber. The analyses focused on representatives of Rotifera, Cladocera, and Copepoda. Taxonomic identification was based on specialized literature and confirmed by specialists. To evaluate whether the sampling effort adequately represented the zooplankton assemblage, species accumulation curves were calculated</w:t>
      </w:r>
      <w:r>
        <w:t xml:space="preserve"> </w:t>
      </w:r>
      <w:r>
        <w:t xml:space="preserve">(Melo 2014, Lucena et al. 2015)</w:t>
      </w:r>
      <w:r>
        <w:t xml:space="preserve">.</w:t>
      </w:r>
    </w:p>
    <w:bookmarkEnd w:id="16"/>
    <w:bookmarkStart w:id="17" w:name="statistical-analyses"/>
    <w:p>
      <w:pPr>
        <w:pStyle w:val="Heading2"/>
      </w:pPr>
      <w:r>
        <w:t xml:space="preserve">2.4 Statistical analyses</w:t>
      </w:r>
    </w:p>
    <w:p>
      <w:pPr>
        <w:pStyle w:val="FirstParagraph"/>
      </w:pPr>
      <w:r>
        <w:t xml:space="preserve">Environmental variables were screened for multicollinearity and to identify redundant descriptors. Variables representing similar environmental information were also combined when appropriate, thereby reducing redundancy in the dataset</w:t>
      </w:r>
      <w:r>
        <w:t xml:space="preserve"> </w:t>
      </w:r>
      <w:r>
        <w:t xml:space="preserve">(Legendre and Legendre 1998)</w:t>
      </w:r>
      <w:r>
        <w:t xml:space="preserve">.</w:t>
      </w:r>
    </w:p>
    <w:p>
      <w:pPr>
        <w:pStyle w:val="TextBody"/>
      </w:pPr>
      <w:r>
        <w:t xml:space="preserve">These data were then analyzed using Principal Component Analysis (PCA) to summarize multivariate patterns of environmental variation among sampling sites. Prior to PCA, site morphology and water-quality variables were square-root transformed</w:t>
      </w:r>
      <w:r>
        <w:t xml:space="preserve"> </w:t>
      </w:r>
      <w:r>
        <w:t xml:space="preserve">(Sokal and Rohlf 1995)</w:t>
      </w:r>
      <w:r>
        <w:t xml:space="preserve">. Variables describing sediment composition and marginal habitat structure, expressed as percentages, were relativized by their column totals and subsequently subjected to the arcsine square-root transformation</w:t>
      </w:r>
      <w:r>
        <w:t xml:space="preserve"> </w:t>
      </w:r>
      <w:r>
        <w:t xml:space="preserve">(McCune and Grace 2002)</w:t>
      </w:r>
      <w:r>
        <w:t xml:space="preserve">. PCA was conducted in R using the</w:t>
      </w:r>
      <w:r>
        <w:t xml:space="preserve"> </w:t>
      </w:r>
      <w:r>
        <w:rPr>
          <w:rStyle w:val="VerbatimChar"/>
        </w:rPr>
        <w:t xml:space="preserve">FactoMineR</w:t>
      </w:r>
      <w:r>
        <w:t xml:space="preserve"> </w:t>
      </w:r>
      <w:r>
        <w:t xml:space="preserve">package</w:t>
      </w:r>
      <w:r>
        <w:t xml:space="preserve"> </w:t>
      </w:r>
      <w:r>
        <w:t xml:space="preserve">(Lê et al. 2008)</w:t>
      </w:r>
      <w:r>
        <w:t xml:space="preserve">, with all variables centered and standardized to unit variance before analysis. The water quality parameters temperature and dissolved oxygen, and all nutrients were used to characterize differences between streams but were not used in the PCA because they were not measured for both seasons.A Permutational Multivariate Analysis of Variance (PERMANOVA, 999 permutations) was performed to test whether the overall set of environmental variables measured differed across the seasons and streams .</w:t>
      </w:r>
    </w:p>
    <w:p>
      <w:pPr>
        <w:pStyle w:val="TextBody"/>
      </w:pPr>
      <w:r>
        <w:t xml:space="preserve">To compare the diversity of zooplankton taxa between streams, the Chao1 estimated richness (± SE) and the curves of rarefied and extrapolated richness were generated (95% upper and lower confidence intervals) using individual-based rarefaction curves</w:t>
      </w:r>
      <w:r>
        <w:t xml:space="preserve"> </w:t>
      </w:r>
      <w:r>
        <w:t xml:space="preserve">(Gotelli and Colwell 2001, Freiry et al. 2020)</w:t>
      </w:r>
      <w:r>
        <w:t xml:space="preserve">. Community composition and environmental variables were compared among hydrological periods and streams using Permutational Multivariate Analysis of Variance (PERMANOVA), based on a Bray–Curtis dissimilarity matrix</w:t>
      </w:r>
      <w:r>
        <w:t xml:space="preserve"> </w:t>
      </w:r>
      <w:r>
        <w:t xml:space="preserve">(Anderson and Walsh 2013, Freiry et al. 2020)</w:t>
      </w:r>
      <w:r>
        <w:t xml:space="preserve">. The model included the fixed factors Season, Stream and their interaction. The significance of the terms was assessed using 999 random permutations and the</w:t>
      </w:r>
      <w:r>
        <w:t xml:space="preserve"> </w:t>
      </w:r>
      <w:r>
        <w:rPr>
          <w:i/>
          <w:iCs/>
        </w:rPr>
        <w:t xml:space="preserve">pseudo</w:t>
      </w:r>
      <w:r>
        <w:t xml:space="preserve">-F statistic (Anderson, 2001). Homogeneity of multivariate dispersion among groups was assessed based on the distance of each sampling unit from the centroid of its respective group in multivariate space, using the</w:t>
      </w:r>
      <w:r>
        <w:t xml:space="preserve"> </w:t>
      </w:r>
      <w:r>
        <w:rPr>
          <w:i/>
          <w:iCs/>
        </w:rPr>
        <w:t xml:space="preserve">betadisper</w:t>
      </w:r>
      <w:r>
        <w:t xml:space="preserve"> </w:t>
      </w:r>
      <w:r>
        <w:t xml:space="preserve">function from the</w:t>
      </w:r>
      <w:r>
        <w:t xml:space="preserve"> </w:t>
      </w:r>
      <w:r>
        <w:rPr>
          <w:rStyle w:val="VerbatimChar"/>
        </w:rPr>
        <w:t xml:space="preserve">vegan</w:t>
      </w:r>
      <w:r>
        <w:t xml:space="preserve"> </w:t>
      </w:r>
      <w:r>
        <w:t xml:space="preserve">package (Anderson et al., 2006).</w:t>
      </w:r>
    </w:p>
    <w:p>
      <w:pPr>
        <w:pStyle w:val="TextBody"/>
      </w:pPr>
      <w:r>
        <w:t xml:space="preserve">Differences in assemblage composition across the spatial hierarchy and seasons were explored using the Unweighted Pair Group Method with Averages (UPGMA)</w:t>
      </w:r>
      <w:r>
        <w:t xml:space="preserve"> </w:t>
      </w:r>
      <w:r>
        <w:t xml:space="preserve">(Belbin and McDonald 1993, Ávila et al. 2011)</w:t>
      </w:r>
      <w:r>
        <w:t xml:space="preserve">, based on Bray-Curtis dissimilarities calculated from the zooplankton density matrix</w:t>
      </w:r>
      <w:r>
        <w:t xml:space="preserve"> </w:t>
      </w:r>
      <w:r>
        <w:t xml:space="preserve">(Ávila et al. 2011)</w:t>
      </w:r>
      <w:r>
        <w:t xml:space="preserve">. Prior to the analyses, density data were relativized and square-root transformed to reduce the influence of highly abundant taxa and improve the distributional properties of the dataset</w:t>
      </w:r>
      <w:r>
        <w:t xml:space="preserve"> </w:t>
      </w:r>
      <w:r>
        <w:t xml:space="preserve">(Rocha et al. 2012)</w:t>
      </w:r>
      <w:r>
        <w:t xml:space="preserve">. To focus on spatial variation across sampling sites, habitat density data were pooled for this analysis.</w:t>
      </w:r>
      <w:r>
        <w:t xml:space="preserve"> </w:t>
      </w:r>
      <w:r>
        <w:t xml:space="preserve"> </w:t>
      </w:r>
      <w:r>
        <w:t xml:space="preserve">To assess how well the UPGMA dendrograms represented the original Bray-Curtis dissimilarities among sampling sites, the Cophenetic Correlation Coefficient (CC) was calculated</w:t>
      </w:r>
      <w:r>
        <w:t xml:space="preserve"> </w:t>
      </w:r>
      <w:r>
        <w:t xml:space="preserve">(Sokal and Rohlf 1962, Sneath and Sokal 1973, Saraçli et al. 2013)</w:t>
      </w:r>
      <w:r>
        <w:t xml:space="preserve">, where a cophenetic matrix was constructed from each seasonal dendrogram using the</w:t>
      </w:r>
      <w:r>
        <w:t xml:space="preserve"> </w:t>
      </w:r>
      <w:r>
        <w:rPr>
          <w:i/>
          <w:iCs/>
        </w:rPr>
        <w:t xml:space="preserve">cophenetic</w:t>
      </w:r>
      <w:r>
        <w:t xml:space="preserve"> </w:t>
      </w:r>
      <w:r>
        <w:t xml:space="preserve">function in the</w:t>
      </w:r>
      <w:r>
        <w:t xml:space="preserve"> </w:t>
      </w:r>
      <w:r>
        <w:rPr>
          <w:rStyle w:val="VerbatimChar"/>
        </w:rPr>
        <w:t xml:space="preserve">vegan</w:t>
      </w:r>
      <w:r>
        <w:t xml:space="preserve"> </w:t>
      </w:r>
      <w:r>
        <w:t xml:space="preserve">package in R</w:t>
      </w:r>
      <w:r>
        <w:t xml:space="preserve"> </w:t>
      </w:r>
      <w:r>
        <w:t xml:space="preserve">(Oksanen et al. 2020)</w:t>
      </w:r>
      <w:r>
        <w:t xml:space="preserve"> </w:t>
      </w:r>
      <w:r>
        <w:t xml:space="preserve">. The cophenetic distance matrix was then correlated with the corresponding original Bray-Curtis dissimilarity matrix using Pearson’s product-moment correlation coefficient</w:t>
      </w:r>
      <w:r>
        <w:t xml:space="preserve"> </w:t>
      </w:r>
      <w:r>
        <w:t xml:space="preserve">(Sokal and Rohlf 1962, Farris 1969, Silva 2013)</w:t>
      </w:r>
      <w:r>
        <w:t xml:space="preserve">. To evaluate the strength of the hierarchical clustering structure obtained from the UPGMA dendrograms, the Agglomerative Coefficient (AC) was calculated for each season using the</w:t>
      </w:r>
      <w:r>
        <w:t xml:space="preserve"> </w:t>
      </w:r>
      <w:r>
        <w:rPr>
          <w:i/>
          <w:iCs/>
        </w:rPr>
        <w:t xml:space="preserve">coef.hclust</w:t>
      </w:r>
      <w:r>
        <w:t xml:space="preserve"> </w:t>
      </w:r>
      <w:r>
        <w:t xml:space="preserve">function from the</w:t>
      </w:r>
      <w:r>
        <w:t xml:space="preserve"> </w:t>
      </w:r>
      <w:r>
        <w:rPr>
          <w:rStyle w:val="VerbatimChar"/>
        </w:rPr>
        <w:t xml:space="preserve">cluster</w:t>
      </w:r>
      <w:r>
        <w:t xml:space="preserve"> </w:t>
      </w:r>
      <w:r>
        <w:t xml:space="preserve">package in R</w:t>
      </w:r>
      <w:r>
        <w:t xml:space="preserve"> </w:t>
      </w:r>
      <w:r>
        <w:t xml:space="preserve">(Kaufman and Rousseeuw 1990, Maechler et al. 2026)</w:t>
      </w:r>
      <w:r>
        <w:t xml:space="preserve">. The AC ranges from 0 to 1, where values closer to 1 indicate a strong, well-defined clustering structure and values near 0 reflect weak or indistinct grouping.</w:t>
      </w:r>
    </w:p>
    <w:p>
      <w:pPr>
        <w:pStyle w:val="TextBody"/>
      </w:pPr>
      <w:r>
        <w:t xml:space="preserve">Additive diversity partitioning was used to quantify the contribution of within- and between-unit diversity to total zooplankton diversity. In this framework, alpha diversity (</w:t>
      </w:r>
      <m:oMath>
        <m:r>
          <m:t>α</m:t>
        </m:r>
      </m:oMath>
      <w:r>
        <w:t xml:space="preserve">) represents diversity occurring within sampling units, whereas beta diversity (</w:t>
      </w:r>
      <m:oMath>
        <m:r>
          <m:t>β</m:t>
        </m:r>
      </m:oMath>
      <w:r>
        <w:t xml:space="preserve">) represents the contribution of differences among units at successive levels of the spatial hierarchy</w:t>
      </w:r>
      <w:r>
        <w:t xml:space="preserve"> </w:t>
      </w:r>
      <w:r>
        <w:t xml:space="preserve">(Lande 1996, Crist et al. 2003)</w:t>
      </w:r>
      <w:r>
        <w:t xml:space="preserve">. The hierarchical structure included three spatial scales. The finest scales consisted of the habitat samples within each site (n = 3), and of each site (n = 6, for the Barro Branco stream, and n = 9, for the Caiana stream). The intermediate scales corresponded to the upper and lower stream sections (n = 2), whereas the broadest scale represented differences among the two streams. Accordingly, the total diversity (</w:t>
      </w:r>
      <m:oMath>
        <m:r>
          <m:t>γ</m:t>
        </m:r>
      </m:oMath>
      <w:r>
        <w:t xml:space="preserve">) was decomposed into within-habitat diversity (</w:t>
      </w:r>
      <m:oMath>
        <m:sSub>
          <m:e>
            <m:r>
              <m:t>α</m:t>
            </m:r>
          </m:e>
          <m:sub>
            <m:r>
              <m:t>1</m:t>
            </m:r>
          </m:sub>
        </m:sSub>
      </m:oMath>
      <w:r>
        <w:t xml:space="preserve">) and the successive beta components associated with differences among habitats (</w:t>
      </w:r>
      <m:oMath>
        <m:sSub>
          <m:e>
            <m:r>
              <m:t>β</m:t>
            </m:r>
          </m:e>
          <m:sub>
            <m:r>
              <m:t>1</m:t>
            </m:r>
          </m:sub>
        </m:sSub>
      </m:oMath>
      <w:r>
        <w:t xml:space="preserve">), among sites withing upper and lower stream reaches (</w:t>
      </w:r>
      <m:oMath>
        <m:sSub>
          <m:e>
            <m:r>
              <m:t>β</m:t>
            </m:r>
          </m:e>
          <m:sub>
            <m:r>
              <m:t>2</m:t>
            </m:r>
          </m:sub>
        </m:sSub>
      </m:oMath>
      <w:r>
        <w:t xml:space="preserve">), and among streams (</w:t>
      </w:r>
      <m:oMath>
        <m:sSub>
          <m:e>
            <m:r>
              <m:t>β</m:t>
            </m:r>
          </m:e>
          <m:sub>
            <m:r>
              <m:t>3</m:t>
            </m:r>
          </m:sub>
        </m:sSub>
      </m:oMath>
      <w:r>
        <w:t xml:space="preserve">). The contribution of each component was expressed as a percentage of total diversity</w:t>
      </w:r>
      <w:r>
        <w:t xml:space="preserve"> </w:t>
      </w:r>
      <w:r>
        <w:t xml:space="preserve">(Crist et al. 2003, Farias et al. 2020)</w:t>
      </w:r>
      <w:r>
        <w:t xml:space="preserve">. To investigate seasonal variation in the hierarchical structure of diversity, additive partitioning was performed separately for each season and for each stream</w:t>
      </w:r>
      <w:r>
        <w:t xml:space="preserve"> </w:t>
      </w:r>
      <w:r>
        <w:t xml:space="preserve">(Melo and Medeiros 2013, Farias et al. 2020)</w:t>
      </w:r>
      <w:r>
        <w:t xml:space="preserve">.</w:t>
      </w:r>
    </w:p>
    <w:p>
      <w:pPr>
        <w:pStyle w:val="TextBody"/>
      </w:pPr>
      <w:r>
        <w:t xml:space="preserve">The overall diversity was taken to be the sum of the relative contributions of each scale in the hierarchical sampling design. Analysis of significance of the contribution of each hierarchical level was performed through with individual-based randomizations (type I null model)</w:t>
      </w:r>
      <w:r>
        <w:t xml:space="preserve"> </w:t>
      </w:r>
      <w:r>
        <w:t xml:space="preserve">(see Freiry et al. 2020, Melo and Medeiros 2013)</w:t>
      </w:r>
      <w:r>
        <w:t xml:space="preserve">. The randomization process was repeated 999 times to obtain null distributions of the</w:t>
      </w:r>
      <w:r>
        <w:t xml:space="preserve"> </w:t>
      </w:r>
      <m:oMath>
        <m:r>
          <m:t>α</m:t>
        </m:r>
      </m:oMath>
      <w:r>
        <w:t xml:space="preserve"> </w:t>
      </w:r>
      <w:r>
        <w:t xml:space="preserve">and</w:t>
      </w:r>
      <w:r>
        <w:t xml:space="preserve"> </w:t>
      </w:r>
      <m:oMath>
        <m:r>
          <m:t>β</m:t>
        </m:r>
      </m:oMath>
      <w:r>
        <w:t xml:space="preserve"> </w:t>
      </w:r>
      <w:r>
        <w:t xml:space="preserve">diversity at each hierarchical level, and used to test whether the observed values were higher or lower than expected by chance</w:t>
      </w:r>
      <w:r>
        <w:t xml:space="preserve"> </w:t>
      </w:r>
      <w:r>
        <w:t xml:space="preserve">(Crist et al. 2003)</w:t>
      </w:r>
      <w:r>
        <w:t xml:space="preserve">. The probabilities obtained from randomization tests were interpreted as</w:t>
      </w:r>
      <w:r>
        <w:t xml:space="preserve"> </w:t>
      </w:r>
      <w:r>
        <w:rPr>
          <w:i/>
          <w:iCs/>
        </w:rPr>
        <w:t xml:space="preserve">P</w:t>
      </w:r>
      <w:r>
        <w:t xml:space="preserve">-values, as a low</w:t>
      </w:r>
      <w:r>
        <w:t xml:space="preserve"> </w:t>
      </w:r>
      <w:r>
        <w:rPr>
          <w:i/>
          <w:iCs/>
        </w:rPr>
        <w:t xml:space="preserve">P</w:t>
      </w:r>
      <w:r>
        <w:t xml:space="preserve">-value (</w:t>
      </w:r>
      <m:oMath>
        <m:sSub>
          <m:e>
            <m:r>
              <m:rPr>
                <m:nor/>
                <m:sty m:val="p"/>
              </m:rPr>
              <m:t>Prop</m:t>
            </m:r>
          </m:e>
          <m:sub>
            <m:r>
              <m:t>e</m:t>
            </m:r>
            <m:r>
              <m:t>x</m:t>
            </m:r>
            <m:r>
              <m:t>p</m:t>
            </m:r>
          </m:sub>
        </m:sSub>
        <m:r>
          <m:rPr>
            <m:sty m:val="p"/>
          </m:rPr>
          <m:t>&gt;</m:t>
        </m:r>
        <m:sSub>
          <m:e>
            <m:r>
              <m:rPr>
                <m:nor/>
                <m:sty m:val="p"/>
              </m:rPr>
              <m:t>Prop</m:t>
            </m:r>
          </m:e>
          <m:sub>
            <m:r>
              <m:t>o</m:t>
            </m:r>
            <m:r>
              <m:t>b</m:t>
            </m:r>
            <m:r>
              <m:t>s</m:t>
            </m:r>
          </m:sub>
        </m:sSub>
        <m:r>
          <m:rPr>
            <m:sty m:val="p"/>
          </m:rPr>
          <m:t>&lt;</m:t>
        </m:r>
        <m:r>
          <m:t>0.05</m:t>
        </m:r>
      </m:oMath>
      <w:r>
        <w:t xml:space="preserve">) indicates an observed diversity significantly different than that expected under the null model. On the other hand, a high</w:t>
      </w:r>
      <w:r>
        <w:t xml:space="preserve"> </w:t>
      </w:r>
      <w:r>
        <w:rPr>
          <w:i/>
          <w:iCs/>
        </w:rPr>
        <w:t xml:space="preserve">P</w:t>
      </w:r>
      <w:r>
        <w:t xml:space="preserve">-value (</w:t>
      </w:r>
      <m:oMath>
        <m:sSub>
          <m:e>
            <m:r>
              <m:rPr>
                <m:nor/>
                <m:sty m:val="p"/>
              </m:rPr>
              <m:t>Prop</m:t>
            </m:r>
          </m:e>
          <m:sub>
            <m:r>
              <m:t>e</m:t>
            </m:r>
            <m:r>
              <m:t>x</m:t>
            </m:r>
            <m:r>
              <m:t>p</m:t>
            </m:r>
          </m:sub>
        </m:sSub>
        <m:r>
          <m:rPr>
            <m:sty m:val="p"/>
          </m:rPr>
          <m:t>&gt;</m:t>
        </m:r>
        <m:sSub>
          <m:e>
            <m:r>
              <m:rPr>
                <m:nor/>
                <m:sty m:val="p"/>
              </m:rPr>
              <m:t>Prop</m:t>
            </m:r>
          </m:e>
          <m:sub>
            <m:r>
              <m:t>o</m:t>
            </m:r>
            <m:r>
              <m:t>b</m:t>
            </m:r>
            <m:r>
              <m:t>s</m:t>
            </m:r>
          </m:sub>
        </m:sSub>
        <m:r>
          <m:rPr>
            <m:sty m:val="p"/>
          </m:rPr>
          <m:t>&gt;</m:t>
        </m:r>
        <m:r>
          <m:t>0.95</m:t>
        </m:r>
      </m:oMath>
      <w:r>
        <w:t xml:space="preserve">) indicates an observed diversity not different than that expected by chance</w:t>
      </w:r>
      <w:r>
        <w:t xml:space="preserve"> </w:t>
      </w:r>
      <w:r>
        <w:t xml:space="preserve">(Veech et al. 2002, Gering et al. 2003, Crist et al. 2003, Freiry et al. 2020)</w:t>
      </w:r>
      <w:r>
        <w:t xml:space="preserve">. The results of the analysis were subject to a Monte Carlo permutation test (999 permutations) for validation. The additive partitioning of the diversity was carried out with the function</w:t>
      </w:r>
      <w:r>
        <w:t xml:space="preserve"> </w:t>
      </w:r>
      <w:r>
        <w:rPr>
          <w:i/>
          <w:iCs/>
        </w:rPr>
        <w:t xml:space="preserve">adipart</w:t>
      </w:r>
      <w:r>
        <w:t xml:space="preserve"> </w:t>
      </w:r>
      <w:r>
        <w:t xml:space="preserve">from package</w:t>
      </w:r>
      <w:r>
        <w:t xml:space="preserve"> </w:t>
      </w:r>
      <w:r>
        <w:rPr>
          <w:rStyle w:val="VerbatimChar"/>
        </w:rPr>
        <w:t xml:space="preserve">vegan</w:t>
      </w:r>
      <w:r>
        <w:t xml:space="preserve"> </w:t>
      </w:r>
      <w:r>
        <w:t xml:space="preserve">(Oksanen et al. 2020)</w:t>
      </w:r>
      <w:r>
        <w:t xml:space="preserve">. All analyses were conducted in the statistical environment R</w:t>
      </w:r>
      <w:r>
        <w:t xml:space="preserve"> </w:t>
      </w:r>
      <w:r>
        <w:t xml:space="preserve">(R Development Core Team 2017)</w:t>
      </w:r>
      <w:r>
        <w:t xml:space="preserve">.</w:t>
      </w:r>
    </w:p>
    <w:bookmarkEnd w:id="17"/>
    <w:bookmarkEnd w:id="18"/>
    <w:bookmarkStart w:id="19" w:name="results"/>
    <w:p>
      <w:pPr>
        <w:pStyle w:val="Heading1"/>
      </w:pPr>
      <w:r>
        <w:t xml:space="preserve">3. Results</w:t>
      </w:r>
    </w:p>
    <w:p>
      <w:pPr>
        <w:pStyle w:val="FirstParagraph"/>
      </w:pPr>
      <w:r>
        <w:t xml:space="preserve">Water velocity ranged from 0 to 0.41 m/s, with the highest average recorded at site 14. Waters were, on average, well oxygenated (5.3 to 8.1 mg/L), and cool, with average temperatures betwen from 25.2 to 32.5 °C, the average being 27.7 °C. Conductivity ranged from 98.8 and 223.0 μS/cm, pH was mostly neutral to slightly acidic (from 5.1 to 6.9) and turbidity was low (4.9 to 79.2 NTU). Regarding the morphologacal variables, elevation ranged from 41.5 to 112.8 m a.s.l., while the stream margins slope reached 50° for some sites. Stream width and depth showed greater variations reflecting the range of habitats along the study streams, from small and narrow streams to wider and deeper manmade reservoirs in the stream channel. Stream site width varied from 1 m across to 19.5 m in larger reservoirs. Overall, depths ranged from approx. 10-20 cm to a maximum of 1.55 m, on average. Substrate composition across sites consisted mainly of mud (reaching 100% at sites 1 and 2, in the Barro Branco stream) and sand being more common at the Caiana Stream (reaching 98.3% cover at site 14) (</w:t>
      </w:r>
      <w:hyperlink w:anchor="tbl-hab_gttable">
        <w:r>
          <w:rPr>
            <w:rStyle w:val="Hyperlink"/>
          </w:rPr>
          <w:t xml:space="preserve">Table 1</w:t>
        </w:r>
      </w:hyperlink>
      <w:r>
        <w:t xml:space="preserve">). Marginal and underwater habitat structures were diverse with most variables being common at the Barro Branco stream, namely aquatic macrophytes, fillamentous and attached algae and littoral grass. Submerged and overhanging vegetation, leaf litter, root masses and wood debris were present at all sites (see</w:t>
      </w:r>
      <w:r>
        <w:t xml:space="preserve"> </w:t>
      </w:r>
      <w:hyperlink w:anchor="tbl-hab_gttable">
        <w:r>
          <w:rPr>
            <w:rStyle w:val="Hyperlink"/>
          </w:rPr>
          <w:t xml:space="preserve">Table 1</w:t>
        </w:r>
      </w:hyperlink>
      <w:r>
        <w:t xml:space="preserve">).</w:t>
      </w:r>
    </w:p>
    <w:p>
      <w:pPr>
        <w:pStyle w:val="TextBody"/>
      </w:pPr>
      <w:r>
        <w:t xml:space="preserve">Principal Component Analysis (PCA) was used to summarize environmental variation among sampling sites and to identify variables contributing to the differences between streams (</w:t>
      </w:r>
      <w:hyperlink w:anchor="fig-hab_PCA_rio">
        <w:r>
          <w:rPr>
            <w:rStyle w:val="Hyperlink"/>
          </w:rPr>
          <w:t xml:space="preserve">Figure 2</w:t>
        </w:r>
      </w:hyperlink>
      <w:r>
        <w:t xml:space="preserve">) and seasons (</w:t>
      </w:r>
      <w:hyperlink w:anchor="fig-hab_PCA_periodo">
        <w:r>
          <w:rPr>
            <w:rStyle w:val="Hyperlink"/>
          </w:rPr>
          <w:t xml:space="preserve">Figure 3</w:t>
        </w:r>
      </w:hyperlink>
      <w:r>
        <w:t xml:space="preserve">). The first two principal components explained 38.6% of the total variance, with the first axis accounting for 23.2%. In relation to the environmental variables of water quality, the Barro Branco stream was more associated with higher elevations, the predominance of muddy substrate and a narrower array of underwater structures, mostly algae, macrophytes, leaf litter and woody debris. The Caiana stream showed a wider range of variables affecting it’s waters, being associated with higher pH, turbidity and depths, as well as a predominance of sandy substrates and, to a lesser degree, root masses. Water velocity was also important for this stream. PERMANOVA showed significant differences in the environmental variables between the two study streams (</w:t>
      </w:r>
      <m:oMath>
        <m:r>
          <m:rPr>
            <m:nor/>
            <m:sty m:val="i"/>
          </m:rPr>
          <m:t>pseudo</m:t>
        </m:r>
        <m:sSub>
          <m:e>
            <m:r>
              <m:rPr>
                <m:nor/>
                <m:sty m:val="p"/>
              </m:rPr>
              <m:t>-F</m:t>
            </m:r>
          </m:e>
          <m:sub>
            <m:r>
              <m:t>1</m:t>
            </m:r>
            <m:r>
              <m:rPr>
                <m:sty m:val="p"/>
              </m:rPr>
              <m:t>,</m:t>
            </m:r>
            <m:r>
              <m:t>86</m:t>
            </m:r>
          </m:sub>
        </m:sSub>
        <m:r>
          <m:rPr>
            <m:sty m:val="p"/>
          </m:rPr>
          <m:t>=</m:t>
        </m:r>
        <m:r>
          <m:t>8.3</m:t>
        </m:r>
        <m:r>
          <m:rPr>
            <m:sty m:val="p"/>
          </m:rPr>
          <m:t>,</m:t>
        </m:r>
        <m:sSup>
          <m:e>
            <m:r>
              <m:t>R</m:t>
            </m:r>
          </m:e>
          <m:sup>
            <m:r>
              <m:t>2</m:t>
            </m:r>
          </m:sup>
        </m:sSup>
        <m:r>
          <m:rPr>
            <m:sty m:val="p"/>
          </m:rPr>
          <m:t>=</m:t>
        </m:r>
        <m:r>
          <m:t>0.082</m:t>
        </m:r>
        <m:r>
          <m:rPr>
            <m:sty m:val="p"/>
          </m:rPr>
          <m:t>,</m:t>
        </m:r>
        <m:r>
          <m:t>p</m:t>
        </m:r>
        <m:r>
          <m:rPr>
            <m:sty m:val="p"/>
          </m:rPr>
          <m:t>=</m:t>
        </m:r>
        <m:r>
          <m:t>0.001</m:t>
        </m:r>
      </m:oMath>
      <w:r>
        <w:t xml:space="preserve">). Even though dry and wet seasons did not show clear segregation in the PCA plot, PERMANOVA indicated significance of differences (</w:t>
      </w:r>
      <m:oMath>
        <m:r>
          <m:rPr>
            <m:nor/>
            <m:sty m:val="i"/>
          </m:rPr>
          <m:t>pseudo</m:t>
        </m:r>
        <m:sSub>
          <m:e>
            <m:r>
              <m:rPr>
                <m:nor/>
                <m:sty m:val="p"/>
              </m:rPr>
              <m:t>-F</m:t>
            </m:r>
          </m:e>
          <m:sub>
            <m:r>
              <m:t>1</m:t>
            </m:r>
            <m:r>
              <m:rPr>
                <m:sty m:val="p"/>
              </m:rPr>
              <m:t>,</m:t>
            </m:r>
            <m:r>
              <m:t>86</m:t>
            </m:r>
          </m:sub>
        </m:sSub>
        <m:r>
          <m:rPr>
            <m:sty m:val="p"/>
          </m:rPr>
          <m:t>=</m:t>
        </m:r>
        <m:r>
          <m:t>4.2</m:t>
        </m:r>
        <m:r>
          <m:rPr>
            <m:sty m:val="p"/>
          </m:rPr>
          <m:t>,</m:t>
        </m:r>
        <m:sSup>
          <m:e>
            <m:r>
              <m:t>R</m:t>
            </m:r>
          </m:e>
          <m:sup>
            <m:r>
              <m:t>2</m:t>
            </m:r>
          </m:sup>
        </m:sSup>
        <m:r>
          <m:rPr>
            <m:sty m:val="p"/>
          </m:rPr>
          <m:t>=</m:t>
        </m:r>
        <m:r>
          <m:t>0.042</m:t>
        </m:r>
        <m:r>
          <m:rPr>
            <m:sty m:val="p"/>
          </m:rPr>
          <m:t>,</m:t>
        </m:r>
        <m:r>
          <m:t>p</m:t>
        </m:r>
        <m:r>
          <m:rPr>
            <m:sty m:val="p"/>
          </m:rPr>
          <m:t>=</m:t>
        </m:r>
        <m:r>
          <m:t>0.006</m:t>
        </m:r>
      </m:oMath>
      <w:r>
        <w:t xml:space="preserve">). A significant Season × Stream interaction was also detected (</w:t>
      </w:r>
      <m:oMath>
        <m:r>
          <m:rPr>
            <m:nor/>
            <m:sty m:val="i"/>
          </m:rPr>
          <m:t>pseudo</m:t>
        </m:r>
        <m:sSub>
          <m:e>
            <m:r>
              <m:rPr>
                <m:nor/>
                <m:sty m:val="p"/>
              </m:rPr>
              <m:t>-F</m:t>
            </m:r>
          </m:e>
          <m:sub>
            <m:r>
              <m:t>1</m:t>
            </m:r>
            <m:r>
              <m:rPr>
                <m:sty m:val="p"/>
              </m:rPr>
              <m:t>,</m:t>
            </m:r>
            <m:r>
              <m:t>86</m:t>
            </m:r>
          </m:sub>
        </m:sSub>
        <m:r>
          <m:rPr>
            <m:sty m:val="p"/>
          </m:rPr>
          <m:t>=</m:t>
        </m:r>
        <m:r>
          <m:t>2.8</m:t>
        </m:r>
        <m:r>
          <m:rPr>
            <m:sty m:val="p"/>
          </m:rPr>
          <m:t>,</m:t>
        </m:r>
        <m:sSup>
          <m:e>
            <m:r>
              <m:t>R</m:t>
            </m:r>
          </m:e>
          <m:sup>
            <m:r>
              <m:t>2</m:t>
            </m:r>
          </m:sup>
        </m:sSup>
        <m:r>
          <m:rPr>
            <m:sty m:val="p"/>
          </m:rPr>
          <m:t>=</m:t>
        </m:r>
        <m:r>
          <m:t>0.028</m:t>
        </m:r>
        <m:r>
          <m:rPr>
            <m:sty m:val="p"/>
          </m:rPr>
          <m:t>,</m:t>
        </m:r>
        <m:r>
          <m:t>p</m:t>
        </m:r>
        <m:r>
          <m:rPr>
            <m:sty m:val="p"/>
          </m:rPr>
          <m:t>=</m:t>
        </m:r>
        <m:r>
          <m:t>0.032</m:t>
        </m:r>
      </m:oMath>
      <w:r>
        <w:t xml:space="preserve">), indicating that the effect of hydrological period on the environmental variables differed between Barro Branco and Caiana. The complete model explained 15.1% of the variation, whereas 84.9% remained unexplained by the factors included in the model.</w:t>
      </w:r>
    </w:p>
    <w:p>
      <w:pPr>
        <w:pStyle w:val="TextBody"/>
      </w:pPr>
      <w:r>
        <w:t xml:space="preserve">Among the averaged nutrient concentrations (</w:t>
      </w:r>
      <w:hyperlink w:anchor="tbl-nutri_gttable">
        <w:r>
          <w:rPr>
            <w:rStyle w:val="Hyperlink"/>
          </w:rPr>
          <w:t xml:space="preserve">Table 2</w:t>
        </w:r>
      </w:hyperlink>
      <w:r>
        <w:t xml:space="preserve">), ammonia ranged from 49.2 to 243.7 µg/L. The Caiana stream tended to have greater values, but overall no clear trend can be observed when comparing both streams. Nitrite and nitrate, on the other hand, show clearly a greater concentrations at the Caiana stream, nitrate varying from 166.4 to 2003.0 µg/L, compared with the maximum of 18.8 µg/L at the Barro Branco stream. Nitrite was too low to be detectable at the Barro Branco stream. The same pattern was observed for orthophosphate concentrations, being barely detectable at Barro Branco stream, and varying from 4.0 to 32.0 µg/L at the Caiana stream. Total phosphorus, however, tended to have higher concentrations at Barro Branco stream, reaching 50.1 µg/L at Site 3, but with highly variable values (from non detectable to 38.7 µg/L, as the second highest value).</w:t>
      </w:r>
    </w:p>
    <w:p>
      <w:pPr>
        <w:pStyle w:val="TextBody"/>
      </w:pPr>
      <w:r>
        <w:t xml:space="preserve">A total of 56 taxa distributed among Rotifera (14 families), Cladocera (5 families) and Copepoda (2 families) were identified during the study period. Rotifera was the most species-rich group, represented by 39 species (plus Bdelloidea), followed by Cladocera (12 species) and Copepoda (4 species, in addition to the juvenile stages nauplii and copepodite). Across sampling periods, Lecanidae exhibited the highest richness among all recorded families of Rotifera with 15 species, followed by Lepadellidae, Synchaetidae (both with 4 species), Brachionidae and Mytilinidae (both with 3 species). Bdelloidea was the most abundant taxa (6194 individuals) followed by</w:t>
      </w:r>
      <w:r>
        <w:t xml:space="preserve"> </w:t>
      </w:r>
      <w:r>
        <w:rPr>
          <w:i/>
          <w:iCs/>
        </w:rPr>
        <w:t xml:space="preserve">Lecane curvicornis</w:t>
      </w:r>
      <w:r>
        <w:t xml:space="preserve"> </w:t>
      </w:r>
      <w:r>
        <w:t xml:space="preserve">with 626 individuals. Among the cladocerans, Chydoridae was the richest family with 5 species, followed by Macrothricidae (3 species).</w:t>
      </w:r>
      <w:r>
        <w:t xml:space="preserve"> </w:t>
      </w:r>
      <w:r>
        <w:rPr>
          <w:i/>
          <w:iCs/>
        </w:rPr>
        <w:t xml:space="preserve">Alonella dadayi</w:t>
      </w:r>
      <w:r>
        <w:t xml:space="preserve"> </w:t>
      </w:r>
      <w:r>
        <w:t xml:space="preserve">was the most abundant among the cladocerans with 1051 individuals. Juvenile stages (nauplii and copepodite) were also abundant with 2433 and 4061 individuals, respectively. Copepods were represented by he orders Cyclopoida and Calanoida,</w:t>
      </w:r>
      <w:r>
        <w:t xml:space="preserve"> </w:t>
      </w:r>
      <w:r>
        <w:rPr>
          <w:i/>
          <w:iCs/>
        </w:rPr>
        <w:t xml:space="preserve">Paracyclops</w:t>
      </w:r>
      <w:r>
        <w:t xml:space="preserve"> </w:t>
      </w:r>
      <w:r>
        <w:t xml:space="preserve">sp.</w:t>
      </w:r>
      <w:r>
        <w:t xml:space="preserve"> </w:t>
      </w:r>
      <w:r>
        <w:rPr>
          <w:i/>
          <w:iCs/>
        </w:rPr>
        <w:t xml:space="preserve">Mesocyclops</w:t>
      </w:r>
      <w:r>
        <w:t xml:space="preserve"> </w:t>
      </w:r>
      <w:r>
        <w:t xml:space="preserve">sp. being the most abundant (141 and 231 individuals, respectively) (</w:t>
      </w:r>
      <w:hyperlink w:anchor="tbl-checklist_gttable">
        <w:r>
          <w:rPr>
            <w:rStyle w:val="Hyperlink"/>
          </w:rPr>
          <w:t xml:space="preserve">Table 3</w:t>
        </w:r>
      </w:hyperlink>
      <w:r>
        <w:t xml:space="preserve">).</w:t>
      </w:r>
    </w:p>
    <w:p>
      <w:pPr>
        <w:pStyle w:val="TextBody"/>
      </w:pPr>
      <w:r>
        <w:t xml:space="preserve">Rarefaction analysis showed that the Caiana stream had a taxa richness slightly higher than that of the Barro Branco stream (</w:t>
      </w:r>
      <w:hyperlink w:anchor="fig-rare1">
        <w:r>
          <w:rPr>
            <w:rStyle w:val="Hyperlink"/>
          </w:rPr>
          <w:t xml:space="preserve">Figure 4</w:t>
        </w:r>
      </w:hyperlink>
      <w:r>
        <w:t xml:space="preserve">). Nevertheless, given a similar sample size, the Barro Branco stream would have a greater diversity, as shown by the Chao index that estimated an extrapolated richness of 58 (±8.9) species for the Barro Branco stream, compared with 54.2 (± 4.3) species for the Caiana stream.</w:t>
      </w:r>
    </w:p>
    <w:p>
      <w:pPr>
        <w:pStyle w:val="TextBody"/>
      </w:pPr>
      <w:r>
        <w:t xml:space="preserve">Regarding the community composition as shown by the UPGMA (</w:t>
      </w:r>
      <w:hyperlink w:anchor="fig-upgma">
        <w:r>
          <w:rPr>
            <w:rStyle w:val="Hyperlink"/>
          </w:rPr>
          <w:t xml:space="preserve">Figure 5</w:t>
        </w:r>
      </w:hyperlink>
      <w:r>
        <w:t xml:space="preserve">), sites did not aggregate to represent the different streams or their hierarchy across seasons.</w:t>
      </w:r>
      <w:r>
        <w:t xml:space="preserve"> </w:t>
      </w:r>
      <w:r>
        <w:t xml:space="preserve">Even though the Cophenetic coefficients showed that the UPGMA dendrograms were a good represenation of the original Bray-Curtis dissimilarities among sampling sites (</w:t>
      </w:r>
      <m:oMath>
        <m:r>
          <m:t>C</m:t>
        </m:r>
        <m:sSub>
          <m:e>
            <m:r>
              <m:t>C</m:t>
            </m:r>
          </m:e>
          <m:sub>
            <m:r>
              <m:t>d</m:t>
            </m:r>
            <m:r>
              <m:t>r</m:t>
            </m:r>
            <m:r>
              <m:t>y</m:t>
            </m:r>
          </m:sub>
        </m:sSub>
        <m:r>
          <m:rPr>
            <m:sty m:val="p"/>
          </m:rPr>
          <m:t>=</m:t>
        </m:r>
        <m:r>
          <m:t>0.84</m:t>
        </m:r>
      </m:oMath>
      <w:r>
        <w:t xml:space="preserve"> </w:t>
      </w:r>
      <w:r>
        <w:t xml:space="preserve">and</w:t>
      </w:r>
      <w:r>
        <w:t xml:space="preserve"> </w:t>
      </w:r>
      <m:oMath>
        <m:r>
          <m:t>C</m:t>
        </m:r>
        <m:sSub>
          <m:e>
            <m:r>
              <m:t>C</m:t>
            </m:r>
          </m:e>
          <m:sub>
            <m:r>
              <m:t>w</m:t>
            </m:r>
            <m:r>
              <m:t>e</m:t>
            </m:r>
            <m:r>
              <m:t>t</m:t>
            </m:r>
          </m:sub>
        </m:sSub>
        <m:r>
          <m:rPr>
            <m:sty m:val="p"/>
          </m:rPr>
          <m:t>=</m:t>
        </m:r>
        <m:r>
          <m:t>0.87</m:t>
        </m:r>
      </m:oMath>
      <w:r>
        <w:t xml:space="preserve">), the UPGMA cluster analyses revealed low-to-moderate spatial clustering strength for the zooplankton communities across both periods, as indicated by the Agglomerative coefficients (</w:t>
      </w:r>
      <m:oMath>
        <m:r>
          <m:t>A</m:t>
        </m:r>
        <m:sSub>
          <m:e>
            <m:r>
              <m:t>C</m:t>
            </m:r>
          </m:e>
          <m:sub>
            <m:r>
              <m:t>d</m:t>
            </m:r>
            <m:r>
              <m:t>r</m:t>
            </m:r>
            <m:r>
              <m:t>y</m:t>
            </m:r>
          </m:sub>
        </m:sSub>
        <m:r>
          <m:rPr>
            <m:sty m:val="p"/>
          </m:rPr>
          <m:t>=</m:t>
        </m:r>
        <m:r>
          <m:t>0.34</m:t>
        </m:r>
      </m:oMath>
      <w:r>
        <w:t xml:space="preserve"> </w:t>
      </w:r>
      <w:r>
        <w:t xml:space="preserve">and</w:t>
      </w:r>
      <w:r>
        <w:t xml:space="preserve"> </w:t>
      </w:r>
      <m:oMath>
        <m:r>
          <m:t>A</m:t>
        </m:r>
        <m:sSub>
          <m:e>
            <m:r>
              <m:t>C</m:t>
            </m:r>
          </m:e>
          <m:sub>
            <m:r>
              <m:t>w</m:t>
            </m:r>
            <m:r>
              <m:t>e</m:t>
            </m:r>
            <m:r>
              <m:t>t</m:t>
            </m:r>
          </m:sub>
        </m:sSub>
        <m:r>
          <m:rPr>
            <m:sty m:val="p"/>
          </m:rPr>
          <m:t>=</m:t>
        </m:r>
        <m:r>
          <m:t>0.39</m:t>
        </m:r>
      </m:oMath>
      <w:r>
        <w:t xml:space="preserve">). The PERMANOVA based on Bray–Curtis dissimilarities showed a significant effect of both hydrological period (</w:t>
      </w:r>
      <m:oMath>
        <m:sSub>
          <m:e>
            <m:r>
              <m:rPr>
                <m:nor/>
                <m:sty m:val="p"/>
              </m:rPr>
              <m:t>F</m:t>
            </m:r>
          </m:e>
          <m:sub>
            <m:r>
              <m:t>1</m:t>
            </m:r>
            <m:r>
              <m:rPr>
                <m:sty m:val="p"/>
              </m:rPr>
              <m:t>,</m:t>
            </m:r>
            <m:r>
              <m:t>86</m:t>
            </m:r>
          </m:sub>
        </m:sSub>
        <m:r>
          <m:rPr>
            <m:sty m:val="p"/>
          </m:rPr>
          <m:t>=</m:t>
        </m:r>
        <m:r>
          <m:t>5.3</m:t>
        </m:r>
        <m:r>
          <m:rPr>
            <m:sty m:val="p"/>
          </m:rPr>
          <m:t>,</m:t>
        </m:r>
        <m:sSup>
          <m:e>
            <m:r>
              <m:t>R</m:t>
            </m:r>
          </m:e>
          <m:sup>
            <m:r>
              <m:t>2</m:t>
            </m:r>
          </m:sup>
        </m:sSup>
        <m:r>
          <m:rPr>
            <m:sty m:val="p"/>
          </m:rPr>
          <m:t>=</m:t>
        </m:r>
        <m:r>
          <m:t>0.056</m:t>
        </m:r>
        <m:r>
          <m:rPr>
            <m:sty m:val="p"/>
          </m:rPr>
          <m:t>,</m:t>
        </m:r>
        <m:r>
          <m:t>p</m:t>
        </m:r>
        <m:r>
          <m:rPr>
            <m:sty m:val="p"/>
          </m:rPr>
          <m:t>=</m:t>
        </m:r>
        <m:r>
          <m:t>0.001</m:t>
        </m:r>
      </m:oMath>
      <w:r>
        <w:t xml:space="preserve">) and stream (</w:t>
      </w:r>
      <m:oMath>
        <m:sSub>
          <m:e>
            <m:r>
              <m:rPr>
                <m:nor/>
                <m:sty m:val="p"/>
              </m:rPr>
              <m:t>F</m:t>
            </m:r>
          </m:e>
          <m:sub>
            <m:r>
              <m:t>1</m:t>
            </m:r>
            <m:r>
              <m:rPr>
                <m:sty m:val="p"/>
              </m:rPr>
              <m:t>,</m:t>
            </m:r>
            <m:r>
              <m:t>86</m:t>
            </m:r>
          </m:sub>
        </m:sSub>
        <m:r>
          <m:rPr>
            <m:sty m:val="p"/>
          </m:rPr>
          <m:t>=</m:t>
        </m:r>
        <m:r>
          <m:t>1.8</m:t>
        </m:r>
        <m:r>
          <m:rPr>
            <m:sty m:val="p"/>
          </m:rPr>
          <m:t>,</m:t>
        </m:r>
        <m:sSup>
          <m:e>
            <m:r>
              <m:t>R</m:t>
            </m:r>
          </m:e>
          <m:sup>
            <m:r>
              <m:t>2</m:t>
            </m:r>
          </m:sup>
        </m:sSup>
        <m:r>
          <m:rPr>
            <m:sty m:val="p"/>
          </m:rPr>
          <m:t>=</m:t>
        </m:r>
        <m:r>
          <m:t>0.019</m:t>
        </m:r>
        <m:r>
          <m:rPr>
            <m:sty m:val="p"/>
          </m:rPr>
          <m:t>,</m:t>
        </m:r>
        <m:r>
          <m:t>p</m:t>
        </m:r>
        <m:r>
          <m:rPr>
            <m:sty m:val="p"/>
          </m:rPr>
          <m:t>=</m:t>
        </m:r>
        <m:r>
          <m:t>0.042</m:t>
        </m:r>
      </m:oMath>
      <w:r>
        <w:t xml:space="preserve">) on community composition. The full model including the Season × Stream interaction was also significant (</w:t>
      </w:r>
      <m:oMath>
        <m:sSub>
          <m:e>
            <m:r>
              <m:rPr>
                <m:nor/>
                <m:sty m:val="p"/>
              </m:rPr>
              <m:t>F</m:t>
            </m:r>
          </m:e>
          <m:sub>
            <m:r>
              <m:t>1</m:t>
            </m:r>
            <m:r>
              <m:rPr>
                <m:sty m:val="p"/>
              </m:rPr>
              <m:t>,</m:t>
            </m:r>
            <m:r>
              <m:t>86</m:t>
            </m:r>
          </m:sub>
        </m:sSub>
        <m:r>
          <m:rPr>
            <m:sty m:val="p"/>
          </m:rPr>
          <m:t>=</m:t>
        </m:r>
        <m:r>
          <m:t>2.1</m:t>
        </m:r>
        <m:r>
          <m:rPr>
            <m:sty m:val="p"/>
          </m:rPr>
          <m:t>,</m:t>
        </m:r>
        <m:sSup>
          <m:e>
            <m:r>
              <m:t>R</m:t>
            </m:r>
          </m:e>
          <m:sup>
            <m:r>
              <m:t>2</m:t>
            </m:r>
          </m:sup>
        </m:sSup>
        <m:r>
          <m:rPr>
            <m:sty m:val="p"/>
          </m:rPr>
          <m:t>=</m:t>
        </m:r>
        <m:r>
          <m:t>0.022</m:t>
        </m:r>
        <m:r>
          <m:rPr>
            <m:sty m:val="p"/>
          </m:rPr>
          <m:t>,</m:t>
        </m:r>
        <m:r>
          <m:t>p</m:t>
        </m:r>
        <m:r>
          <m:rPr>
            <m:sty m:val="p"/>
          </m:rPr>
          <m:t>=</m:t>
        </m:r>
        <m:r>
          <m:t>0.031</m:t>
        </m:r>
      </m:oMath>
      <w:r>
        <w:t xml:space="preserve">), explaining 9.73% of the total variation, with 90.27% of the variation unexplained by the factors included in the model.</w:t>
      </w:r>
    </w:p>
    <w:p>
      <w:pPr>
        <w:pStyle w:val="TextBody"/>
      </w:pPr>
      <w:r>
        <w:t xml:space="preserve">Hierarchical additive partitioning was firstly performed separate for ech season with the gamma diversity including both study stream.</w:t>
      </w:r>
      <w:r>
        <w:t xml:space="preserve"> </w:t>
      </w:r>
      <w:r>
        <w:t xml:space="preserve">The comparison between dry and wet seasons revealed that zooplankton diversity was structured non-randomly across spatial scales (</w:t>
      </w:r>
      <m:oMath>
        <m:r>
          <m:t>p</m:t>
        </m:r>
        <m:r>
          <m:rPr>
            <m:sty m:val="p"/>
          </m:rPr>
          <m:t>&lt;</m:t>
        </m:r>
        <m:r>
          <m:t>0.001</m:t>
        </m:r>
      </m:oMath>
      <w:r>
        <w:t xml:space="preserve"> </w:t>
      </w:r>
      <w:r>
        <w:t xml:space="preserve">for all components except</w:t>
      </w:r>
      <w:r>
        <w:t xml:space="preserve"> </w:t>
      </w:r>
      <m:oMath>
        <m:sSub>
          <m:e>
            <m:r>
              <m:t>β</m:t>
            </m:r>
          </m:e>
          <m:sub>
            <m:r>
              <m:t>2</m:t>
            </m:r>
          </m:sub>
        </m:sSub>
      </m:oMath>
      <w:r>
        <w:t xml:space="preserve">;</w:t>
      </w:r>
      <w:r>
        <w:t xml:space="preserve"> </w:t>
      </w:r>
      <w:hyperlink w:anchor="tbl-part_gttable">
        <w:r>
          <w:rPr>
            <w:rStyle w:val="Hyperlink"/>
          </w:rPr>
          <w:t xml:space="preserve">Table 4</w:t>
        </w:r>
      </w:hyperlink>
      <w:r>
        <w:t xml:space="preserve">).</w:t>
      </w:r>
      <w:r>
        <w:t xml:space="preserve"> </w:t>
      </w:r>
      <w:r>
        <w:t xml:space="preserve">For the dry season, the alpha diversity (</w:t>
      </w:r>
      <m:oMath>
        <m:sSub>
          <m:e>
            <m:r>
              <m:t>α</m:t>
            </m:r>
          </m:e>
          <m:sub>
            <m:r>
              <m:t>1</m:t>
            </m:r>
          </m:sub>
        </m:sSub>
        <m:r>
          <m:rPr>
            <m:sty m:val="p"/>
          </m:rPr>
          <m:t>=</m:t>
        </m:r>
        <m:r>
          <m:t>12.5</m:t>
        </m:r>
        <m:r>
          <m:rPr>
            <m:sty m:val="p"/>
          </m:rPr>
          <m:t>%</m:t>
        </m:r>
      </m:oMath>
      <w:r>
        <w:t xml:space="preserve">) was significantly lower than expected by chance (</w:t>
      </w:r>
      <m:oMath>
        <m:r>
          <m:rPr>
            <m:nor/>
            <m:sty m:val="p"/>
          </m:rPr>
          <m:t>SES</m:t>
        </m:r>
        <m:r>
          <m:rPr>
            <m:sty m:val="p"/>
          </m:rPr>
          <m:t>=</m:t>
        </m:r>
        <m:r>
          <m:rPr>
            <m:sty m:val="p"/>
          </m:rPr>
          <m:t>−</m:t>
        </m:r>
        <m:r>
          <m:t>22.1</m:t>
        </m:r>
        <m:r>
          <m:rPr>
            <m:sty m:val="p"/>
          </m:rPr>
          <m:t>,</m:t>
        </m:r>
        <m:r>
          <m:t>p</m:t>
        </m:r>
        <m:r>
          <m:rPr>
            <m:sty m:val="p"/>
          </m:rPr>
          <m:t>=</m:t>
        </m:r>
        <m:r>
          <m:t>0.001</m:t>
        </m:r>
      </m:oMath>
      <w:r>
        <w:t xml:space="preserve">), indicating spatial aggregation or environmental filtering at finer scales. Habitat-scale beta diversity (</w:t>
      </w:r>
      <m:oMath>
        <m:sSub>
          <m:e>
            <m:r>
              <m:t>β</m:t>
            </m:r>
          </m:e>
          <m:sub>
            <m:r>
              <m:t>1</m:t>
            </m:r>
          </m:sub>
        </m:sSub>
        <m:r>
          <m:rPr>
            <m:sty m:val="p"/>
          </m:rPr>
          <m:t>=</m:t>
        </m:r>
        <m:r>
          <m:t>9.7</m:t>
        </m:r>
        <m:r>
          <m:rPr>
            <m:sty m:val="p"/>
          </m:rPr>
          <m:t>%</m:t>
        </m:r>
      </m:oMath>
      <w:r>
        <w:t xml:space="preserve">) was significantly lower than expected under the null model (</w:t>
      </w:r>
      <m:oMath>
        <m:r>
          <m:rPr>
            <m:nor/>
            <m:sty m:val="p"/>
          </m:rPr>
          <m:t>SES</m:t>
        </m:r>
        <m:r>
          <m:rPr>
            <m:sty m:val="p"/>
          </m:rPr>
          <m:t>=</m:t>
        </m:r>
        <m:r>
          <m:rPr>
            <m:sty m:val="p"/>
          </m:rPr>
          <m:t>−</m:t>
        </m:r>
        <m:r>
          <m:t>8.9</m:t>
        </m:r>
        <m:r>
          <m:rPr>
            <m:sty m:val="p"/>
          </m:rPr>
          <m:t>,</m:t>
        </m:r>
        <m:r>
          <m:t>p</m:t>
        </m:r>
        <m:r>
          <m:rPr>
            <m:sty m:val="p"/>
          </m:rPr>
          <m:t>=</m:t>
        </m:r>
        <m:r>
          <m:t>0.001</m:t>
        </m:r>
      </m:oMath>
      <w:r>
        <w:t xml:space="preserve">), reflecting high compositional similarity among local sampling units. On the other hand, beta diversity, among streams (</w:t>
      </w:r>
      <m:oMath>
        <m:sSub>
          <m:e>
            <m:r>
              <m:t>β</m:t>
            </m:r>
          </m:e>
          <m:sub>
            <m:r>
              <m:t>3</m:t>
            </m:r>
          </m:sub>
        </m:sSub>
        <m:r>
          <m:rPr>
            <m:sty m:val="p"/>
          </m:rPr>
          <m:t>=</m:t>
        </m:r>
        <m:r>
          <m:t>26.7</m:t>
        </m:r>
        <m:r>
          <m:rPr>
            <m:sty m:val="p"/>
          </m:rPr>
          <m:t>%</m:t>
        </m:r>
      </m:oMath>
      <w:r>
        <w:t xml:space="preserve">) was significantly higher than that predicted by chance (</w:t>
      </w:r>
      <m:oMath>
        <m:r>
          <m:rPr>
            <m:nor/>
            <m:sty m:val="p"/>
          </m:rPr>
          <m:t>SES</m:t>
        </m:r>
        <m:r>
          <m:rPr>
            <m:sty m:val="p"/>
          </m:rPr>
          <m:t>=</m:t>
        </m:r>
        <m:r>
          <m:t>5.6</m:t>
        </m:r>
        <m:r>
          <m:rPr>
            <m:sty m:val="p"/>
          </m:rPr>
          <m:t>,</m:t>
        </m:r>
        <m:r>
          <m:t>p</m:t>
        </m:r>
        <m:r>
          <m:rPr>
            <m:sty m:val="p"/>
          </m:rPr>
          <m:t>=</m:t>
        </m:r>
        <m:r>
          <m:t>0.001</m:t>
        </m:r>
      </m:oMath>
      <w:r>
        <w:t xml:space="preserve">), demonstrating substantial species turnover at the highest hierarchical level. The intermediate scale (among sites) contributed the most for the observed regional diversity (</w:t>
      </w:r>
      <m:oMath>
        <m:sSub>
          <m:e>
            <m:r>
              <m:t>β</m:t>
            </m:r>
          </m:e>
          <m:sub>
            <m:r>
              <m:t>2</m:t>
            </m:r>
          </m:sub>
        </m:sSub>
        <m:r>
          <m:rPr>
            <m:sty m:val="p"/>
          </m:rPr>
          <m:t>=</m:t>
        </m:r>
        <m:r>
          <m:t>51.1</m:t>
        </m:r>
        <m:r>
          <m:rPr>
            <m:sty m:val="p"/>
          </m:rPr>
          <m:t>%</m:t>
        </m:r>
      </m:oMath>
      <w:r>
        <w:t xml:space="preserve">) and it did not deviate significantly from null expectations (</w:t>
      </w:r>
      <m:oMath>
        <m:r>
          <m:rPr>
            <m:nor/>
            <m:sty m:val="p"/>
          </m:rPr>
          <m:t>SES</m:t>
        </m:r>
        <m:r>
          <m:rPr>
            <m:sty m:val="p"/>
          </m:rPr>
          <m:t>=</m:t>
        </m:r>
        <m:r>
          <m:t>0.6</m:t>
        </m:r>
        <m:r>
          <m:rPr>
            <m:sty m:val="p"/>
          </m:rPr>
          <m:t>,</m:t>
        </m:r>
        <m:r>
          <m:t>p</m:t>
        </m:r>
        <m:r>
          <m:rPr>
            <m:sty m:val="p"/>
          </m:rPr>
          <m:t>=</m:t>
        </m:r>
        <m:r>
          <m:t>0.519</m:t>
        </m:r>
      </m:oMath>
      <w:r>
        <w:t xml:space="preserve">).</w:t>
      </w:r>
      <w:r>
        <w:t xml:space="preserve"> </w:t>
      </w:r>
      <w:r>
        <w:t xml:space="preserve">Contrasting results were obtained for the wet season, when the observed alpha diversity (</w:t>
      </w:r>
      <m:oMath>
        <m:sSub>
          <m:e>
            <m:r>
              <m:t>α</m:t>
            </m:r>
          </m:e>
          <m:sub>
            <m:r>
              <m:t>1</m:t>
            </m:r>
          </m:sub>
        </m:sSub>
        <m:r>
          <m:rPr>
            <m:sty m:val="p"/>
          </m:rPr>
          <m:t>=</m:t>
        </m:r>
        <m:r>
          <m:t>23.7</m:t>
        </m:r>
        <m:r>
          <m:rPr>
            <m:sty m:val="p"/>
          </m:rPr>
          <m:t>%</m:t>
        </m:r>
      </m:oMath>
      <w:r>
        <w:t xml:space="preserve">) was much higher than the dry season, yet significantly lower than that expected by chance (</w:t>
      </w:r>
      <m:oMath>
        <m:r>
          <m:rPr>
            <m:nor/>
            <m:sty m:val="p"/>
          </m:rPr>
          <m:t>SES</m:t>
        </m:r>
        <m:r>
          <m:rPr>
            <m:sty m:val="p"/>
          </m:rPr>
          <m:t>=</m:t>
        </m:r>
        <m:r>
          <m:rPr>
            <m:sty m:val="p"/>
          </m:rPr>
          <m:t>−</m:t>
        </m:r>
        <m:r>
          <m:t>45.4</m:t>
        </m:r>
        <m:r>
          <m:rPr>
            <m:sty m:val="p"/>
          </m:rPr>
          <m:t>,</m:t>
        </m:r>
        <m:r>
          <m:t>p</m:t>
        </m:r>
        <m:r>
          <m:rPr>
            <m:sty m:val="p"/>
          </m:rPr>
          <m:t>=</m:t>
        </m:r>
        <m:r>
          <m:t>0.001</m:t>
        </m:r>
      </m:oMath>
      <w:r>
        <w:t xml:space="preserve">). Similar to results from the dry season, the habitat-scale beta diversity (</w:t>
      </w:r>
      <m:oMath>
        <m:sSub>
          <m:e>
            <m:r>
              <m:t>β</m:t>
            </m:r>
          </m:e>
          <m:sub>
            <m:r>
              <m:t>1</m:t>
            </m:r>
          </m:sub>
        </m:sSub>
        <m:r>
          <m:rPr>
            <m:sty m:val="p"/>
          </m:rPr>
          <m:t>=</m:t>
        </m:r>
        <m:r>
          <m:t>11.8</m:t>
        </m:r>
        <m:r>
          <m:rPr>
            <m:sty m:val="p"/>
          </m:rPr>
          <m:t>%</m:t>
        </m:r>
      </m:oMath>
      <w:r>
        <w:t xml:space="preserve">) was significantly lower than expected under the null model (</w:t>
      </w:r>
      <m:oMath>
        <m:r>
          <m:rPr>
            <m:nor/>
            <m:sty m:val="p"/>
          </m:rPr>
          <m:t>SES</m:t>
        </m:r>
        <m:r>
          <m:rPr>
            <m:sty m:val="p"/>
          </m:rPr>
          <m:t>=</m:t>
        </m:r>
        <m:r>
          <m:rPr>
            <m:sty m:val="p"/>
          </m:rPr>
          <m:t>−</m:t>
        </m:r>
        <m:r>
          <m:t>7.0</m:t>
        </m:r>
        <m:r>
          <m:rPr>
            <m:sty m:val="p"/>
          </m:rPr>
          <m:t>,</m:t>
        </m:r>
        <m:r>
          <m:t>p</m:t>
        </m:r>
        <m:r>
          <m:rPr>
            <m:sty m:val="p"/>
          </m:rPr>
          <m:t>=</m:t>
        </m:r>
        <m:r>
          <m:t>0.001</m:t>
        </m:r>
      </m:oMath>
      <w:r>
        <w:t xml:space="preserve">), and the the beta diversity among streams (</w:t>
      </w:r>
      <m:oMath>
        <m:sSub>
          <m:e>
            <m:r>
              <m:t>β</m:t>
            </m:r>
          </m:e>
          <m:sub>
            <m:r>
              <m:t>3</m:t>
            </m:r>
          </m:sub>
        </m:sSub>
        <m:r>
          <m:rPr>
            <m:sty m:val="p"/>
          </m:rPr>
          <m:t>=</m:t>
        </m:r>
        <m:r>
          <m:t>16.3</m:t>
        </m:r>
        <m:r>
          <m:rPr>
            <m:sty m:val="p"/>
          </m:rPr>
          <m:t>%</m:t>
        </m:r>
      </m:oMath>
      <w:r>
        <w:t xml:space="preserve">) was significantly higher than that predicted by chance (</w:t>
      </w:r>
      <m:oMath>
        <m:r>
          <m:rPr>
            <m:nor/>
            <m:sty m:val="p"/>
          </m:rPr>
          <m:t>SES</m:t>
        </m:r>
        <m:r>
          <m:rPr>
            <m:sty m:val="p"/>
          </m:rPr>
          <m:t>=</m:t>
        </m:r>
        <m:r>
          <m:t>9.5</m:t>
        </m:r>
        <m:r>
          <m:rPr>
            <m:sty m:val="p"/>
          </m:rPr>
          <m:t>,</m:t>
        </m:r>
        <m:r>
          <m:t>p</m:t>
        </m:r>
        <m:r>
          <m:rPr>
            <m:sty m:val="p"/>
          </m:rPr>
          <m:t>=</m:t>
        </m:r>
        <m:r>
          <m:t>0.001</m:t>
        </m:r>
      </m:oMath>
      <w:r>
        <w:t xml:space="preserve">). The intermediate scale (among sites) gave a lesser contribution to the total observed diversity (</w:t>
      </w:r>
      <m:oMath>
        <m:sSub>
          <m:e>
            <m:r>
              <m:t>β</m:t>
            </m:r>
          </m:e>
          <m:sub>
            <m:r>
              <m:t>2</m:t>
            </m:r>
          </m:sub>
        </m:sSub>
        <m:r>
          <m:rPr>
            <m:sty m:val="p"/>
          </m:rPr>
          <m:t>=</m:t>
        </m:r>
        <m:r>
          <m:t>48.3</m:t>
        </m:r>
        <m:r>
          <m:rPr>
            <m:sty m:val="p"/>
          </m:rPr>
          <m:t>%</m:t>
        </m:r>
      </m:oMath>
      <w:r>
        <w:t xml:space="preserve">), when compared to the dry season and, differently from the dry season, it deviated significantly from the null expectation (</w:t>
      </w:r>
      <m:oMath>
        <m:r>
          <m:rPr>
            <m:nor/>
            <m:sty m:val="p"/>
          </m:rPr>
          <m:t>SES</m:t>
        </m:r>
        <m:r>
          <m:rPr>
            <m:sty m:val="p"/>
          </m:rPr>
          <m:t>=</m:t>
        </m:r>
        <m:r>
          <m:t>13.4</m:t>
        </m:r>
        <m:r>
          <m:rPr>
            <m:sty m:val="p"/>
          </m:rPr>
          <m:t>,</m:t>
        </m:r>
        <m:r>
          <m:t>p</m:t>
        </m:r>
        <m:r>
          <m:rPr>
            <m:sty m:val="p"/>
          </m:rPr>
          <m:t>=</m:t>
        </m:r>
        <m:r>
          <m:t>0.001</m:t>
        </m:r>
      </m:oMath>
      <w:r>
        <w:t xml:space="preserve">).</w:t>
      </w:r>
    </w:p>
    <w:p>
      <w:pPr>
        <w:pStyle w:val="TextBody"/>
      </w:pPr>
      <w:r>
        <w:t xml:space="preserve">Hierarchical additive partitioning was performed separately for each season within the Barro Branco and Caiana streams (</w:t>
      </w:r>
      <w:hyperlink w:anchor="fig-particao_rios">
        <w:r>
          <w:rPr>
            <w:rStyle w:val="Hyperlink"/>
          </w:rPr>
          <w:t xml:space="preserve">Figure 7</w:t>
        </w:r>
      </w:hyperlink>
      <w:r>
        <w:t xml:space="preserve">). Across all four combinations, local alpha diversity (</w:t>
      </w:r>
      <m:oMath>
        <m:sSub>
          <m:e>
            <m:r>
              <m:t>α</m:t>
            </m:r>
          </m:e>
          <m:sub>
            <m:r>
              <m:t>1</m:t>
            </m:r>
          </m:sub>
        </m:sSub>
        <m:r>
          <m:rPr>
            <m:sty m:val="p"/>
          </m:rPr>
          <m:t>=</m:t>
        </m:r>
        <m:r>
          <m:t>14.7</m:t>
        </m:r>
        <m:r>
          <m:rPr>
            <m:sty m:val="p"/>
          </m:rPr>
          <m:t>%</m:t>
        </m:r>
        <m:r>
          <m:rPr>
            <m:sty m:val="p"/>
          </m:rPr>
          <m:t>−</m:t>
        </m:r>
        <m:r>
          <m:t>30.8</m:t>
        </m:r>
        <m:r>
          <m:rPr>
            <m:sty m:val="p"/>
          </m:rPr>
          <m:t>%</m:t>
        </m:r>
      </m:oMath>
      <w:r>
        <w:t xml:space="preserve">) and fine-scale habitat beta diversity (</w:t>
      </w:r>
      <m:oMath>
        <m:sSub>
          <m:e>
            <m:r>
              <m:t>β</m:t>
            </m:r>
          </m:e>
          <m:sub>
            <m:r>
              <m:t>1</m:t>
            </m:r>
          </m:sub>
        </m:sSub>
        <m:r>
          <m:rPr>
            <m:sty m:val="p"/>
          </m:rPr>
          <m:t>=</m:t>
        </m:r>
        <m:r>
          <m:t>12.1</m:t>
        </m:r>
        <m:r>
          <m:rPr>
            <m:sty m:val="p"/>
          </m:rPr>
          <m:t>%</m:t>
        </m:r>
        <m:r>
          <m:rPr>
            <m:sty m:val="p"/>
          </m:rPr>
          <m:t>−</m:t>
        </m:r>
        <m:r>
          <m:t>14.8</m:t>
        </m:r>
        <m:r>
          <m:rPr>
            <m:sty m:val="p"/>
          </m:rPr>
          <m:t>%</m:t>
        </m:r>
      </m:oMath>
      <w:r>
        <w:t xml:space="preserve">) were consistently lower than expected under null model predictions (see</w:t>
      </w:r>
      <w:r>
        <w:t xml:space="preserve"> </w:t>
      </w:r>
      <w:hyperlink w:anchor="tbl-part_gttable">
        <w:r>
          <w:rPr>
            <w:rStyle w:val="Hyperlink"/>
          </w:rPr>
          <w:t xml:space="preserve">Table 4</w:t>
        </w:r>
      </w:hyperlink>
      <w:r>
        <w:t xml:space="preserve"> </w:t>
      </w:r>
      <w:r>
        <w:t xml:space="preserve">for SES and</w:t>
      </w:r>
      <w:r>
        <w:t xml:space="preserve"> </w:t>
      </w:r>
      <w:r>
        <w:rPr>
          <w:i/>
          <w:iCs/>
        </w:rPr>
        <w:t xml:space="preserve">P</w:t>
      </w:r>
      <w:r>
        <w:t xml:space="preserve">-values). The alpha diversity was higher during the wet season when compared with the dry season across both streams. This recurring negative deviation highlights strong local spatial aggregation and compositional homogenization among sampling points within sites. Beta diversity among sites (</w:t>
      </w:r>
      <m:oMath>
        <m:sSub>
          <m:e>
            <m:r>
              <m:t>β</m:t>
            </m:r>
          </m:e>
          <m:sub>
            <m:r>
              <m:t>2</m:t>
            </m:r>
          </m:sub>
        </m:sSub>
        <m:r>
          <m:rPr>
            <m:sty m:val="p"/>
          </m:rPr>
          <m:t>=</m:t>
        </m:r>
        <m:r>
          <m:t>54.6</m:t>
        </m:r>
        <m:r>
          <m:rPr>
            <m:sty m:val="p"/>
          </m:rPr>
          <m:t>%</m:t>
        </m:r>
        <m:r>
          <m:rPr>
            <m:sty m:val="p"/>
          </m:rPr>
          <m:t>−</m:t>
        </m:r>
        <m:r>
          <m:t>73.2</m:t>
        </m:r>
        <m:r>
          <m:rPr>
            <m:sty m:val="p"/>
          </m:rPr>
          <m:t>%</m:t>
        </m:r>
      </m:oMath>
      <w:r>
        <w:t xml:space="preserve">) consistently contributed the largest share of total regional richness and was significantly higher than predicted by chance (see</w:t>
      </w:r>
      <w:r>
        <w:t xml:space="preserve"> </w:t>
      </w:r>
      <w:hyperlink w:anchor="tbl-part_gttable">
        <w:r>
          <w:rPr>
            <w:rStyle w:val="Hyperlink"/>
          </w:rPr>
          <w:t xml:space="preserve">Table 4</w:t>
        </w:r>
      </w:hyperlink>
      <w:r>
        <w:t xml:space="preserve"> </w:t>
      </w:r>
      <w:r>
        <w:t xml:space="preserve">for SES and</w:t>
      </w:r>
      <w:r>
        <w:t xml:space="preserve"> </w:t>
      </w:r>
      <w:r>
        <w:rPr>
          <w:i/>
          <w:iCs/>
        </w:rPr>
        <w:t xml:space="preserve">P</w:t>
      </w:r>
      <w:r>
        <w:t xml:space="preserve">-values). These positive effect sizes confirm that spatial species turnover among sites is the primary driver structuring zooplankton assemblages within both streams regardless of seasonality.</w:t>
      </w:r>
    </w:p>
    <w:bookmarkEnd w:id="19"/>
    <w:bookmarkStart w:id="20" w:name="discussion"/>
    <w:p>
      <w:pPr>
        <w:pStyle w:val="Heading1"/>
      </w:pPr>
      <w:r>
        <w:t xml:space="preserve">4. Discussion</w:t>
      </w:r>
    </w:p>
    <w:p>
      <w:pPr>
        <w:pStyle w:val="FirstParagraph"/>
      </w:pPr>
      <w:r>
        <w:t xml:space="preserve">Depth and width showed greater variations across sites as a result from the fact the streams are barred at some points from roads for local traffic and small dams for water storage. Stream width and depth showed greater variations reflecting the range of habitats along the study streams, from small and narrow streams to wider and deeper manmade reservoirs.</w:t>
      </w:r>
    </w:p>
    <w:bookmarkEnd w:id="20"/>
    <w:bookmarkStart w:id="21" w:name="conclusions"/>
    <w:p>
      <w:pPr>
        <w:pStyle w:val="Heading1"/>
      </w:pPr>
      <w:r>
        <w:t xml:space="preserve">Conclusions</w:t>
      </w:r>
    </w:p>
    <w:bookmarkEnd w:id="21"/>
    <w:bookmarkStart w:id="22" w:name="acknowledgements"/>
    <w:p>
      <w:pPr>
        <w:pStyle w:val="Heading1"/>
      </w:pPr>
      <w:r>
        <w:t xml:space="preserve">Acknowledgements</w:t>
      </w:r>
    </w:p>
    <w:p>
      <w:pPr>
        <w:pStyle w:val="FirstParagraph"/>
      </w:pPr>
      <w:r>
        <w:t xml:space="preserve">We are greatly indebted to the staff of the REBIO Guaribas for field work assistance. LCA is grateful to Programa de Pós-Graduação em Ecologia e Conservação (PPGEC-UEPB) and CAPES for scholarship granted. EGS, MMSM and MVBS are grateful to Programa de Iniciação Científica (PIBIC-UEPB) and CNPq for scholarship granted.</w:t>
      </w:r>
    </w:p>
    <w:bookmarkEnd w:id="22"/>
    <w:bookmarkStart w:id="23" w:name="authorship-contribution-statement"/>
    <w:p>
      <w:pPr>
        <w:pStyle w:val="Heading1"/>
      </w:pPr>
      <w:r>
        <w:t xml:space="preserve">Authorship contribution statement</w:t>
      </w:r>
    </w:p>
    <w:p>
      <w:pPr>
        <w:pStyle w:val="FirstParagraph"/>
      </w:pPr>
      <w:r>
        <w:t xml:space="preserve">Authorship of this paper is based on</w:t>
      </w:r>
      <w:r>
        <w:t xml:space="preserve"> </w:t>
      </w:r>
      <w:r>
        <w:t xml:space="preserve">CRediT (2026)</w:t>
      </w:r>
      <w:r>
        <w:t xml:space="preserve">.</w:t>
      </w:r>
    </w:p>
    <w:p>
      <w:pPr>
        <w:pStyle w:val="TextBody"/>
      </w:pPr>
      <w:r>
        <w:t xml:space="preserve">Ellen Gomes da Silva: Data curation, Formal analysis, Investigation, Software, Visualization, Writing – original draft.</w:t>
      </w:r>
    </w:p>
    <w:p>
      <w:pPr>
        <w:pStyle w:val="TextBody"/>
      </w:pPr>
      <w:r>
        <w:t xml:space="preserve">Mayara Mirelly da Silva Monteiro: Data curation, Formal analysis, Investigation.</w:t>
      </w:r>
    </w:p>
    <w:p>
      <w:pPr>
        <w:pStyle w:val="TextBody"/>
      </w:pPr>
      <w:r>
        <w:t xml:space="preserve">Ludmilla Cavalcanti Antunes Lucena: Supervision, Validation.</w:t>
      </w:r>
    </w:p>
    <w:p>
      <w:pPr>
        <w:pStyle w:val="TextBody"/>
      </w:pPr>
      <w:r>
        <w:t xml:space="preserve">Thais Xavier de Melo: Supervision, Validation.</w:t>
      </w:r>
    </w:p>
    <w:p>
      <w:pPr>
        <w:pStyle w:val="TextBody"/>
      </w:pPr>
      <w:r>
        <w:t xml:space="preserve">Elvio Sergio Figueredo Medeiros: Conceptualization, Data Curation, Formal Analysis, Funding Acquisition, Investigation, Methodology, Project Administration, Resources, Software, Supervision, Validation, Visualization, Writing – original draft, Writing – review &amp; editing.</w:t>
      </w:r>
    </w:p>
    <w:bookmarkEnd w:id="23"/>
    <w:bookmarkStart w:id="24" w:name="ethical-approval"/>
    <w:p>
      <w:pPr>
        <w:pStyle w:val="Heading1"/>
      </w:pPr>
      <w:r>
        <w:t xml:space="preserve">Ethical approval</w:t>
      </w:r>
    </w:p>
    <w:p>
      <w:pPr>
        <w:pStyle w:val="FirstParagraph"/>
      </w:pPr>
      <w:r>
        <w:t xml:space="preserve">Activities inside the REBIO Guaribas were authorized by the Instituto Chico Mendes de Conservação da Biodiversidade (license no. SISBIO-89415-1, SISBIO-89429-2 and SISBIO-89415-2).</w:t>
      </w:r>
    </w:p>
    <w:bookmarkEnd w:id="24"/>
    <w:bookmarkStart w:id="2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manuscript, the authors used ChatGPT (OpenAI) to assist with English language editing and improve the clarity and fluency of the writing. No AI was used for data analysis, interpretation, or generation of scientific conclusions. The authors carefully reviewed and revised all AI-generated suggestions and take full responsibility for the accuracy and content of the final manuscript</w:t>
      </w:r>
      <w:r>
        <w:t xml:space="preserve"> </w:t>
      </w:r>
      <w:r>
        <w:t xml:space="preserve">(CNPq 2026)</w:t>
      </w:r>
      <w:r>
        <w:t xml:space="preserve">.</w:t>
      </w:r>
    </w:p>
    <w:bookmarkEnd w:id="25"/>
    <w:bookmarkStart w:id="176" w:name="references"/>
    <w:p>
      <w:pPr>
        <w:pStyle w:val="Heading1"/>
      </w:pPr>
      <w:r>
        <w:t xml:space="preserve">References</w:t>
      </w:r>
    </w:p>
    <w:bookmarkStart w:id="175" w:name="refs"/>
    <w:bookmarkStart w:id="27" w:name="ref-akhyar2026"/>
    <w:p>
      <w:pPr>
        <w:pStyle w:val="Bibliography"/>
      </w:pPr>
      <w:r>
        <w:t xml:space="preserve">Akhyar, A., A. F. Abdullah, and Z. Hassan. 2026.</w:t>
      </w:r>
      <w:r>
        <w:t xml:space="preserve"> </w:t>
      </w:r>
      <w:hyperlink r:id="rId26">
        <w:r>
          <w:rPr>
            <w:rStyle w:val="Hyperlink"/>
          </w:rPr>
          <w:t xml:space="preserve">Stream connectivity structures fish assemblage beta diversity through turnover and nestedness in tropical tributaries</w:t>
        </w:r>
      </w:hyperlink>
      <w:r>
        <w:t xml:space="preserve">. Biodiversity and Conservation 35:79.</w:t>
      </w:r>
    </w:p>
    <w:bookmarkEnd w:id="27"/>
    <w:bookmarkStart w:id="29" w:name="ref-altindag2025"/>
    <w:p>
      <w:pPr>
        <w:pStyle w:val="Bibliography"/>
      </w:pPr>
      <w:r>
        <w:t xml:space="preserve">Altindağ, A., and D. Berdi̇. 2025.</w:t>
      </w:r>
      <w:r>
        <w:t xml:space="preserve"> </w:t>
      </w:r>
      <w:hyperlink r:id="rId28">
        <w:r>
          <w:rPr>
            <w:rStyle w:val="Hyperlink"/>
          </w:rPr>
          <w:t xml:space="preserve">Rising temperatures, changing waters: The influence of abiotic factors on freshwater zooplankton community</w:t>
        </w:r>
      </w:hyperlink>
      <w:r>
        <w:t xml:space="preserve">. Desalination and Water Treatment 321:100991.</w:t>
      </w:r>
    </w:p>
    <w:bookmarkEnd w:id="29"/>
    <w:bookmarkStart w:id="31" w:name="ref-anderson2013"/>
    <w:p>
      <w:pPr>
        <w:pStyle w:val="Bibliography"/>
      </w:pPr>
      <w:r>
        <w:t xml:space="preserve">Anderson, M. J., and D. C. I. Walsh. 2013.</w:t>
      </w:r>
      <w:r>
        <w:t xml:space="preserve"> </w:t>
      </w:r>
      <w:hyperlink r:id="rId30">
        <w:r>
          <w:rPr>
            <w:rStyle w:val="Hyperlink"/>
          </w:rPr>
          <w:t xml:space="preserve">PERMANOVA, ANOSIM, and the mantel test in the face of heterogeneous dispersions: What null hypothesis are you testing?</w:t>
        </w:r>
      </w:hyperlink>
      <w:r>
        <w:t xml:space="preserve"> Ecological Monographs 83:557574.</w:t>
      </w:r>
    </w:p>
    <w:bookmarkEnd w:id="31"/>
    <w:bookmarkStart w:id="33" w:name="ref-apha1998"/>
    <w:p>
      <w:pPr>
        <w:pStyle w:val="Bibliography"/>
      </w:pPr>
      <w:r>
        <w:t xml:space="preserve">APHA. 1998.</w:t>
      </w:r>
      <w:r>
        <w:t xml:space="preserve"> </w:t>
      </w:r>
      <w:hyperlink r:id="rId32">
        <w:r>
          <w:rPr>
            <w:rStyle w:val="Hyperlink"/>
          </w:rPr>
          <w:t xml:space="preserve">Standard methods for the examination of water and wastewater</w:t>
        </w:r>
      </w:hyperlink>
      <w:r>
        <w:t xml:space="preserve">. American Public Health Association, Washington, DC.</w:t>
      </w:r>
    </w:p>
    <w:bookmarkEnd w:id="33"/>
    <w:bookmarkStart w:id="35" w:name="ref-arruda2013"/>
    <w:p>
      <w:pPr>
        <w:pStyle w:val="Bibliography"/>
      </w:pPr>
      <w:r>
        <w:t xml:space="preserve">Arruda, D. B., B. P. Cunha, and K. M. C. Rêgo. 2013.</w:t>
      </w:r>
      <w:r>
        <w:t xml:space="preserve"> </w:t>
      </w:r>
      <w:hyperlink r:id="rId34">
        <w:r>
          <w:rPr>
            <w:rStyle w:val="Hyperlink"/>
          </w:rPr>
          <w:t xml:space="preserve">Conflitos entre REBIO Guaribas e comunidades locais: (in)justiça ambiental e ecologia política</w:t>
        </w:r>
      </w:hyperlink>
      <w:r>
        <w:t xml:space="preserve">. Revista Direitos Emergentes na Sociedade Global 2:280–304.</w:t>
      </w:r>
    </w:p>
    <w:bookmarkEnd w:id="35"/>
    <w:bookmarkStart w:id="37" w:name="ref-ávila2011"/>
    <w:p>
      <w:pPr>
        <w:pStyle w:val="Bibliography"/>
      </w:pPr>
      <w:r>
        <w:t xml:space="preserve">Ávila, A. C., C. Stenert, and L. Maltchik. 2011.</w:t>
      </w:r>
      <w:r>
        <w:t xml:space="preserve"> </w:t>
      </w:r>
      <w:hyperlink r:id="rId36">
        <w:r>
          <w:rPr>
            <w:rStyle w:val="Hyperlink"/>
          </w:rPr>
          <w:t xml:space="preserve">Partitioning macroinvertebrate diversity across different spatial scales in southern brazil coastal wetlands</w:t>
        </w:r>
      </w:hyperlink>
      <w:r>
        <w:t xml:space="preserve">. Wetlands 31:459–469.</w:t>
      </w:r>
    </w:p>
    <w:bookmarkEnd w:id="37"/>
    <w:bookmarkStart w:id="39" w:name="ref-balkic2022"/>
    <w:p>
      <w:pPr>
        <w:pStyle w:val="Bibliography"/>
      </w:pPr>
      <w:r>
        <w:t xml:space="preserve">Balkić, A. G., T. Ž. Pfeiffer, K. Čmelar, D. Š. Maronić, F. Stević, N. Bek, A. Martinović, and R. Nikolašević. 2022.</w:t>
      </w:r>
      <w:r>
        <w:t xml:space="preserve"> </w:t>
      </w:r>
      <w:hyperlink r:id="rId38">
        <w:r>
          <w:rPr>
            <w:rStyle w:val="Hyperlink"/>
          </w:rPr>
          <w:t xml:space="preserve">Footprint of the plastisphere on freshwater zooplankton</w:t>
        </w:r>
      </w:hyperlink>
      <w:r>
        <w:t xml:space="preserve">. Environmental Research 212:113563.</w:t>
      </w:r>
    </w:p>
    <w:bookmarkEnd w:id="39"/>
    <w:bookmarkStart w:id="41" w:name="ref-barboza2024"/>
    <w:p>
      <w:pPr>
        <w:pStyle w:val="Bibliography"/>
      </w:pPr>
      <w:r>
        <w:t xml:space="preserve">Barboza, A. C. G., V. Tagliacollo, and G. B. Jacobucci. 2024.</w:t>
      </w:r>
      <w:r>
        <w:t xml:space="preserve"> </w:t>
      </w:r>
      <w:hyperlink r:id="rId40">
        <w:r>
          <w:rPr>
            <w:rStyle w:val="Hyperlink"/>
          </w:rPr>
          <w:t xml:space="preserve">Influence of seasonal hydrological regimes on benthic macroinvertebrates in two the brazilian biodiversity hotspots</w:t>
        </w:r>
      </w:hyperlink>
      <w:r>
        <w:t xml:space="preserve">. Limnologica 106:126170.</w:t>
      </w:r>
    </w:p>
    <w:bookmarkEnd w:id="41"/>
    <w:bookmarkStart w:id="43" w:name="ref-baselga2010"/>
    <w:p>
      <w:pPr>
        <w:pStyle w:val="Bibliography"/>
      </w:pPr>
      <w:r>
        <w:t xml:space="preserve">Baselga, A. 2010.</w:t>
      </w:r>
      <w:r>
        <w:t xml:space="preserve"> </w:t>
      </w:r>
      <w:hyperlink r:id="rId42">
        <w:r>
          <w:rPr>
            <w:rStyle w:val="Hyperlink"/>
          </w:rPr>
          <w:t xml:space="preserve">Partitioning the turnover and nestedness components of beta diversity</w:t>
        </w:r>
      </w:hyperlink>
      <w:r>
        <w:t xml:space="preserve">. Global Ecology and Biogeography 19:134–143.</w:t>
      </w:r>
    </w:p>
    <w:bookmarkEnd w:id="43"/>
    <w:bookmarkStart w:id="45" w:name="ref-baselga2012"/>
    <w:p>
      <w:pPr>
        <w:pStyle w:val="Bibliography"/>
      </w:pPr>
      <w:r>
        <w:t xml:space="preserve">Baselga, A. 2012.</w:t>
      </w:r>
      <w:r>
        <w:t xml:space="preserve"> </w:t>
      </w:r>
      <w:hyperlink r:id="rId44">
        <w:r>
          <w:rPr>
            <w:rStyle w:val="Hyperlink"/>
          </w:rPr>
          <w:t xml:space="preserve">The relationship between species replacement, dissimilarity derived from nestedness, and nestedness</w:t>
        </w:r>
      </w:hyperlink>
      <w:r>
        <w:t xml:space="preserve">. Global Ecology and Biogeography 21:1223–1232.</w:t>
      </w:r>
    </w:p>
    <w:bookmarkEnd w:id="45"/>
    <w:bookmarkStart w:id="47" w:name="ref-belbin1993"/>
    <w:p>
      <w:pPr>
        <w:pStyle w:val="Bibliography"/>
      </w:pPr>
      <w:r>
        <w:t xml:space="preserve">Belbin, L., and C. McDonald. 1993.</w:t>
      </w:r>
      <w:r>
        <w:t xml:space="preserve"> </w:t>
      </w:r>
      <w:hyperlink r:id="rId46">
        <w:r>
          <w:rPr>
            <w:rStyle w:val="Hyperlink"/>
          </w:rPr>
          <w:t xml:space="preserve">Comparing three classification strategies for use in ecology</w:t>
        </w:r>
      </w:hyperlink>
      <w:r>
        <w:t xml:space="preserve">. Journal of Vegetation Science 4:341–348.</w:t>
      </w:r>
    </w:p>
    <w:bookmarkEnd w:id="47"/>
    <w:bookmarkStart w:id="49" w:name="ref-bonecker2013"/>
    <w:p>
      <w:pPr>
        <w:pStyle w:val="Bibliography"/>
      </w:pPr>
      <w:r>
        <w:t xml:space="preserve">Bonecker, C. C., N. R. Simões, C. V. Minte-Vera, F. A. Lansac-Tôha, L. F. M. Velho, and Â. A. Agostinho. 2013.</w:t>
      </w:r>
      <w:r>
        <w:t xml:space="preserve"> </w:t>
      </w:r>
      <w:hyperlink r:id="rId48">
        <w:r>
          <w:rPr>
            <w:rStyle w:val="Hyperlink"/>
          </w:rPr>
          <w:t xml:space="preserve">Temporal changes in zooplankton species diversity in response to environmental changes in an alluvial valley</w:t>
        </w:r>
      </w:hyperlink>
      <w:r>
        <w:t xml:space="preserve">. Limnologica 43:114–121.</w:t>
      </w:r>
    </w:p>
    <w:bookmarkEnd w:id="49"/>
    <w:bookmarkStart w:id="51" w:name="ref-brasil2000"/>
    <w:p>
      <w:pPr>
        <w:pStyle w:val="Bibliography"/>
      </w:pPr>
      <w:r>
        <w:t xml:space="preserve">BRASIL. 2000.</w:t>
      </w:r>
      <w:r>
        <w:t xml:space="preserve"> </w:t>
      </w:r>
      <w:hyperlink r:id="rId50">
        <w:r>
          <w:rPr>
            <w:rStyle w:val="Hyperlink"/>
          </w:rPr>
          <w:t xml:space="preserve">Lei no 9.985, de 18 de julho de 2000. Regulamenta o art. 225, § 1o, incisos i, II, III e VII da constituição federal, institui o sistema nacional de unidades de conservação da natureza e dá outras providências.</w:t>
        </w:r>
      </w:hyperlink>
    </w:p>
    <w:bookmarkEnd w:id="51"/>
    <w:bookmarkStart w:id="53" w:name="ref-cnpq2026"/>
    <w:p>
      <w:pPr>
        <w:pStyle w:val="Bibliography"/>
      </w:pPr>
      <w:r>
        <w:t xml:space="preserve">CNPq. 2026.</w:t>
      </w:r>
      <w:r>
        <w:t xml:space="preserve"> </w:t>
      </w:r>
      <w:hyperlink r:id="rId52">
        <w:r>
          <w:rPr>
            <w:rStyle w:val="Hyperlink"/>
          </w:rPr>
          <w:t xml:space="preserve">Portaria 2664/2026 de 6 de março de 2026 - política de integridade na atividade científica do CNPq</w:t>
        </w:r>
      </w:hyperlink>
      <w:r>
        <w:t xml:space="preserve">.</w:t>
      </w:r>
    </w:p>
    <w:bookmarkEnd w:id="53"/>
    <w:bookmarkStart w:id="55" w:name="ref-credit2026"/>
    <w:p>
      <w:pPr>
        <w:pStyle w:val="Bibliography"/>
      </w:pPr>
      <w:r>
        <w:t xml:space="preserve">CRediT. 2026.</w:t>
      </w:r>
      <w:r>
        <w:t xml:space="preserve"> </w:t>
      </w:r>
      <w:hyperlink r:id="rId54">
        <w:r>
          <w:rPr>
            <w:rStyle w:val="Hyperlink"/>
          </w:rPr>
          <w:t xml:space="preserve">CRediT - contributor role taxonomy</w:t>
        </w:r>
      </w:hyperlink>
      <w:r>
        <w:t xml:space="preserve">. NISO/CRediT Standing Committee.</w:t>
      </w:r>
    </w:p>
    <w:bookmarkEnd w:id="55"/>
    <w:bookmarkStart w:id="57" w:name="ref-crist2003"/>
    <w:p>
      <w:pPr>
        <w:pStyle w:val="Bibliography"/>
      </w:pPr>
      <w:r>
        <w:t xml:space="preserve">Crist, Thomas O., Joseph A. Veech, Jon C. Gering, and Keith S. Summerville. 2003.</w:t>
      </w:r>
      <w:r>
        <w:t xml:space="preserve"> </w:t>
      </w:r>
      <w:hyperlink r:id="rId56">
        <w:r>
          <w:rPr>
            <w:rStyle w:val="Hyperlink"/>
          </w:rPr>
          <w:t xml:space="preserve">Partitioning species diversity across landscapes and regions: A hierarchical analysis of α, β, and γ diversity</w:t>
        </w:r>
      </w:hyperlink>
      <w:r>
        <w:t xml:space="preserve">. The American Naturalist 162:734–743.</w:t>
      </w:r>
    </w:p>
    <w:bookmarkEnd w:id="57"/>
    <w:bookmarkStart w:id="59" w:name="ref-england2004"/>
    <w:p>
      <w:pPr>
        <w:pStyle w:val="Bibliography"/>
      </w:pPr>
      <w:r>
        <w:t xml:space="preserve">England, L. E., and A. D. Rosemond. 2004.</w:t>
      </w:r>
      <w:r>
        <w:t xml:space="preserve"> </w:t>
      </w:r>
      <w:hyperlink r:id="rId58">
        <w:r>
          <w:rPr>
            <w:rStyle w:val="Hyperlink"/>
          </w:rPr>
          <w:t xml:space="preserve">Small reductions in forest cover weaken terrestrial</w:t>
        </w:r>
        <w:r>
          <w:rPr>
            <w:rStyle w:val="Hyperlink"/>
          </w:rPr>
          <w:t xml:space="preserve">-</w:t>
        </w:r>
        <w:r>
          <w:rPr>
            <w:rStyle w:val="Hyperlink"/>
          </w:rPr>
          <w:t xml:space="preserve">aquatic linkages in headwater streams</w:t>
        </w:r>
      </w:hyperlink>
      <w:r>
        <w:t xml:space="preserve">. Freshwater Biology 49:721–734.</w:t>
      </w:r>
    </w:p>
    <w:bookmarkEnd w:id="59"/>
    <w:bookmarkStart w:id="61" w:name="ref-epa2020"/>
    <w:p>
      <w:pPr>
        <w:pStyle w:val="Bibliography"/>
      </w:pPr>
      <w:r>
        <w:t xml:space="preserve">EPA. 2020.</w:t>
      </w:r>
      <w:r>
        <w:t xml:space="preserve"> </w:t>
      </w:r>
      <w:hyperlink r:id="rId60">
        <w:r>
          <w:rPr>
            <w:rStyle w:val="Hyperlink"/>
          </w:rPr>
          <w:t xml:space="preserve">Standard operating procedure for zooplankton sample collection and preservation</w:t>
        </w:r>
      </w:hyperlink>
      <w:r>
        <w:t xml:space="preserve">.</w:t>
      </w:r>
    </w:p>
    <w:bookmarkEnd w:id="61"/>
    <w:bookmarkStart w:id="63" w:name="ref-farias2020"/>
    <w:p>
      <w:pPr>
        <w:pStyle w:val="Bibliography"/>
      </w:pPr>
      <w:r>
        <w:t xml:space="preserve">Farias, R. L., C. Stenert, L. Maltchik, and E. S. F. Medeiros. 2020.</w:t>
      </w:r>
      <w:r>
        <w:t xml:space="preserve"> </w:t>
      </w:r>
      <w:hyperlink r:id="rId62">
        <w:r>
          <w:rPr>
            <w:rStyle w:val="Hyperlink"/>
          </w:rPr>
          <w:t xml:space="preserve">Partitioning of macroinvertebrate assemblages across temporary pools in an intermittent dryland river</w:t>
        </w:r>
      </w:hyperlink>
      <w:r>
        <w:t xml:space="preserve">. Inland Waters 10:480–492.</w:t>
      </w:r>
    </w:p>
    <w:bookmarkEnd w:id="63"/>
    <w:bookmarkStart w:id="65" w:name="ref-farris1969"/>
    <w:p>
      <w:pPr>
        <w:pStyle w:val="Bibliography"/>
      </w:pPr>
      <w:r>
        <w:t xml:space="preserve">Farris, J. S. 1969.</w:t>
      </w:r>
      <w:r>
        <w:t xml:space="preserve"> </w:t>
      </w:r>
      <w:hyperlink r:id="rId64">
        <w:r>
          <w:rPr>
            <w:rStyle w:val="Hyperlink"/>
          </w:rPr>
          <w:t xml:space="preserve">On the cophenetic correlation coefficient</w:t>
        </w:r>
      </w:hyperlink>
      <w:r>
        <w:t xml:space="preserve">. Systematic Zoology 18:279.</w:t>
      </w:r>
    </w:p>
    <w:bookmarkEnd w:id="65"/>
    <w:bookmarkStart w:id="67" w:name="ref-fonseca1985"/>
    <w:p>
      <w:pPr>
        <w:pStyle w:val="Bibliography"/>
      </w:pPr>
      <w:r>
        <w:t xml:space="preserve">Fonseca, G. A. B. 1985.</w:t>
      </w:r>
      <w:r>
        <w:t xml:space="preserve"> </w:t>
      </w:r>
      <w:hyperlink r:id="rId66">
        <w:r>
          <w:rPr>
            <w:rStyle w:val="Hyperlink"/>
          </w:rPr>
          <w:t xml:space="preserve">The vanishing brazilian atlantic forest</w:t>
        </w:r>
      </w:hyperlink>
      <w:r>
        <w:t xml:space="preserve">. Biological Conservation 34:17–34.</w:t>
      </w:r>
    </w:p>
    <w:bookmarkEnd w:id="67"/>
    <w:bookmarkStart w:id="69" w:name="ref-freiry2020"/>
    <w:p>
      <w:pPr>
        <w:pStyle w:val="Bibliography"/>
      </w:pPr>
      <w:r>
        <w:t xml:space="preserve">Freiry, R. F., V. Weber, C. C. Bonecker, F. A. Lansac-Tôha, M. M. Pires, C. Stenert, and L. Maltchik. 2020.</w:t>
      </w:r>
      <w:r>
        <w:t xml:space="preserve"> </w:t>
      </w:r>
      <w:hyperlink r:id="rId68">
        <w:r>
          <w:rPr>
            <w:rStyle w:val="Hyperlink"/>
          </w:rPr>
          <w:t xml:space="preserve">Additive partitioning of the diversity of the dormant zooplankton communities in intermittent ponds along a forest</w:t>
        </w:r>
        <w:r>
          <w:rPr>
            <w:rStyle w:val="Hyperlink"/>
          </w:rPr>
          <w:t xml:space="preserve">grassland transition</w:t>
        </w:r>
      </w:hyperlink>
      <w:r>
        <w:t xml:space="preserve">. Hydrobiologia 847:1327–1342.</w:t>
      </w:r>
    </w:p>
    <w:bookmarkEnd w:id="69"/>
    <w:bookmarkStart w:id="71" w:name="ref-frissell1986"/>
    <w:p>
      <w:pPr>
        <w:pStyle w:val="Bibliography"/>
      </w:pPr>
      <w:r>
        <w:t xml:space="preserve">Frissell, C. A., W. J. Liss, C. E. Warren, and M. D. Hurley. 1986.</w:t>
      </w:r>
      <w:r>
        <w:t xml:space="preserve"> </w:t>
      </w:r>
      <w:hyperlink r:id="rId70">
        <w:r>
          <w:rPr>
            <w:rStyle w:val="Hyperlink"/>
          </w:rPr>
          <w:t xml:space="preserve">A hierarchical framework for stream habitat classification: Viewing streams in a watershed context</w:t>
        </w:r>
      </w:hyperlink>
      <w:r>
        <w:t xml:space="preserve">. Environmental Management 10:199–214.</w:t>
      </w:r>
    </w:p>
    <w:bookmarkEnd w:id="71"/>
    <w:bookmarkStart w:id="73" w:name="ref-gering2003"/>
    <w:p>
      <w:pPr>
        <w:pStyle w:val="Bibliography"/>
      </w:pPr>
      <w:r>
        <w:t xml:space="preserve">Gering, J. C., T. O. Crist, and J. A. Veech. 2003.</w:t>
      </w:r>
      <w:r>
        <w:t xml:space="preserve"> </w:t>
      </w:r>
      <w:hyperlink r:id="rId72">
        <w:r>
          <w:rPr>
            <w:rStyle w:val="Hyperlink"/>
          </w:rPr>
          <w:t xml:space="preserve">Additive partitioning of species diversity across multiple spatial scales: Implications for regional conservation of biodiversity</w:t>
        </w:r>
      </w:hyperlink>
      <w:r>
        <w:t xml:space="preserve">. Conservation Biology 17:488–499.</w:t>
      </w:r>
    </w:p>
    <w:bookmarkEnd w:id="73"/>
    <w:bookmarkStart w:id="75" w:name="ref-gotelli2001"/>
    <w:p>
      <w:pPr>
        <w:pStyle w:val="Bibliography"/>
      </w:pPr>
      <w:r>
        <w:t xml:space="preserve">Gotelli, N. J., and R. K. Colwell. 2001.</w:t>
      </w:r>
      <w:r>
        <w:t xml:space="preserve"> </w:t>
      </w:r>
      <w:hyperlink r:id="rId74">
        <w:r>
          <w:rPr>
            <w:rStyle w:val="Hyperlink"/>
          </w:rPr>
          <w:t xml:space="preserve">Quantifying biodiversity: Procedures and pitfalls in the measurement and comparison of species richness</w:t>
        </w:r>
      </w:hyperlink>
      <w:r>
        <w:t xml:space="preserve">. Ecology Letters 4:379–391.</w:t>
      </w:r>
    </w:p>
    <w:bookmarkEnd w:id="75"/>
    <w:bookmarkStart w:id="77" w:name="ref-gotelli2002"/>
    <w:p>
      <w:pPr>
        <w:pStyle w:val="Bibliography"/>
      </w:pPr>
      <w:r>
        <w:t xml:space="preserve">Gotelli, N. J., and D. J. McCabe. 2002.</w:t>
      </w:r>
      <w:r>
        <w:t xml:space="preserve"> </w:t>
      </w:r>
      <w:hyperlink r:id="rId76">
        <w:r>
          <w:rPr>
            <w:rStyle w:val="Hyperlink"/>
          </w:rPr>
          <w:t xml:space="preserve">Species co-occurrence: A meta-analysis of j. M. Diamond’s assembly rules model</w:t>
        </w:r>
      </w:hyperlink>
      <w:r>
        <w:t xml:space="preserve">. Ecology 83:2091–2096.</w:t>
      </w:r>
    </w:p>
    <w:bookmarkEnd w:id="77"/>
    <w:bookmarkStart w:id="79" w:name="ref-gouveia2017"/>
    <w:p>
      <w:pPr>
        <w:pStyle w:val="Bibliography"/>
      </w:pPr>
      <w:r>
        <w:t xml:space="preserve">Gouveia, R. S. D., G. L. D. A. Lira, T. P. Anselmo Ramos, and E. S. F. Medeiros. 2017.</w:t>
      </w:r>
      <w:r>
        <w:t xml:space="preserve"> </w:t>
      </w:r>
      <w:hyperlink r:id="rId78">
        <w:r>
          <w:rPr>
            <w:rStyle w:val="Hyperlink"/>
          </w:rPr>
          <w:t xml:space="preserve">Ichthyofauna of the reserva biológica guaribas and surrounding areas, state of paraíba, brazil</w:t>
        </w:r>
      </w:hyperlink>
      <w:r>
        <w:t xml:space="preserve">. Check List 13:581–590.</w:t>
      </w:r>
    </w:p>
    <w:bookmarkEnd w:id="79"/>
    <w:bookmarkStart w:id="80" w:name="ref-haney1973"/>
    <w:p>
      <w:pPr>
        <w:pStyle w:val="Bibliography"/>
      </w:pPr>
      <w:r>
        <w:t xml:space="preserve">Haney, J. F., and D. J. Hall. 1973. Sugar-coated daphnia: A preservation technique for cladocerans. Limnology and Oceanography 18:331–333.</w:t>
      </w:r>
    </w:p>
    <w:bookmarkEnd w:id="80"/>
    <w:bookmarkStart w:id="82" w:name="ref-heinrichs2017"/>
    <w:p>
      <w:pPr>
        <w:pStyle w:val="Bibliography"/>
      </w:pPr>
      <w:r>
        <w:t xml:space="preserve">Heinrichs, R., R. Otto, A. Magalhães, and G. C. Meirelles. 2017.</w:t>
      </w:r>
      <w:r>
        <w:t xml:space="preserve"> </w:t>
      </w:r>
      <w:hyperlink r:id="rId81">
        <w:r>
          <w:rPr>
            <w:rStyle w:val="Hyperlink"/>
          </w:rPr>
          <w:t xml:space="preserve">Importance of sugarcane in brazilian and world bioeconomy</w:t>
        </w:r>
      </w:hyperlink>
      <w:r>
        <w:t xml:space="preserve">. Pages 205–217</w:t>
      </w:r>
      <w:r>
        <w:t xml:space="preserve"> </w:t>
      </w:r>
      <w:r>
        <w:rPr>
          <w:i/>
          <w:iCs/>
        </w:rPr>
        <w:t xml:space="preserve">in</w:t>
      </w:r>
      <w:r>
        <w:t xml:space="preserve"> </w:t>
      </w:r>
      <w:r>
        <w:t xml:space="preserve">S. Dabbert, I. Lewandowski, J. Weiss, and A. Pyka, editors. Springer International Publishing, Cham, Switzerland.</w:t>
      </w:r>
    </w:p>
    <w:bookmarkEnd w:id="82"/>
    <w:bookmarkStart w:id="84" w:name="ref-jost2007"/>
    <w:p>
      <w:pPr>
        <w:pStyle w:val="Bibliography"/>
      </w:pPr>
      <w:r>
        <w:t xml:space="preserve">Jost, L. 2007.</w:t>
      </w:r>
      <w:r>
        <w:t xml:space="preserve"> </w:t>
      </w:r>
      <w:hyperlink r:id="rId83">
        <w:r>
          <w:rPr>
            <w:rStyle w:val="Hyperlink"/>
          </w:rPr>
          <w:t xml:space="preserve">Partitioning diversity into independent alpha and beta components</w:t>
        </w:r>
      </w:hyperlink>
      <w:r>
        <w:t xml:space="preserve">. Ecology 88:2427–2439.</w:t>
      </w:r>
    </w:p>
    <w:bookmarkEnd w:id="84"/>
    <w:bookmarkStart w:id="86" w:name="ref-kaufman1990"/>
    <w:p>
      <w:pPr>
        <w:pStyle w:val="Bibliography"/>
      </w:pPr>
      <w:r>
        <w:t xml:space="preserve">Kaufman, L., and P. J. Rousseeuw. 1990.</w:t>
      </w:r>
      <w:r>
        <w:t xml:space="preserve"> </w:t>
      </w:r>
      <w:hyperlink r:id="rId85">
        <w:r>
          <w:rPr>
            <w:rStyle w:val="Hyperlink"/>
          </w:rPr>
          <w:t xml:space="preserve">Agglomerative nesting (program AGNES)</w:t>
        </w:r>
      </w:hyperlink>
      <w:r>
        <w:t xml:space="preserve">. Pages 199–252. First edition. Wiley.</w:t>
      </w:r>
    </w:p>
    <w:bookmarkEnd w:id="86"/>
    <w:bookmarkStart w:id="88" w:name="ref-keppeler2004"/>
    <w:p>
      <w:pPr>
        <w:pStyle w:val="Bibliography"/>
      </w:pPr>
      <w:r>
        <w:t xml:space="preserve">Keppeler, E. C., and E. R. Hardy. 2004.</w:t>
      </w:r>
      <w:r>
        <w:t xml:space="preserve"> </w:t>
      </w:r>
      <w:hyperlink r:id="rId87">
        <w:r>
          <w:rPr>
            <w:rStyle w:val="Hyperlink"/>
          </w:rPr>
          <w:t xml:space="preserve">Abundance and composition of rotifera in an abandoned meander lake (lago amapá) in rio branco, acre, brazil</w:t>
        </w:r>
      </w:hyperlink>
      <w:r>
        <w:t xml:space="preserve">. Revista Brasileira de Zoologia 21:233–241.</w:t>
      </w:r>
    </w:p>
    <w:bookmarkEnd w:id="88"/>
    <w:bookmarkStart w:id="90" w:name="ref-lande1996"/>
    <w:p>
      <w:pPr>
        <w:pStyle w:val="Bibliography"/>
      </w:pPr>
      <w:r>
        <w:t xml:space="preserve">Lande, R. 1996.</w:t>
      </w:r>
      <w:r>
        <w:t xml:space="preserve"> </w:t>
      </w:r>
      <w:hyperlink r:id="rId89">
        <w:r>
          <w:rPr>
            <w:rStyle w:val="Hyperlink"/>
          </w:rPr>
          <w:t xml:space="preserve">Statistics and partitioning of species diversity, and similarity among multiple communities</w:t>
        </w:r>
      </w:hyperlink>
      <w:r>
        <w:t xml:space="preserve">. Oikos 76:5.</w:t>
      </w:r>
    </w:p>
    <w:bookmarkEnd w:id="90"/>
    <w:bookmarkStart w:id="91" w:name="ref-lê2008"/>
    <w:p>
      <w:pPr>
        <w:pStyle w:val="Bibliography"/>
      </w:pPr>
      <w:r>
        <w:t xml:space="preserve">Lê, S., J. Josse, and F. Husson. 2008. FactoMineR: An r package for multivariate analysis. Journal of Statistical Software 25:1–18.</w:t>
      </w:r>
    </w:p>
    <w:bookmarkEnd w:id="91"/>
    <w:bookmarkStart w:id="92" w:name="ref-legendre1998"/>
    <w:p>
      <w:pPr>
        <w:pStyle w:val="Bibliography"/>
      </w:pPr>
      <w:r>
        <w:t xml:space="preserve">Legendre, P., and L. Legendre. 1998. Numerical ecology. 2nd English ed. Amsterdam, The Netherlands ; New York ; Oxford.</w:t>
      </w:r>
    </w:p>
    <w:bookmarkEnd w:id="92"/>
    <w:bookmarkStart w:id="94" w:name="ref-ligeiro2010"/>
    <w:p>
      <w:pPr>
        <w:pStyle w:val="Bibliography"/>
      </w:pPr>
      <w:r>
        <w:t xml:space="preserve">Ligeiro, R., A. S. Melo, and M. Callisto. 2010.</w:t>
      </w:r>
      <w:r>
        <w:t xml:space="preserve"> </w:t>
      </w:r>
      <w:hyperlink r:id="rId93">
        <w:r>
          <w:rPr>
            <w:rStyle w:val="Hyperlink"/>
          </w:rPr>
          <w:t xml:space="preserve">Spatial scale and the diversity of macroinvertebrates in a neotropical catchment</w:t>
        </w:r>
      </w:hyperlink>
      <w:r>
        <w:t xml:space="preserve">. Freshwater Biology 55:424–435.</w:t>
      </w:r>
    </w:p>
    <w:bookmarkEnd w:id="94"/>
    <w:bookmarkStart w:id="96" w:name="ref-lôbo2011"/>
    <w:p>
      <w:pPr>
        <w:pStyle w:val="Bibliography"/>
      </w:pPr>
      <w:r>
        <w:t xml:space="preserve">Lôbo, D., T. Leão, F. P. L. Melo, A. M. M. Santos, and M. Tabarelli. 2011.</w:t>
      </w:r>
      <w:r>
        <w:t xml:space="preserve"> </w:t>
      </w:r>
      <w:hyperlink r:id="rId95">
        <w:r>
          <w:rPr>
            <w:rStyle w:val="Hyperlink"/>
          </w:rPr>
          <w:t xml:space="preserve">Forest fragmentation drives atlantic forest of northeastern brazil to biotic homogenization</w:t>
        </w:r>
      </w:hyperlink>
      <w:r>
        <w:t xml:space="preserve">. Diversity and Distributions 17:287–296.</w:t>
      </w:r>
    </w:p>
    <w:bookmarkEnd w:id="96"/>
    <w:bookmarkStart w:id="98" w:name="ref-lopes2014"/>
    <w:p>
      <w:pPr>
        <w:pStyle w:val="Bibliography"/>
      </w:pPr>
      <w:r>
        <w:t xml:space="preserve">Lopes, P. M., L. M. Bini, S. A. J. Declerck, V. F. Farjalla, L. C. G. Vieira, C. C. Bonecker, F. A. Lansac-Toha, F. A. Esteves, and R. L. Bozelli. 2014.</w:t>
      </w:r>
      <w:r>
        <w:t xml:space="preserve"> </w:t>
      </w:r>
      <w:hyperlink r:id="rId97">
        <w:r>
          <w:rPr>
            <w:rStyle w:val="Hyperlink"/>
          </w:rPr>
          <w:t xml:space="preserve">Correlates of zooplankton beta diversity in tropical lake systems</w:t>
        </w:r>
      </w:hyperlink>
      <w:r>
        <w:t xml:space="preserve">. PLoS ONE 9:e109581.</w:t>
      </w:r>
    </w:p>
    <w:bookmarkEnd w:id="98"/>
    <w:bookmarkStart w:id="100" w:name="ref-lucena2015"/>
    <w:p>
      <w:pPr>
        <w:pStyle w:val="Bibliography"/>
      </w:pPr>
      <w:r>
        <w:t xml:space="preserve">Lucena, L. C. A., T. X. Melo, and E. S. F. Medeiros. 2015.</w:t>
      </w:r>
      <w:r>
        <w:t xml:space="preserve"> </w:t>
      </w:r>
      <w:hyperlink r:id="rId99">
        <w:r>
          <w:rPr>
            <w:rStyle w:val="Hyperlink"/>
          </w:rPr>
          <w:t xml:space="preserve">Zooplankton community of parnaíba river, northeastern brazil</w:t>
        </w:r>
      </w:hyperlink>
      <w:r>
        <w:t xml:space="preserve">. Acta Limnologica Brasiliensia 27:118–129.</w:t>
      </w:r>
    </w:p>
    <w:bookmarkEnd w:id="100"/>
    <w:bookmarkStart w:id="101" w:name="ref-mackereth1978"/>
    <w:p>
      <w:pPr>
        <w:pStyle w:val="Bibliography"/>
      </w:pPr>
      <w:r>
        <w:t xml:space="preserve">Mackereth, F. J. H., J. Heron, and J. F. Talling. 1978. Water analysis: Some revised methods for limnologists.(scientific publication n. 36) freshwater biological association. Cumbria and Dorset, England.</w:t>
      </w:r>
    </w:p>
    <w:bookmarkEnd w:id="101"/>
    <w:bookmarkStart w:id="103" w:name="ref-maechler2026"/>
    <w:p>
      <w:pPr>
        <w:pStyle w:val="Bibliography"/>
      </w:pPr>
      <w:r>
        <w:t xml:space="preserve">Maechler, M., P. Rousseeuw, A. Struyf, M. Hubert, and K. Hornik. 2026.</w:t>
      </w:r>
      <w:r>
        <w:t xml:space="preserve"> </w:t>
      </w:r>
      <w:hyperlink r:id="rId102">
        <w:r>
          <w:rPr>
            <w:rStyle w:val="Hyperlink"/>
          </w:rPr>
          <w:t xml:space="preserve">Cluster: Cluster analysis basics and extensions</w:t>
        </w:r>
      </w:hyperlink>
      <w:r>
        <w:t xml:space="preserve">.</w:t>
      </w:r>
    </w:p>
    <w:bookmarkEnd w:id="103"/>
    <w:bookmarkStart w:id="105" w:name="ref-maitland1990"/>
    <w:p>
      <w:pPr>
        <w:pStyle w:val="Bibliography"/>
      </w:pPr>
      <w:r>
        <w:t xml:space="preserve">Maitland, P. S. 1990.</w:t>
      </w:r>
      <w:r>
        <w:t xml:space="preserve"> </w:t>
      </w:r>
      <w:hyperlink r:id="rId104">
        <w:r>
          <w:rPr>
            <w:rStyle w:val="Hyperlink"/>
          </w:rPr>
          <w:t xml:space="preserve">Biology of fresh waters</w:t>
        </w:r>
      </w:hyperlink>
      <w:r>
        <w:t xml:space="preserve">. Second edition. Chapman; Hall, New York.</w:t>
      </w:r>
    </w:p>
    <w:bookmarkEnd w:id="105"/>
    <w:bookmarkStart w:id="107" w:name="ref-malabarba2006"/>
    <w:p>
      <w:pPr>
        <w:pStyle w:val="Bibliography"/>
      </w:pPr>
      <w:r>
        <w:t xml:space="preserve">Malabarba, L. R. 2006.</w:t>
      </w:r>
      <w:r>
        <w:t xml:space="preserve"> </w:t>
      </w:r>
      <w:hyperlink r:id="rId106">
        <w:r>
          <w:rPr>
            <w:rStyle w:val="Hyperlink"/>
          </w:rPr>
          <w:t xml:space="preserve">Peixes de riachos da mata atlântica nas unidades de conservação do vale do rio ribeira de iguape no estado de são paulo</w:t>
        </w:r>
      </w:hyperlink>
      <w:r>
        <w:t xml:space="preserve">. Neotropical Ichthyology 4:377–377.</w:t>
      </w:r>
    </w:p>
    <w:bookmarkEnd w:id="107"/>
    <w:bookmarkStart w:id="109" w:name="ref-maltchik2006"/>
    <w:p>
      <w:pPr>
        <w:pStyle w:val="Bibliography"/>
      </w:pPr>
      <w:r>
        <w:t xml:space="preserve">Maltchik, L., and E. S. F. Medeiros. 2006.</w:t>
      </w:r>
      <w:r>
        <w:t xml:space="preserve"> </w:t>
      </w:r>
      <w:hyperlink r:id="rId108">
        <w:r>
          <w:rPr>
            <w:rStyle w:val="Hyperlink"/>
          </w:rPr>
          <w:t xml:space="preserve">Conservation importance of semi</w:t>
        </w:r>
        <w:r>
          <w:rPr>
            <w:rStyle w:val="Hyperlink"/>
          </w:rPr>
          <w:t xml:space="preserve">-</w:t>
        </w:r>
        <w:r>
          <w:rPr>
            <w:rStyle w:val="Hyperlink"/>
          </w:rPr>
          <w:t xml:space="preserve">arid streams in north</w:t>
        </w:r>
        <w:r>
          <w:rPr>
            <w:rStyle w:val="Hyperlink"/>
          </w:rPr>
          <w:t xml:space="preserve">-</w:t>
        </w:r>
        <w:r>
          <w:rPr>
            <w:rStyle w:val="Hyperlink"/>
          </w:rPr>
          <w:t xml:space="preserve">eastern brazil: Implications of hydrological disturbance and species diversity</w:t>
        </w:r>
      </w:hyperlink>
      <w:r>
        <w:t xml:space="preserve">. Aquatic Conservation: Marine and Freshwater Ecosystems 16:665–677.</w:t>
      </w:r>
    </w:p>
    <w:bookmarkEnd w:id="109"/>
    <w:bookmarkStart w:id="111" w:name="ref-marcelino2025"/>
    <w:p>
      <w:pPr>
        <w:pStyle w:val="Bibliography"/>
      </w:pPr>
      <w:r>
        <w:t xml:space="preserve">Marcelino, C. N., L. F. Brandão, C. D. M. Correia, A. C. Ferreira, D. K. Petsch, and J. L. Portinho. 2025.</w:t>
      </w:r>
      <w:r>
        <w:t xml:space="preserve"> </w:t>
      </w:r>
      <w:hyperlink r:id="rId110">
        <w:r>
          <w:rPr>
            <w:rStyle w:val="Hyperlink"/>
          </w:rPr>
          <w:t xml:space="preserve">Quantification and analysis of emerging threats studies on freshwater zooplankton (copepoda, cladocera and rotifera) in brazil from 2014 to 2023</w:t>
        </w:r>
      </w:hyperlink>
      <w:r>
        <w:t xml:space="preserve">. Acta Limnologica Brasiliensia 37:e30.</w:t>
      </w:r>
    </w:p>
    <w:bookmarkEnd w:id="111"/>
    <w:bookmarkStart w:id="112" w:name="ref-mccune2002"/>
    <w:p>
      <w:pPr>
        <w:pStyle w:val="Bibliography"/>
      </w:pPr>
      <w:r>
        <w:t xml:space="preserve">McCune, B., and J. B. Grace. 2002. Analysis of ecological communities. MjM Software Design, Gleneden Beach, Oregon, U.S.A.</w:t>
      </w:r>
    </w:p>
    <w:bookmarkEnd w:id="112"/>
    <w:bookmarkStart w:id="113" w:name="ref-medeiros2008"/>
    <w:p>
      <w:pPr>
        <w:pStyle w:val="Bibliography"/>
      </w:pPr>
      <w:r>
        <w:t xml:space="preserve">Medeiros, E. S. F., M. J. Silva, and R. T. C. Ramos. 2008. Application of catchment- and local-scale variables for aquatic habitat characterization and assessment in the brazilian semi-arid region. Neotropical Biology and Conservation 3:13–20.</w:t>
      </w:r>
    </w:p>
    <w:bookmarkEnd w:id="113"/>
    <w:bookmarkStart w:id="115" w:name="ref-mehla2026"/>
    <w:p>
      <w:pPr>
        <w:pStyle w:val="Bibliography"/>
      </w:pPr>
      <w:r>
        <w:t xml:space="preserve">Mehla, M. K., J. Jeong, G. Cho, J. E. Wolfe, and E. Kan. 2026.</w:t>
      </w:r>
      <w:r>
        <w:t xml:space="preserve"> </w:t>
      </w:r>
      <w:hyperlink r:id="rId114">
        <w:r>
          <w:rPr>
            <w:rStyle w:val="Hyperlink"/>
          </w:rPr>
          <w:t xml:space="preserve">How agricultural field management modulates downstream transport of antibiotics, bacteria and nutrients in runoff water using edge-of-field monitoring</w:t>
        </w:r>
      </w:hyperlink>
      <w:r>
        <w:t xml:space="preserve">. Water Research 307:126704.</w:t>
      </w:r>
    </w:p>
    <w:bookmarkEnd w:id="115"/>
    <w:bookmarkStart w:id="117" w:name="ref-melo2014"/>
    <w:p>
      <w:pPr>
        <w:pStyle w:val="Bibliography"/>
      </w:pPr>
      <w:r>
        <w:t xml:space="preserve">Melo, T. X. de. 2014, March 31.</w:t>
      </w:r>
      <w:r>
        <w:t xml:space="preserve"> </w:t>
      </w:r>
      <w:hyperlink r:id="rId116">
        <w:r>
          <w:rPr>
            <w:rStyle w:val="Hyperlink"/>
          </w:rPr>
          <w:t xml:space="preserve">Preditores ambientais do zooplâncton em poças temporárias de um rio intermitente</w:t>
        </w:r>
      </w:hyperlink>
      <w:r>
        <w:t xml:space="preserve">. PhD thesis, João Pessoa - PB.</w:t>
      </w:r>
    </w:p>
    <w:bookmarkEnd w:id="117"/>
    <w:bookmarkStart w:id="119" w:name="ref-melo2013"/>
    <w:p>
      <w:pPr>
        <w:pStyle w:val="Bibliography"/>
      </w:pPr>
      <w:r>
        <w:t xml:space="preserve">Melo, T. X., and E. S. F. Medeiros. 2013.</w:t>
      </w:r>
      <w:r>
        <w:t xml:space="preserve"> </w:t>
      </w:r>
      <w:hyperlink r:id="rId118">
        <w:r>
          <w:rPr>
            <w:rStyle w:val="Hyperlink"/>
          </w:rPr>
          <w:t xml:space="preserve">Spatial distribution of zooplankton diversity across temporary pools in a semiarid intermittent river</w:t>
        </w:r>
      </w:hyperlink>
      <w:r>
        <w:t xml:space="preserve">. International Journal of Biodiversity 2013:1–13.</w:t>
      </w:r>
    </w:p>
    <w:bookmarkEnd w:id="119"/>
    <w:bookmarkStart w:id="121" w:name="ref-meyer2007"/>
    <w:p>
      <w:pPr>
        <w:pStyle w:val="Bibliography"/>
      </w:pPr>
      <w:r>
        <w:t xml:space="preserve">Meyer, J. L., D. L. Strayer, J. B. Wallace, S. L. Eggert, G. S. Helfman, and N. E. Leonard. 2007.</w:t>
      </w:r>
      <w:r>
        <w:t xml:space="preserve"> </w:t>
      </w:r>
      <w:hyperlink r:id="rId120">
        <w:r>
          <w:rPr>
            <w:rStyle w:val="Hyperlink"/>
          </w:rPr>
          <w:t xml:space="preserve">The contribution of headwater streams to biodiversity in river networks</w:t>
        </w:r>
      </w:hyperlink>
      <w:r>
        <w:t xml:space="preserve">. Journal of the American Water Resources Association 43:86–103.</w:t>
      </w:r>
    </w:p>
    <w:bookmarkEnd w:id="121"/>
    <w:bookmarkStart w:id="123" w:name="ref-mma2003"/>
    <w:p>
      <w:pPr>
        <w:pStyle w:val="Bibliography"/>
      </w:pPr>
      <w:r>
        <w:t xml:space="preserve">MMA. 2003.</w:t>
      </w:r>
      <w:r>
        <w:t xml:space="preserve"> </w:t>
      </w:r>
      <w:hyperlink r:id="rId122">
        <w:r>
          <w:rPr>
            <w:rStyle w:val="Hyperlink"/>
          </w:rPr>
          <w:t xml:space="preserve">Plano de manejo reserva biológica guaribas. Fase 2.</w:t>
        </w:r>
      </w:hyperlink>
    </w:p>
    <w:bookmarkEnd w:id="123"/>
    <w:bookmarkStart w:id="125" w:name="ref-mma2026"/>
    <w:p>
      <w:pPr>
        <w:pStyle w:val="Bibliography"/>
      </w:pPr>
      <w:r>
        <w:t xml:space="preserve">MMA. 2026.</w:t>
      </w:r>
      <w:r>
        <w:t xml:space="preserve"> </w:t>
      </w:r>
      <w:hyperlink r:id="rId124">
        <w:r>
          <w:rPr>
            <w:rStyle w:val="Hyperlink"/>
          </w:rPr>
          <w:t xml:space="preserve">Plano de manejo integrado do fogo 2026-2030. Reserva biológica guaribas</w:t>
        </w:r>
      </w:hyperlink>
      <w:r>
        <w:t xml:space="preserve">. Page 56. Mamanguape, PB.</w:t>
      </w:r>
    </w:p>
    <w:bookmarkEnd w:id="125"/>
    <w:bookmarkStart w:id="127" w:name="ref-mugodo2006"/>
    <w:p>
      <w:pPr>
        <w:pStyle w:val="Bibliography"/>
      </w:pPr>
      <w:r>
        <w:t xml:space="preserve">Mugodo, J., M. J. Kennard, P. Liston, S. Nichols, S. Linke, R. H. Norris, and M. Lintermans. 2006.</w:t>
      </w:r>
      <w:r>
        <w:t xml:space="preserve"> </w:t>
      </w:r>
      <w:hyperlink r:id="rId126">
        <w:r>
          <w:rPr>
            <w:rStyle w:val="Hyperlink"/>
          </w:rPr>
          <w:t xml:space="preserve">Local stream habitat variables predicted from catchment scale characteristics are useful for predicting fish distribution</w:t>
        </w:r>
      </w:hyperlink>
      <w:r>
        <w:t xml:space="preserve">. Hydrobiologia 572:59–70.</w:t>
      </w:r>
    </w:p>
    <w:bookmarkEnd w:id="127"/>
    <w:bookmarkStart w:id="129" w:name="ref-myers2000"/>
    <w:p>
      <w:pPr>
        <w:pStyle w:val="Bibliography"/>
      </w:pPr>
      <w:r>
        <w:t xml:space="preserve">Myers, N., R. A. Mittermeier, C. G. Mittermeier, G. A. B. Fonseca, and J. Kent. 2000.</w:t>
      </w:r>
      <w:r>
        <w:t xml:space="preserve"> </w:t>
      </w:r>
      <w:hyperlink r:id="rId128">
        <w:r>
          <w:rPr>
            <w:rStyle w:val="Hyperlink"/>
          </w:rPr>
          <w:t xml:space="preserve">Biodiversity hotspots for conservation priorities</w:t>
        </w:r>
      </w:hyperlink>
      <w:r>
        <w:t xml:space="preserve">. Nature 403:853–858.</w:t>
      </w:r>
    </w:p>
    <w:bookmarkEnd w:id="129"/>
    <w:bookmarkStart w:id="131" w:name="ref-oksanen2020"/>
    <w:p>
      <w:pPr>
        <w:pStyle w:val="Bibliography"/>
      </w:pPr>
      <w:r>
        <w:t xml:space="preserve">Oksanen, J., F. G. Blanchet, M. Friendly, R. Kindt, P. Legendre, D. McGlinn, P. R. Minchin, R. B. O’Hara, G. L. Simpson, P. Solymos, M. H. H. Stevens, E. Szoecs, and H. Wagner. 2020.</w:t>
      </w:r>
      <w:r>
        <w:t xml:space="preserve"> </w:t>
      </w:r>
      <w:hyperlink r:id="rId130">
        <w:r>
          <w:rPr>
            <w:rStyle w:val="Hyperlink"/>
          </w:rPr>
          <w:t xml:space="preserve">Vegan: Community ecology package. R package version 2.5-7</w:t>
        </w:r>
      </w:hyperlink>
      <w:r>
        <w:t xml:space="preserve">. The Comprehensive R Archive Network Archive.</w:t>
      </w:r>
    </w:p>
    <w:bookmarkEnd w:id="131"/>
    <w:bookmarkStart w:id="133" w:name="ref-peel2007"/>
    <w:p>
      <w:pPr>
        <w:pStyle w:val="Bibliography"/>
      </w:pPr>
      <w:r>
        <w:t xml:space="preserve">Peel, M. C., B. L. Finlayson, and T. A. McMahon. 2007.</w:t>
      </w:r>
      <w:r>
        <w:t xml:space="preserve"> </w:t>
      </w:r>
      <w:hyperlink r:id="rId132">
        <w:r>
          <w:rPr>
            <w:rStyle w:val="Hyperlink"/>
          </w:rPr>
          <w:t xml:space="preserve">Updated world map of the köppen-geiger climate classification</w:t>
        </w:r>
      </w:hyperlink>
      <w:r>
        <w:t xml:space="preserve">. Hydrology and Earth System Sciences 11:1633–1644.</w:t>
      </w:r>
    </w:p>
    <w:bookmarkEnd w:id="133"/>
    <w:bookmarkStart w:id="135" w:name="ref-pereira2026"/>
    <w:p>
      <w:pPr>
        <w:pStyle w:val="Bibliography"/>
      </w:pPr>
      <w:r>
        <w:t xml:space="preserve">Pereira, K. M. G., N. G. Cordeiro, L. P. Z. L. Suzuki, and E. van den Berg. 2026.</w:t>
      </w:r>
      <w:r>
        <w:t xml:space="preserve"> </w:t>
      </w:r>
      <w:hyperlink r:id="rId134">
        <w:r>
          <w:rPr>
            <w:rStyle w:val="Hyperlink"/>
          </w:rPr>
          <w:t xml:space="preserve">How important are small fragments for restoration in the central portion of the atlantic forest?</w:t>
        </w:r>
      </w:hyperlink>
      <w:r>
        <w:t xml:space="preserve"> Biological Conservation 321:Article 111958.</w:t>
      </w:r>
    </w:p>
    <w:bookmarkEnd w:id="135"/>
    <w:bookmarkStart w:id="136" w:name="ref-pusey2004"/>
    <w:p>
      <w:pPr>
        <w:pStyle w:val="Bibliography"/>
      </w:pPr>
      <w:r>
        <w:t xml:space="preserve">Pusey, B. J., M. J. Kennard, and A. H. Arthington. 2004. Freshwater fishes of north-eastern australia. CSIRO Publishing, Melbourne, Australia.</w:t>
      </w:r>
    </w:p>
    <w:bookmarkEnd w:id="136"/>
    <w:bookmarkStart w:id="138" w:name="ref-rdevelopmentcoreteam2017"/>
    <w:p>
      <w:pPr>
        <w:pStyle w:val="Bibliography"/>
      </w:pPr>
      <w:r>
        <w:t xml:space="preserve">R Development Core Team. 2017.</w:t>
      </w:r>
      <w:r>
        <w:t xml:space="preserve"> </w:t>
      </w:r>
      <w:hyperlink r:id="rId137">
        <w:r>
          <w:rPr>
            <w:rStyle w:val="Hyperlink"/>
          </w:rPr>
          <w:t xml:space="preserve">R: A language and environment for statistical computing</w:t>
        </w:r>
      </w:hyperlink>
      <w:r>
        <w:t xml:space="preserve">. R Foundation for Statistical Computing, Austria.</w:t>
      </w:r>
    </w:p>
    <w:bookmarkEnd w:id="138"/>
    <w:bookmarkStart w:id="140" w:name="ref-rocha2012"/>
    <w:p>
      <w:pPr>
        <w:pStyle w:val="Bibliography"/>
      </w:pPr>
      <w:r>
        <w:t xml:space="preserve">Rocha, L. G., E. S. F. Medeiros, and H. T. A. Andrade. 2012.</w:t>
      </w:r>
      <w:r>
        <w:t xml:space="preserve"> </w:t>
      </w:r>
      <w:hyperlink r:id="rId139">
        <w:r>
          <w:rPr>
            <w:rStyle w:val="Hyperlink"/>
          </w:rPr>
          <w:t xml:space="preserve">Influence of flow variability on macroinvertebrate assemblages in an intermittent stream of semi-arid brazil</w:t>
        </w:r>
      </w:hyperlink>
      <w:r>
        <w:t xml:space="preserve">. Journal of Arid Environments 85:33–40.</w:t>
      </w:r>
    </w:p>
    <w:bookmarkEnd w:id="140"/>
    <w:bookmarkStart w:id="142" w:name="ref-romanelli2022"/>
    <w:p>
      <w:pPr>
        <w:pStyle w:val="Bibliography"/>
      </w:pPr>
      <w:r>
        <w:t xml:space="preserve">Romanelli, J. P., P. Meli, J. P. B. Santos, I. N. Jacob, L. R. Souza, A. V. Rodrigues, D. P. Trevisan, C. Huang, D. R. A. Almeida, L. G. M. Silva, M. L. R. C. Lopes Assad, M. W. Cadotte, and R. R. Rodrigues. 2022.</w:t>
      </w:r>
      <w:r>
        <w:t xml:space="preserve"> </w:t>
      </w:r>
      <w:hyperlink r:id="rId141">
        <w:r>
          <w:rPr>
            <w:rStyle w:val="Hyperlink"/>
          </w:rPr>
          <w:t xml:space="preserve">Biodiversity responses to restoration across the brazilian atlantic forest</w:t>
        </w:r>
      </w:hyperlink>
      <w:r>
        <w:t xml:space="preserve">. Science of The Total Environment 821:153403.</w:t>
      </w:r>
    </w:p>
    <w:bookmarkEnd w:id="142"/>
    <w:bookmarkStart w:id="144" w:name="ref-safar2020"/>
    <w:p>
      <w:pPr>
        <w:pStyle w:val="Bibliography"/>
      </w:pPr>
      <w:r>
        <w:t xml:space="preserve">Safar, N. V. H., L. F. S. Magnago, and C. E. G. R. Schaefer. 2020.</w:t>
      </w:r>
      <w:r>
        <w:t xml:space="preserve"> </w:t>
      </w:r>
      <w:hyperlink r:id="rId143">
        <w:r>
          <w:rPr>
            <w:rStyle w:val="Hyperlink"/>
          </w:rPr>
          <w:t xml:space="preserve">Resilience of lowland atlantic forests in a highly fragmented landscape: Insights on the temporal scale of landscape restoration</w:t>
        </w:r>
      </w:hyperlink>
      <w:r>
        <w:t xml:space="preserve">. Forest Ecology and Management 470-471:118183.</w:t>
      </w:r>
    </w:p>
    <w:bookmarkEnd w:id="144"/>
    <w:bookmarkStart w:id="146" w:name="ref-saraçli2013"/>
    <w:p>
      <w:pPr>
        <w:pStyle w:val="Bibliography"/>
      </w:pPr>
      <w:r>
        <w:t xml:space="preserve">Saraçli, S., N. Doğan, and İ. Doğan. 2013.</w:t>
      </w:r>
      <w:r>
        <w:t xml:space="preserve"> </w:t>
      </w:r>
      <w:hyperlink r:id="rId145">
        <w:r>
          <w:rPr>
            <w:rStyle w:val="Hyperlink"/>
          </w:rPr>
          <w:t xml:space="preserve">Comparison of hierarchical cluster analysis methods by cophenetic correlation</w:t>
        </w:r>
      </w:hyperlink>
      <w:r>
        <w:t xml:space="preserve">. Journal of Inequalities and Applications 2013:203.</w:t>
      </w:r>
    </w:p>
    <w:bookmarkEnd w:id="146"/>
    <w:bookmarkStart w:id="148" w:name="ref-shell2018"/>
    <w:p>
      <w:pPr>
        <w:pStyle w:val="Bibliography"/>
      </w:pPr>
      <w:r>
        <w:t xml:space="preserve">Shell, T. M., and K. J. Collier. 2018.</w:t>
      </w:r>
      <w:r>
        <w:t xml:space="preserve"> </w:t>
      </w:r>
      <w:hyperlink r:id="rId147">
        <w:r>
          <w:rPr>
            <w:rStyle w:val="Hyperlink"/>
          </w:rPr>
          <w:t xml:space="preserve">Partitioning of macroinvertebrate communities in a large new zealand river highlights the role of multiple shore</w:t>
        </w:r>
        <w:r>
          <w:rPr>
            <w:rStyle w:val="Hyperlink"/>
          </w:rPr>
          <w:t xml:space="preserve">-</w:t>
        </w:r>
        <w:r>
          <w:rPr>
            <w:rStyle w:val="Hyperlink"/>
          </w:rPr>
          <w:t xml:space="preserve">zone habitat types</w:t>
        </w:r>
      </w:hyperlink>
      <w:r>
        <w:t xml:space="preserve">. River Research and Applications 34:993–1002.</w:t>
      </w:r>
    </w:p>
    <w:bookmarkEnd w:id="148"/>
    <w:bookmarkStart w:id="149" w:name="ref-silva2003"/>
    <w:p>
      <w:pPr>
        <w:pStyle w:val="Bibliography"/>
      </w:pPr>
      <w:r>
        <w:t xml:space="preserve">Silva, J. M. C., and C. H. M. Casteleti. 2003. Status of the biodiversity of the atlantic forest of brazil. Pages 43–59</w:t>
      </w:r>
      <w:r>
        <w:t xml:space="preserve"> </w:t>
      </w:r>
      <w:r>
        <w:rPr>
          <w:i/>
          <w:iCs/>
        </w:rPr>
        <w:t xml:space="preserve">in</w:t>
      </w:r>
      <w:r>
        <w:t xml:space="preserve"> </w:t>
      </w:r>
      <w:r>
        <w:t xml:space="preserve">C. Galindo-Leal and I. G. Câmara, editors. CABS; Island Press, Washington, DC.</w:t>
      </w:r>
    </w:p>
    <w:bookmarkEnd w:id="149"/>
    <w:bookmarkStart w:id="151" w:name="ref-silva2013"/>
    <w:p>
      <w:pPr>
        <w:pStyle w:val="Bibliography"/>
      </w:pPr>
      <w:r>
        <w:t xml:space="preserve">Silva, L. T. D. da. 2013, February 26.</w:t>
      </w:r>
      <w:r>
        <w:t xml:space="preserve"> </w:t>
      </w:r>
      <w:hyperlink r:id="rId150">
        <w:r>
          <w:rPr>
            <w:rStyle w:val="Hyperlink"/>
          </w:rPr>
          <w:t xml:space="preserve">Zooplâncton como indicador de estado trófico em reservatórios no semiárido</w:t>
        </w:r>
      </w:hyperlink>
      <w:r>
        <w:t xml:space="preserve">. PhD thesis.</w:t>
      </w:r>
    </w:p>
    <w:bookmarkEnd w:id="151"/>
    <w:bookmarkStart w:id="152" w:name="ref-sneath1973"/>
    <w:p>
      <w:pPr>
        <w:pStyle w:val="Bibliography"/>
      </w:pPr>
      <w:r>
        <w:t xml:space="preserve">Sneath, P. H. A., and R. R. Sokal. 1973. Numerical taxonomy: The principles and practice of numerical classification. First edition. W H Freeman &amp; Co.</w:t>
      </w:r>
    </w:p>
    <w:bookmarkEnd w:id="152"/>
    <w:bookmarkStart w:id="154" w:name="ref-sokal1962"/>
    <w:p>
      <w:pPr>
        <w:pStyle w:val="Bibliography"/>
      </w:pPr>
      <w:r>
        <w:t xml:space="preserve">Sokal, R. R., and F. J. Rohlf. 1962.</w:t>
      </w:r>
      <w:r>
        <w:t xml:space="preserve"> </w:t>
      </w:r>
      <w:hyperlink r:id="rId153">
        <w:r>
          <w:rPr>
            <w:rStyle w:val="Hyperlink"/>
          </w:rPr>
          <w:t xml:space="preserve">The comparison of dendrograms by objective methods</w:t>
        </w:r>
      </w:hyperlink>
      <w:r>
        <w:t xml:space="preserve">. Taxon 11:33–40.</w:t>
      </w:r>
    </w:p>
    <w:bookmarkEnd w:id="154"/>
    <w:bookmarkStart w:id="155" w:name="ref-sokal1995"/>
    <w:p>
      <w:pPr>
        <w:pStyle w:val="Bibliography"/>
      </w:pPr>
      <w:r>
        <w:t xml:space="preserve">Sokal, R. R., and F. J. Rohlf. 1995. Biometry: The principles and practice of statistics in biological research. Third edition. W.H. Freeman; Company, New York.</w:t>
      </w:r>
    </w:p>
    <w:bookmarkEnd w:id="155"/>
    <w:bookmarkStart w:id="157" w:name="ref-souza2025"/>
    <w:p>
      <w:pPr>
        <w:pStyle w:val="Bibliography"/>
      </w:pPr>
      <w:r>
        <w:t xml:space="preserve">Souza, M. E. T., N. G. Santos, L. J. Chiarelli, and M. S. M. C. Noll. 2025.</w:t>
      </w:r>
      <w:r>
        <w:t xml:space="preserve"> </w:t>
      </w:r>
      <w:hyperlink r:id="rId156">
        <w:r>
          <w:rPr>
            <w:rStyle w:val="Hyperlink"/>
          </w:rPr>
          <w:t xml:space="preserve">Seasonal variation of the zooplankton communities</w:t>
        </w:r>
        <w:r>
          <w:rPr>
            <w:rStyle w:val="Hyperlink"/>
          </w:rPr>
          <w:t xml:space="preserve">’</w:t>
        </w:r>
        <w:r>
          <w:rPr>
            <w:rStyle w:val="Hyperlink"/>
          </w:rPr>
          <w:t xml:space="preserve"> </w:t>
        </w:r>
        <w:r>
          <w:rPr>
            <w:rStyle w:val="Hyperlink"/>
          </w:rPr>
          <w:t xml:space="preserve">diversity in ponds of the atlantic forest</w:t>
        </w:r>
      </w:hyperlink>
      <w:r>
        <w:t xml:space="preserve">. Acta Limnologica Brasiliensia 37:e105.</w:t>
      </w:r>
    </w:p>
    <w:bookmarkEnd w:id="157"/>
    <w:bookmarkStart w:id="159" w:name="ref-strahler1957"/>
    <w:p>
      <w:pPr>
        <w:pStyle w:val="Bibliography"/>
      </w:pPr>
      <w:r>
        <w:t xml:space="preserve">Strahler, A. N. 1957.</w:t>
      </w:r>
      <w:r>
        <w:t xml:space="preserve"> </w:t>
      </w:r>
      <w:hyperlink r:id="rId158">
        <w:r>
          <w:rPr>
            <w:rStyle w:val="Hyperlink"/>
          </w:rPr>
          <w:t xml:space="preserve">Quantitative analysis of watershed geomorphology</w:t>
        </w:r>
      </w:hyperlink>
      <w:r>
        <w:t xml:space="preserve">. Eos, Transactions American Geophysical Union 38:913–920.</w:t>
      </w:r>
    </w:p>
    <w:bookmarkEnd w:id="159"/>
    <w:bookmarkStart w:id="161" w:name="ref-tabarelli2010"/>
    <w:p>
      <w:pPr>
        <w:pStyle w:val="Bibliography"/>
      </w:pPr>
      <w:r>
        <w:t xml:space="preserve">Tabarelli, M., A. V. Aguiar, M. C. Ribeiro, J. P. Metzger, and C. A. Peres. 2010.</w:t>
      </w:r>
      <w:r>
        <w:t xml:space="preserve"> </w:t>
      </w:r>
      <w:hyperlink r:id="rId160">
        <w:r>
          <w:rPr>
            <w:rStyle w:val="Hyperlink"/>
          </w:rPr>
          <w:t xml:space="preserve">Prospects for biodiversity conservation in the atlantic forest: Lessons from aging human-modified landscapes</w:t>
        </w:r>
      </w:hyperlink>
      <w:r>
        <w:t xml:space="preserve">. Biological Conservation 143:2328–2340.</w:t>
      </w:r>
    </w:p>
    <w:bookmarkEnd w:id="161"/>
    <w:bookmarkStart w:id="163" w:name="ref-tuomisto2010"/>
    <w:p>
      <w:pPr>
        <w:pStyle w:val="Bibliography"/>
      </w:pPr>
      <w:r>
        <w:t xml:space="preserve">Tuomisto, H. 2010.</w:t>
      </w:r>
      <w:r>
        <w:t xml:space="preserve"> </w:t>
      </w:r>
      <w:hyperlink r:id="rId162">
        <w:r>
          <w:rPr>
            <w:rStyle w:val="Hyperlink"/>
          </w:rPr>
          <w:t xml:space="preserve">A diversity of beta diversities: Straightening up a concept gone awry. Part 2. Quantifying beta diversity and related phenomena</w:t>
        </w:r>
      </w:hyperlink>
      <w:r>
        <w:t xml:space="preserve">. Ecography 33:23–45.</w:t>
      </w:r>
    </w:p>
    <w:bookmarkEnd w:id="163"/>
    <w:bookmarkStart w:id="165" w:name="ref-vancine2024"/>
    <w:p>
      <w:pPr>
        <w:pStyle w:val="Bibliography"/>
      </w:pPr>
      <w:r>
        <w:t xml:space="preserve">Vancine, M. H., R. L. Muylaert, B. B. Niebuhr, J. E. D. F. Oshima, V. Tonetti, R. Bernardo, C. De Angelo, M. R. Rosa, C. H. Grohmann, and M. C. Ribeiro. 2024.</w:t>
      </w:r>
      <w:r>
        <w:t xml:space="preserve"> </w:t>
      </w:r>
      <w:hyperlink r:id="rId164">
        <w:r>
          <w:rPr>
            <w:rStyle w:val="Hyperlink"/>
          </w:rPr>
          <w:t xml:space="preserve">The atlantic forest of south america: Spatiotemporal dynamics of the vegetation and implications for conservation</w:t>
        </w:r>
      </w:hyperlink>
      <w:r>
        <w:t xml:space="preserve">. Biological Conservation 291:110499.</w:t>
      </w:r>
    </w:p>
    <w:bookmarkEnd w:id="165"/>
    <w:bookmarkStart w:id="167" w:name="ref-veech2003"/>
    <w:p>
      <w:pPr>
        <w:pStyle w:val="Bibliography"/>
      </w:pPr>
      <w:r>
        <w:t xml:space="preserve">Veech, J. A., T. O. Crist, and K. S. Summerville. 2003.</w:t>
      </w:r>
      <w:r>
        <w:t xml:space="preserve"> </w:t>
      </w:r>
      <w:hyperlink r:id="rId166">
        <w:r>
          <w:rPr>
            <w:rStyle w:val="Hyperlink"/>
          </w:rPr>
          <w:t xml:space="preserve">Intraspecific aggregation decreases local species diversity of arthropods</w:t>
        </w:r>
      </w:hyperlink>
      <w:r>
        <w:t xml:space="preserve">. Ecology 84:3376–3383.</w:t>
      </w:r>
    </w:p>
    <w:bookmarkEnd w:id="167"/>
    <w:bookmarkStart w:id="169" w:name="ref-veech2002"/>
    <w:p>
      <w:pPr>
        <w:pStyle w:val="Bibliography"/>
      </w:pPr>
      <w:r>
        <w:t xml:space="preserve">Veech, J. A., K. S. Summerville, T. O. Crist, and J. C. Gering. 2002.</w:t>
      </w:r>
      <w:r>
        <w:t xml:space="preserve"> </w:t>
      </w:r>
      <w:hyperlink r:id="rId168">
        <w:r>
          <w:rPr>
            <w:rStyle w:val="Hyperlink"/>
          </w:rPr>
          <w:t xml:space="preserve">The additive partitioning of species diversity: Recent revival of an old idea</w:t>
        </w:r>
      </w:hyperlink>
      <w:r>
        <w:t xml:space="preserve">. Oikos 99:3–9.</w:t>
      </w:r>
    </w:p>
    <w:bookmarkEnd w:id="169"/>
    <w:bookmarkStart w:id="171" w:name="ref-ward1998"/>
    <w:p>
      <w:pPr>
        <w:pStyle w:val="Bibliography"/>
      </w:pPr>
      <w:r>
        <w:t xml:space="preserve">Ward, J. V. 1998.</w:t>
      </w:r>
      <w:r>
        <w:t xml:space="preserve"> </w:t>
      </w:r>
      <w:hyperlink r:id="rId170">
        <w:r>
          <w:rPr>
            <w:rStyle w:val="Hyperlink"/>
          </w:rPr>
          <w:t xml:space="preserve">Riverine landscapes: Biodiversity patterns, disturbance regimes, and aquatic conservation</w:t>
        </w:r>
      </w:hyperlink>
      <w:r>
        <w:t xml:space="preserve">. Biological Conservation 83:269–278.</w:t>
      </w:r>
    </w:p>
    <w:bookmarkEnd w:id="171"/>
    <w:bookmarkStart w:id="173" w:name="ref-whittaker1972"/>
    <w:p>
      <w:pPr>
        <w:pStyle w:val="Bibliography"/>
      </w:pPr>
      <w:r>
        <w:t xml:space="preserve">Whittaker, R. H. 1972.</w:t>
      </w:r>
      <w:r>
        <w:t xml:space="preserve"> </w:t>
      </w:r>
      <w:hyperlink r:id="rId172">
        <w:r>
          <w:rPr>
            <w:rStyle w:val="Hyperlink"/>
          </w:rPr>
          <w:t xml:space="preserve">Evolution and measurement of species diversity</w:t>
        </w:r>
      </w:hyperlink>
      <w:r>
        <w:t xml:space="preserve">. TAXON 21:213–251.</w:t>
      </w:r>
    </w:p>
    <w:bookmarkEnd w:id="173"/>
    <w:bookmarkStart w:id="174" w:name="ref-zaú1998"/>
    <w:p>
      <w:pPr>
        <w:pStyle w:val="Bibliography"/>
      </w:pPr>
      <w:r>
        <w:t xml:space="preserve">Zaú, A. S. 1998. Fragmentação da mata atlântica: Aspectos teóricos. Floresta e Ambiente 5:160–170.</w:t>
      </w:r>
    </w:p>
    <w:bookmarkEnd w:id="174"/>
    <w:bookmarkEnd w:id="175"/>
    <w:bookmarkEnd w:id="176"/>
    <w:bookmarkStart w:id="211" w:name="figures-and-tables"/>
    <w:p>
      <w:pPr>
        <w:pStyle w:val="Heading1"/>
      </w:pPr>
      <w:r>
        <w:t xml:space="preserve">Figures and Tables</w:t>
      </w:r>
    </w:p>
    <w:p>
      <w:pPr>
        <w:pStyle w:val="FirstParagraph"/>
      </w:pPr>
      <w:hyperlink w:anchor="fig-mapa">
        <w:r>
          <w:rPr>
            <w:rStyle w:val="Hyperlink"/>
          </w:rPr>
          <w:t xml:space="preserve">Figure 1</w:t>
        </w:r>
      </w:hyperlink>
      <w:r>
        <w:t xml:space="preserve">: Location of sampling sites along the Barro Branco Stream (Mamanguape, PB) (Site 1 06°43’06”S and 35°10’54”W; Site 2 06°42’38”S and 35°10’38”W; Site 3 06°43’06”S and 35°10’54”W; Site 4 06°41’46”S and 35°10’36”W; Site 5 06°40’56”S and 35°10’27”; Site 6 06°40’18”S and 35°10’34”W).</w:t>
      </w:r>
    </w:p>
    <w:p>
      <w:pPr>
        <w:pStyle w:val="TextBody"/>
      </w:pPr>
      <w:hyperlink w:anchor="fig-hab_PCA_rio">
        <w:r>
          <w:rPr>
            <w:rStyle w:val="Hyperlink"/>
          </w:rPr>
          <w:t xml:space="preserve">Figure 2</w:t>
        </w:r>
      </w:hyperlink>
      <w:r>
        <w:t xml:space="preserve">: Principal Component Analysis (PCA) biplot of the sampling units (SUs) and environmental variables in the Barro Branco and Caiana streams during the study period, categorized by stream. Points represent the SUs, whereas vectors represent the environmental variables associated with habitat structure. Ellipses represent 95% confidence regions for the distribution of the groups of points, calculated based on the t-distribution. Only variables that contributed at least 20% to the axes are shown.</w:t>
      </w:r>
    </w:p>
    <w:p>
      <w:pPr>
        <w:pStyle w:val="TextBody"/>
      </w:pPr>
      <w:hyperlink w:anchor="fig-hab_PCA_periodo">
        <w:r>
          <w:rPr>
            <w:rStyle w:val="Hyperlink"/>
          </w:rPr>
          <w:t xml:space="preserve">Figure 3</w:t>
        </w:r>
      </w:hyperlink>
      <w:r>
        <w:t xml:space="preserve">: Principal Component Analysis (PCA) biplot of the sampling units (SUs) and environmental variables in the Barro Branco and Caiana streams during the study period, categorized by season. Points represent the SUs, whereas vectors represent the environmental variables associated with habitat structure. Ellipses represent 95% confidence regions for the distribution of the groups of points, calculated based on the t-distribution. Only variables that contributed at least 20% to the axes are shown.</w:t>
      </w:r>
    </w:p>
    <w:p>
      <w:pPr>
        <w:pStyle w:val="TextBody"/>
      </w:pPr>
      <w:hyperlink w:anchor="fig-rare1">
        <w:r>
          <w:rPr>
            <w:rStyle w:val="Hyperlink"/>
          </w:rPr>
          <w:t xml:space="preserve">Figure 4</w:t>
        </w:r>
      </w:hyperlink>
      <w:r>
        <w:t xml:space="preserve">: Individual-based extrapolation and rarefaction curves for the richness of resting stages of zooplanktonic taxa in each study stream. Shaded areas indicate 95% confidence intervals.</w:t>
      </w:r>
    </w:p>
    <w:p>
      <w:pPr>
        <w:pStyle w:val="TextBody"/>
      </w:pPr>
      <w:hyperlink w:anchor="fig-upgma">
        <w:r>
          <w:rPr>
            <w:rStyle w:val="Hyperlink"/>
          </w:rPr>
          <w:t xml:space="preserve">Figure 5</w:t>
        </w:r>
      </w:hyperlink>
      <w:r>
        <w:t xml:space="preserve">: Classification analysis (UPGMA using Bray-Curtis dissimilarity) of wetland macroinvertebrate samples obtained in a. permanent and b. intermitent wetlands. The first number of the sample label indicates the wetland. The second number indicates the habitat type (1=hydrophytes; 2=reed-like emergent plants; and 3=leafy emergent plants). The third number indicates the individual sweeps realized in each habitat (1–3)UPGMA Hierarchical flexible beta clustering (β = −0.25) based on Bray-Curtis distance of (a) macroinvertebrates and (b) Chironomidae in the Paraíba River during the 2015 wet season. Tag codes indicate different sections of the river: U = upper segment, M = middle segment, and T = Taperoá River segment. R = reaches (1–3), S = sites (1–3), and Hab = habitat types (1–3). Percent chaining &lt;4%.</w:t>
      </w:r>
    </w:p>
    <w:p>
      <w:pPr>
        <w:pStyle w:val="TextBody"/>
      </w:pPr>
      <w:hyperlink w:anchor="fig-particao_cs">
        <w:r>
          <w:rPr>
            <w:rStyle w:val="Hyperlink"/>
          </w:rPr>
          <w:t xml:space="preserve">Figure 6</w:t>
        </w:r>
      </w:hyperlink>
      <w:r>
        <w:t xml:space="preserve">: Observed and expected diversity, partitioned into one alpha and three beta components, expressed as percent of total species richness. Numbers indicate the proportion of randomized samples containing more species than the observed sample for each partition. α1: subsample species richness, β1: beta diversity among sub-samples; β2: beta diversity among pools or habitats within pool, and β3: beta diversity among river reaches.</w:t>
      </w:r>
    </w:p>
    <w:p>
      <w:pPr>
        <w:pStyle w:val="TextBody"/>
      </w:pPr>
      <w:hyperlink w:anchor="fig-particao_rios">
        <w:r>
          <w:rPr>
            <w:rStyle w:val="Hyperlink"/>
          </w:rPr>
          <w:t xml:space="preserve">Figure 7</w:t>
        </w:r>
      </w:hyperlink>
      <w:r>
        <w:t xml:space="preserve">: Observed and expected diversity, partitioned into one alpha and three beta components, expressed as percent of total species richness. Numbers indicate the proportion of randomized samples containing more species than the observed sample for each partition. α1: subsample species richness, β1: beta diversity among sub-samples; β2: beta diversity among pools or habitats within pool, and β3: beta diversity among river reaches.</w:t>
      </w:r>
    </w:p>
    <w:p>
      <w:pPr>
        <w:pStyle w:val="TextBody"/>
      </w:pPr>
      <w:hyperlink w:anchor="tbl-hab_gttable">
        <w:r>
          <w:rPr>
            <w:rStyle w:val="Hyperlink"/>
          </w:rPr>
          <w:t xml:space="preserve">Table 1</w:t>
        </w:r>
      </w:hyperlink>
      <w:r>
        <w:t xml:space="preserve">: Environmental variables averaged for sampling sites (minimum-maximum) for the Barro Branco stream (Mamanguape, PB).</w:t>
      </w:r>
    </w:p>
    <w:p>
      <w:pPr>
        <w:pStyle w:val="TextBody"/>
      </w:pPr>
      <w:hyperlink w:anchor="tbl-nutri_gttable">
        <w:r>
          <w:rPr>
            <w:rStyle w:val="Hyperlink"/>
          </w:rPr>
          <w:t xml:space="preserve">Table 2</w:t>
        </w:r>
      </w:hyperlink>
      <w:r>
        <w:t xml:space="preserve">: Nutrient concentration (μg L⁻¹) averaged for sampling sites (minimum-maximum) for the Barro Branco stream (Mamanguape, PB).</w:t>
      </w:r>
    </w:p>
    <w:p>
      <w:pPr>
        <w:pStyle w:val="TextBody"/>
      </w:pPr>
      <w:hyperlink w:anchor="tbl-checklist_gttable">
        <w:r>
          <w:rPr>
            <w:rStyle w:val="Hyperlink"/>
          </w:rPr>
          <w:t xml:space="preserve">Table 3</w:t>
        </w:r>
      </w:hyperlink>
      <w:r>
        <w:t xml:space="preserve">: List of species and counts of zooplankton collected during the 2024 hydrological cycle.</w:t>
      </w:r>
    </w:p>
    <w:p>
      <w:pPr>
        <w:pStyle w:val="TextBody"/>
      </w:pPr>
      <w:hyperlink w:anchor="tbl-part_gttable">
        <w:r>
          <w:rPr>
            <w:rStyle w:val="Hyperlink"/>
          </w:rPr>
          <w:t xml:space="preserve">Table 4</w:t>
        </w:r>
      </w:hyperlink>
      <w:r>
        <w:t xml:space="preserve">: Additive partitioning of zooplankton species richness (</w:t>
      </w:r>
      <m:oMath>
        <m:r>
          <m:t>γ</m:t>
        </m:r>
      </m:oMath>
      <w:r>
        <w:t xml:space="preserve">-diversity) into hierarchical alpha (</w:t>
      </w:r>
      <m:oMath>
        <m:r>
          <m:t>α</m:t>
        </m:r>
      </m:oMath>
      <w:r>
        <w:t xml:space="preserve">) and beta (</w:t>
      </w:r>
      <m:oMath>
        <m:r>
          <m:t>β</m:t>
        </m:r>
      </m:oMath>
      <w:r>
        <w:t xml:space="preserve">) diversity components across sampling levels (expressed in percentage values). Shown are the observed diversity values, mean diversity values expected under the null model, standardized effect sizes (SES), and statistical significance (</w:t>
      </w:r>
      <w:r>
        <w:rPr>
          <w:i/>
          <w:iCs/>
        </w:rPr>
        <w:t xml:space="preserve">P</w:t>
      </w:r>
      <w:r>
        <w:t xml:space="preserve">-value). Numbers in ‘</w:t>
      </w:r>
      <w:r>
        <w:rPr>
          <w:i/>
          <w:iCs/>
        </w:rPr>
        <w:t xml:space="preserve">P</w:t>
      </w:r>
      <w:r>
        <w:t xml:space="preserve">-value’ column indicate the proportion of randomized samples containing more species than the observed sample for each partition.</w:t>
      </w:r>
      <w:r>
        <w:t xml:space="preserve"> </w:t>
      </w:r>
      <m:oMath>
        <m:sSub>
          <m:e>
            <m:r>
              <m:t>α</m:t>
            </m:r>
          </m:e>
          <m:sub>
            <m:r>
              <m:t>1</m:t>
            </m:r>
          </m:sub>
        </m:sSub>
      </m:oMath>
      <w:r>
        <w:t xml:space="preserve"> </w:t>
      </w:r>
      <w:r>
        <w:t xml:space="preserve">(Habitat): Average species richness per habitat.</w:t>
      </w:r>
      <w:r>
        <w:t xml:space="preserve"> </w:t>
      </w:r>
      <m:oMath>
        <m:sSub>
          <m:e>
            <m:r>
              <m:t>β</m:t>
            </m:r>
          </m:e>
          <m:sub>
            <m:r>
              <m:t>1</m:t>
            </m:r>
          </m:sub>
        </m:sSub>
      </m:oMath>
      <w:r>
        <w:t xml:space="preserve"> </w:t>
      </w:r>
      <w:r>
        <w:t xml:space="preserve">(Habitat): Diversity turnover among habitats within a site.</w:t>
      </w:r>
      <w:r>
        <w:t xml:space="preserve"> </w:t>
      </w:r>
      <m:oMath>
        <m:sSub>
          <m:e>
            <m:r>
              <m:t>β</m:t>
            </m:r>
          </m:e>
          <m:sub>
            <m:r>
              <m:t>2</m:t>
            </m:r>
          </m:sub>
        </m:sSub>
      </m:oMath>
      <w:r>
        <w:t xml:space="preserve"> </w:t>
      </w:r>
      <w:r>
        <w:t xml:space="preserve">(Site): Diversity turnover among sampling sites within a stream.</w:t>
      </w:r>
      <w:r>
        <w:t xml:space="preserve"> </w:t>
      </w:r>
      <m:oMath>
        <m:sSub>
          <m:e>
            <m:r>
              <m:t>β</m:t>
            </m:r>
          </m:e>
          <m:sub>
            <m:r>
              <m:t>3</m:t>
            </m:r>
          </m:sub>
        </m:sSub>
      </m:oMath>
      <w:r>
        <w:t xml:space="preserve"> </w:t>
      </w:r>
      <w:r>
        <w:t xml:space="preserve">(Stream): Diversity turnover between streams.</w:t>
      </w:r>
    </w:p>
    <w:bookmarkStart w:id="205" w:name="figures"/>
    <w:p>
      <w:pPr>
        <w:pStyle w:val="Heading2"/>
      </w:pPr>
      <w:r>
        <w:t xml:space="preserve">Figures</w:t>
      </w:r>
    </w:p>
    <w:p>
      <w:pPr>
        <w:pStyle w:val="FirstParagraph"/>
      </w:pPr>
      <w:hyperlink w:anchor="fig-mapa">
        <w:r>
          <w:rPr>
            <w:rStyle w:val="Hyperlink"/>
          </w:rPr>
          <w:t xml:space="preserve">Figure 1</w:t>
        </w:r>
      </w:hyperlink>
    </w:p>
    <w:tbl>
      <w:tblPr>
        <w:tblStyle w:val="Table"/>
        <w:tblW w:type="pct" w:w="5000"/>
        <w:tblLayout w:type="fixed"/>
        <w:tblLook w:firstRow="0" w:lastRow="0" w:firstColumn="0" w:lastColumn="0" w:noHBand="0" w:noVBand="0" w:val="0000"/>
      </w:tblPr>
      <w:tblGrid>
        <w:gridCol w:w="7920"/>
      </w:tblGrid>
      <w:tr>
        <w:tc>
          <w:tcPr/>
          <w:bookmarkStart w:id="180" w:name="fig-mapa"/>
          <w:p>
            <w:pPr>
              <w:pStyle w:val="Compact"/>
              <w:jc w:val="center"/>
            </w:pPr>
            <w:r>
              <w:drawing>
                <wp:inline>
                  <wp:extent cx="5943600" cy="4202583"/>
                  <wp:effectExtent b="0" l="0" r="0" t="0"/>
                  <wp:docPr descr="" title="" id="178" name="Picture"/>
                  <a:graphic>
                    <a:graphicData uri="http://schemas.openxmlformats.org/drawingml/2006/picture">
                      <pic:pic>
                        <pic:nvPicPr>
                          <pic:cNvPr descr="imagens/Uso%20de%20Solo%20Rebio_en.png" id="179" name="Picture"/>
                          <pic:cNvPicPr>
                            <a:picLocks noChangeArrowheads="1" noChangeAspect="1"/>
                          </pic:cNvPicPr>
                        </pic:nvPicPr>
                        <pic:blipFill>
                          <a:blip r:embed="rId177"/>
                          <a:stretch>
                            <a:fillRect/>
                          </a:stretch>
                        </pic:blipFill>
                        <pic:spPr bwMode="auto">
                          <a:xfrm>
                            <a:off x="0" y="0"/>
                            <a:ext cx="5943600" cy="42025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Study area</w:t>
            </w:r>
          </w:p>
          <w:bookmarkEnd w:id="180"/>
        </w:tc>
      </w:tr>
    </w:tbl>
    <w:p>
      <w:pPr>
        <w:pStyle w:val="TextBody"/>
      </w:pPr>
      <w:hyperlink w:anchor="fig-hab_PCA_rio">
        <w:r>
          <w:rPr>
            <w:rStyle w:val="Hyperlink"/>
          </w:rPr>
          <w:t xml:space="preserve">Figure 2</w:t>
        </w:r>
      </w:hyperlink>
    </w:p>
    <w:tbl>
      <w:tblPr>
        <w:tblStyle w:val="Table"/>
        <w:tblW w:type="pct" w:w="5000"/>
        <w:tblLayout w:type="fixed"/>
        <w:tblLook w:firstRow="0" w:lastRow="0" w:firstColumn="0" w:lastColumn="0" w:noHBand="0" w:noVBand="0" w:val="0000"/>
      </w:tblPr>
      <w:tblGrid>
        <w:gridCol w:w="7920"/>
      </w:tblGrid>
      <w:tr>
        <w:tc>
          <w:tcPr/>
          <w:bookmarkStart w:id="184" w:name="fig-hab_PCA_rio"/>
          <w:p>
            <w:pPr>
              <w:pStyle w:val="Compact"/>
              <w:jc w:val="center"/>
            </w:pPr>
            <w:r>
              <w:drawing>
                <wp:inline>
                  <wp:extent cx="5943600" cy="4953000"/>
                  <wp:effectExtent b="0" l="0" r="0" t="0"/>
                  <wp:docPr descr="" title="" id="182" name="Picture"/>
                  <a:graphic>
                    <a:graphicData uri="http://schemas.openxmlformats.org/drawingml/2006/picture">
                      <pic:pic>
                        <pic:nvPicPr>
                          <pic:cNvPr descr="res/fig-hab_PCA_rio.png" id="183" name="Picture"/>
                          <pic:cNvPicPr>
                            <a:picLocks noChangeArrowheads="1" noChangeAspect="1"/>
                          </pic:cNvPicPr>
                        </pic:nvPicPr>
                        <pic:blipFill>
                          <a:blip r:embed="rId181"/>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Principal Component Analysis, streams</w:t>
            </w:r>
          </w:p>
          <w:bookmarkEnd w:id="184"/>
        </w:tc>
      </w:tr>
    </w:tbl>
    <w:p>
      <w:pPr>
        <w:pStyle w:val="TextBody"/>
      </w:pPr>
      <w:hyperlink w:anchor="fig-hab_PCA_periodo">
        <w:r>
          <w:rPr>
            <w:rStyle w:val="Hyperlink"/>
          </w:rPr>
          <w:t xml:space="preserve">Figure 3</w:t>
        </w:r>
      </w:hyperlink>
    </w:p>
    <w:tbl>
      <w:tblPr>
        <w:tblStyle w:val="Table"/>
        <w:tblW w:type="pct" w:w="5000"/>
        <w:tblLayout w:type="fixed"/>
        <w:tblLook w:firstRow="0" w:lastRow="0" w:firstColumn="0" w:lastColumn="0" w:noHBand="0" w:noVBand="0" w:val="0000"/>
      </w:tblPr>
      <w:tblGrid>
        <w:gridCol w:w="7920"/>
      </w:tblGrid>
      <w:tr>
        <w:tc>
          <w:tcPr/>
          <w:bookmarkStart w:id="188" w:name="fig-hab_PCA_periodo"/>
          <w:p>
            <w:pPr>
              <w:pStyle w:val="Compact"/>
              <w:jc w:val="center"/>
            </w:pPr>
            <w:r>
              <w:drawing>
                <wp:inline>
                  <wp:extent cx="5943600" cy="4953000"/>
                  <wp:effectExtent b="0" l="0" r="0" t="0"/>
                  <wp:docPr descr="" title="" id="186" name="Picture"/>
                  <a:graphic>
                    <a:graphicData uri="http://schemas.openxmlformats.org/drawingml/2006/picture">
                      <pic:pic>
                        <pic:nvPicPr>
                          <pic:cNvPr descr="res/fig-hab_PCA_periodo.png" id="187" name="Picture"/>
                          <pic:cNvPicPr>
                            <a:picLocks noChangeArrowheads="1" noChangeAspect="1"/>
                          </pic:cNvPicPr>
                        </pic:nvPicPr>
                        <pic:blipFill>
                          <a:blip r:embed="rId185"/>
                          <a:stretch>
                            <a:fillRect/>
                          </a:stretch>
                        </pic:blipFill>
                        <pic:spPr bwMode="auto">
                          <a:xfrm>
                            <a:off x="0" y="0"/>
                            <a:ext cx="5943600" cy="495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Principal Component Analysis, seasons</w:t>
            </w:r>
          </w:p>
          <w:bookmarkEnd w:id="188"/>
        </w:tc>
      </w:tr>
    </w:tbl>
    <w:p>
      <w:pPr>
        <w:pStyle w:val="TextBody"/>
      </w:pPr>
      <w:hyperlink w:anchor="fig-rare1">
        <w:r>
          <w:rPr>
            <w:rStyle w:val="Hyperlink"/>
          </w:rPr>
          <w:t xml:space="preserve">Figure 4</w:t>
        </w:r>
      </w:hyperlink>
    </w:p>
    <w:tbl>
      <w:tblPr>
        <w:tblStyle w:val="Table"/>
        <w:tblW w:type="pct" w:w="5000"/>
        <w:tblLayout w:type="fixed"/>
        <w:tblLook w:firstRow="0" w:lastRow="0" w:firstColumn="0" w:lastColumn="0" w:noHBand="0" w:noVBand="0" w:val="0000"/>
      </w:tblPr>
      <w:tblGrid>
        <w:gridCol w:w="7920"/>
      </w:tblGrid>
      <w:tr>
        <w:tc>
          <w:tcPr/>
          <w:bookmarkStart w:id="192" w:name="fig-rare1"/>
          <w:p>
            <w:pPr>
              <w:pStyle w:val="Compact"/>
              <w:jc w:val="center"/>
            </w:pPr>
            <w:r>
              <w:drawing>
                <wp:inline>
                  <wp:extent cx="5943600" cy="4457699"/>
                  <wp:effectExtent b="0" l="0" r="0" t="0"/>
                  <wp:docPr descr="" title="" id="190" name="Picture"/>
                  <a:graphic>
                    <a:graphicData uri="http://schemas.openxmlformats.org/drawingml/2006/picture">
                      <pic:pic>
                        <pic:nvPicPr>
                          <pic:cNvPr descr="res/fig-rare1.png" id="191" name="Picture"/>
                          <pic:cNvPicPr>
                            <a:picLocks noChangeArrowheads="1" noChangeAspect="1"/>
                          </pic:cNvPicPr>
                        </pic:nvPicPr>
                        <pic:blipFill>
                          <a:blip r:embed="rId189"/>
                          <a:stretch>
                            <a:fillRect/>
                          </a:stretch>
                        </pic:blipFill>
                        <pic:spPr bwMode="auto">
                          <a:xfrm>
                            <a:off x="0" y="0"/>
                            <a:ext cx="5943600" cy="4457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Accumulation curves</w:t>
            </w:r>
          </w:p>
          <w:bookmarkEnd w:id="192"/>
        </w:tc>
      </w:tr>
    </w:tbl>
    <w:p>
      <w:pPr>
        <w:pStyle w:val="TextBody"/>
      </w:pPr>
      <w:hyperlink w:anchor="fig-upgma">
        <w:r>
          <w:rPr>
            <w:rStyle w:val="Hyperlink"/>
          </w:rPr>
          <w:t xml:space="preserve">Figure 5</w:t>
        </w:r>
      </w:hyperlink>
    </w:p>
    <w:tbl>
      <w:tblPr>
        <w:tblStyle w:val="Table"/>
        <w:tblW w:type="pct" w:w="5000"/>
        <w:tblLayout w:type="fixed"/>
        <w:tblLook w:firstRow="0" w:lastRow="0" w:firstColumn="0" w:lastColumn="0" w:noHBand="0" w:noVBand="0" w:val="0000"/>
      </w:tblPr>
      <w:tblGrid>
        <w:gridCol w:w="7920"/>
      </w:tblGrid>
      <w:tr>
        <w:tc>
          <w:tcPr/>
          <w:bookmarkStart w:id="196" w:name="fig-upgma"/>
          <w:p>
            <w:pPr>
              <w:pStyle w:val="Compact"/>
              <w:jc w:val="center"/>
            </w:pPr>
            <w:r>
              <w:drawing>
                <wp:inline>
                  <wp:extent cx="5943600" cy="4862945"/>
                  <wp:effectExtent b="0" l="0" r="0" t="0"/>
                  <wp:docPr descr="" title="" id="194" name="Picture"/>
                  <a:graphic>
                    <a:graphicData uri="http://schemas.openxmlformats.org/drawingml/2006/picture">
                      <pic:pic>
                        <pic:nvPicPr>
                          <pic:cNvPr descr="res/fig-upgma.png" id="195" name="Picture"/>
                          <pic:cNvPicPr>
                            <a:picLocks noChangeArrowheads="1" noChangeAspect="1"/>
                          </pic:cNvPicPr>
                        </pic:nvPicPr>
                        <pic:blipFill>
                          <a:blip r:embed="rId193"/>
                          <a:stretch>
                            <a:fillRect/>
                          </a:stretch>
                        </pic:blipFill>
                        <pic:spPr bwMode="auto">
                          <a:xfrm>
                            <a:off x="0" y="0"/>
                            <a:ext cx="5943600" cy="486294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UPGMA Classification</w:t>
            </w:r>
          </w:p>
          <w:bookmarkEnd w:id="196"/>
        </w:tc>
      </w:tr>
    </w:tbl>
    <w:p>
      <w:pPr>
        <w:pStyle w:val="TextBody"/>
      </w:pPr>
      <w:hyperlink w:anchor="fig-particao_cs">
        <w:r>
          <w:rPr>
            <w:rStyle w:val="Hyperlink"/>
          </w:rPr>
          <w:t xml:space="preserve">Figure 6</w:t>
        </w:r>
      </w:hyperlink>
    </w:p>
    <w:tbl>
      <w:tblPr>
        <w:tblStyle w:val="Table"/>
        <w:tblW w:type="pct" w:w="5000"/>
        <w:tblLayout w:type="fixed"/>
        <w:tblLook w:firstRow="0" w:lastRow="0" w:firstColumn="0" w:lastColumn="0" w:noHBand="0" w:noVBand="0" w:val="0000"/>
      </w:tblPr>
      <w:tblGrid>
        <w:gridCol w:w="7920"/>
      </w:tblGrid>
      <w:tr>
        <w:tc>
          <w:tcPr/>
          <w:bookmarkStart w:id="200" w:name="fig-particao_cs"/>
          <w:p>
            <w:pPr>
              <w:pStyle w:val="Compact"/>
              <w:jc w:val="center"/>
            </w:pPr>
            <w:r>
              <w:drawing>
                <wp:inline>
                  <wp:extent cx="3669832" cy="7339665"/>
                  <wp:effectExtent b="0" l="0" r="0" t="0"/>
                  <wp:docPr descr="" title="" id="198" name="Picture"/>
                  <a:graphic>
                    <a:graphicData uri="http://schemas.openxmlformats.org/drawingml/2006/picture">
                      <pic:pic>
                        <pic:nvPicPr>
                          <pic:cNvPr descr="res/fig-painel_pt.cs.png" id="199" name="Picture"/>
                          <pic:cNvPicPr>
                            <a:picLocks noChangeArrowheads="1" noChangeAspect="1"/>
                          </pic:cNvPicPr>
                        </pic:nvPicPr>
                        <pic:blipFill>
                          <a:blip r:embed="rId197"/>
                          <a:stretch>
                            <a:fillRect/>
                          </a:stretch>
                        </pic:blipFill>
                        <pic:spPr bwMode="auto">
                          <a:xfrm>
                            <a:off x="0" y="0"/>
                            <a:ext cx="3669832" cy="7339665"/>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Partitioning plots season</w:t>
            </w:r>
          </w:p>
          <w:bookmarkEnd w:id="200"/>
        </w:tc>
      </w:tr>
    </w:tbl>
    <w:p>
      <w:pPr>
        <w:pStyle w:val="TextBody"/>
      </w:pPr>
      <w:hyperlink w:anchor="fig-particao_rios">
        <w:r>
          <w:rPr>
            <w:rStyle w:val="Hyperlink"/>
          </w:rPr>
          <w:t xml:space="preserve">Figure 7</w:t>
        </w:r>
      </w:hyperlink>
    </w:p>
    <w:tbl>
      <w:tblPr>
        <w:tblStyle w:val="Table"/>
        <w:tblW w:type="pct" w:w="5000"/>
        <w:tblLayout w:type="fixed"/>
        <w:tblLook w:firstRow="0" w:lastRow="0" w:firstColumn="0" w:lastColumn="0" w:noHBand="0" w:noVBand="0" w:val="0000"/>
      </w:tblPr>
      <w:tblGrid>
        <w:gridCol w:w="7920"/>
      </w:tblGrid>
      <w:tr>
        <w:tc>
          <w:tcPr/>
          <w:bookmarkStart w:id="204" w:name="fig-particao_rios"/>
          <w:p>
            <w:pPr>
              <w:pStyle w:val="Compact"/>
              <w:jc w:val="center"/>
            </w:pPr>
            <w:r>
              <w:drawing>
                <wp:inline>
                  <wp:extent cx="5943600" cy="6792685"/>
                  <wp:effectExtent b="0" l="0" r="0" t="0"/>
                  <wp:docPr descr="" title="" id="202" name="Picture"/>
                  <a:graphic>
                    <a:graphicData uri="http://schemas.openxmlformats.org/drawingml/2006/picture">
                      <pic:pic>
                        <pic:nvPicPr>
                          <pic:cNvPr descr="res/fig-painel_pt.rios.png" id="203" name="Picture"/>
                          <pic:cNvPicPr>
                            <a:picLocks noChangeArrowheads="1" noChangeAspect="1"/>
                          </pic:cNvPicPr>
                        </pic:nvPicPr>
                        <pic:blipFill>
                          <a:blip r:embed="rId201"/>
                          <a:stretch>
                            <a:fillRect/>
                          </a:stretch>
                        </pic:blipFill>
                        <pic:spPr bwMode="auto">
                          <a:xfrm>
                            <a:off x="0" y="0"/>
                            <a:ext cx="5943600" cy="679268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Partitioning plots stream</w:t>
            </w:r>
          </w:p>
          <w:bookmarkEnd w:id="204"/>
        </w:tc>
      </w:tr>
    </w:tbl>
    <w:bookmarkEnd w:id="205"/>
    <w:bookmarkStart w:id="210" w:name="tables"/>
    <w:p>
      <w:pPr>
        <w:pStyle w:val="Heading2"/>
      </w:pPr>
      <w:r>
        <w:t xml:space="preserve">Tables</w:t>
      </w:r>
    </w:p>
    <w:p>
      <w:pPr>
        <w:pStyle w:val="FirstParagraph"/>
      </w:pPr>
      <w:hyperlink w:anchor="tbl-hab_gttable">
        <w:r>
          <w:rPr>
            <w:rStyle w:val="Hyperlink"/>
          </w:rPr>
          <w:t xml:space="preserve">Table 1</w:t>
        </w:r>
      </w:hyperlink>
    </w:p>
    <w:tbl>
      <w:tblPr>
        <w:tblStyle w:val="Table"/>
        <w:tblW w:type="pct" w:w="5000"/>
        <w:tblLayout w:type="fixed"/>
        <w:tblLook w:firstRow="0" w:lastRow="0" w:firstColumn="0" w:lastColumn="0" w:noHBand="0" w:noVBand="0" w:val="0000"/>
      </w:tblPr>
      <w:tblGrid>
        <w:gridCol w:w="7920"/>
      </w:tblGrid>
      <w:tr>
        <w:tc>
          <w:tcPr/>
          <w:bookmarkStart w:id="206" w:name="tbl-hab_gttable"/>
          <w:p>
            <w:pPr>
              <w:jc w:val="center"/>
            </w:pPr>
            <w:pPr>
              <w:jc w:val="left"/>
              <w:spacing w:before="200"/>
              <w:pStyle w:val="ImageCaption"/>
            </w:pPr>
            <w:r>
              <w:t xml:space="preserve">Table 1: Environment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Barro Branco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Caiana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Physicochemical variables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Temperature (°C)*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(24.9-27.3)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 (25.3-27.5)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(24.9-25.5)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(27-28.5)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(26.6-27.3)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26.3 (26.2-26.5)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26.9 (26.5-27.4)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(27-27.2)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(27.5-28)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29.1 (29-29.3)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32.5 (31.4-33.4)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(28-29.1)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28.7 (28.5-28.9)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 (28.5-28.6)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28.2 (28.1-28.2)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Dissolved oxygen (mg/L)*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(7.8-8.5)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(7.2-7.8)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(6.5-8.4)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 (7.8-7.9)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(4.9-6.1)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7.7 (6.8-8.1)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 (6.6-7.5)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(5.1-6.8)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 (5-5.4)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(6.1-7.8)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(6.2-7.7)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(5.2-7.7)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velocity (m/s)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0.073 (0.025-0.161)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0.086 (0.035-0.24)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0.135 (0.022-0.207)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0.036 (0-0.115)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0.261 (0.172-0.348)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0.04 (0-0.119)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0.271 (0.055-0.588)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0.254 (0.021-0.423)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0.296 (0.047-0.461)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0.195 (0.09-0.302)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0.272 (0.084-0.508)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0.118 (0.054-0.182)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 (0.33-0.557)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0.220 (0.115-0.37)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Conductivity (µS/cm)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(119.2-164.4)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(134.1-156.8)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137.5 (98.3-160.2)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154.2 (141.6-161.8)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148.2 (120.8-165.5)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140.7 (105-157.9)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 (85.2-129.8)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98.8 (78.3-122.4)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139.4 (92.2-184.2)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223 (172.5-250.8)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153.5 (109.3-212.5)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123.4 (110.9-130.6)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121.1 (100.8-136.6)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130.9 (123.7-139.7)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134.2 (125.6-139.6)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Turbidity (NTU)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(2-10.7)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(2.1-14.1)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(1.5-9.2)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15.1 (11-17.7)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(10-34.8)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79.2 (2-346)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27.8 (7-44)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(6-21)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(11.9-61)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30.1 (9.3-64)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(4.3-14)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 (8-14.2)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(4.7-7.5)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 (4.6-7.7)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 (4.5-6)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(5.3-6.6)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(5.3-7.3)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(5.3-6.4)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(5.5-6.2)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 (6-6.5)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(6-6.6)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(6.2-6.9)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(6.3-6.6)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(6-6.8)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(6.4-7)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(6.7-7.4)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Morphology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Elevation (m a.s.l.)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107.1 (107.1-107.1)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112.8 (112.8-112.8)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(89-89)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89.1 (89.1-89.1)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71 (71-71)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(41.5-41.5)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 (80-80)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(87-87)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86 (86-86)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(76-76)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47 (47-47)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(54-54)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(49-49)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Slope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 (1-3.5)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(2-3.5)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Average depth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12.8 (9-14)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(16.3-31.7)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23.8 (16-41)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43.3 (28.3-51.3)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 (15-29)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35.2 (25.3-40.7)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13.2 (5.3-22.7)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 (10.3-36.3)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(10.7-40.7)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 (10.7-26)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 (27-50.3)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(25-98.7)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49.9 (18-65)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46.2 (34.7-64)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72.4 (43-110)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Margin depth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11.8 (3-16)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48.3 (16-87)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33.5 (17-52)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10.7 (6-15)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(11-38)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(10-15)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13.7 (8-23)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20.3 (12-33)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(9-50)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 (28-57)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(20-94)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Maximum depth (cm)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(13-17)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32.7 (27-40)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(20-47)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50.8 (35-60)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26.2 (20-34)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37.2 (20-47)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(6-36)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36.5 (13-53)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25.2 (17-45)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21.5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 (110-200)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(50-110)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73.5 (28-93)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55.8 (36-79)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85.8 (55-110)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Width (m)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(3.6-14.1)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(0.7-9.2)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(1.1-3.2)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(2-16)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 (4.9-10.2)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 (0.9-3.7)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(0.6-1.3)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(8.5-26.5)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 (3.4-5.8)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19.5 (5.3-34.6)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 (1.4-3.3)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(2.3-5.3)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Substrate composition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 (100-100)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74.2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(5-80)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36.7 (10-100)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 (90-90)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 (90-100)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66.7 (5-100)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(20-95)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(10-10)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38.3 (10-90)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91.7 (70-100)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90.8 (80-100)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(0-100)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 (0-95)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98.3 (95-100)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Gravel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Rocks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Habitat structures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Aquatic macrophytes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17.9 (0-60)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(0-50)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Algae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 (0-1)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Submerged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Overhanging vegetation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68.3 (40-90)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76.7 (60-90)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31.7 (25-50)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 (60-80)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83.3 (75-90)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(30-80)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65.8 (50-85)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 (40-70)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33.3 (0-70)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(50-70)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61.7 (40-80)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Littoral grass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27.1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39.2 (15-50)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Leaf litter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 (1-25)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15.8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Root masses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12.5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42.5 (5-90)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 (0-25)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10.8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 (5-15)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(10-15)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Wood debris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 (20-45)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12.7 (5-20)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 (5-30)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21.7 (5-35)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 (1-40)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 (0-20)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22.2 (8-40)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23.3 (10-30)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(10-40)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25.8 (0-45)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 (0-35)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 (0-15)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(5-25)</w:t>
                  </w:r>
                </w:p>
              </w:tc>
            </w:tr>
          </w:tbl>
          <w:bookmarkEnd w:id="206"/>
        </w:tc>
      </w:tr>
    </w:tbl>
    <w:p>
      <w:pPr>
        <w:pStyle w:val="TextBody"/>
      </w:pPr>
      <w:hyperlink w:anchor="tbl-nutri_gttable">
        <w:r>
          <w:rPr>
            <w:rStyle w:val="Hyperlink"/>
          </w:rPr>
          <w:t xml:space="preserve">Table 2</w:t>
        </w:r>
      </w:hyperlink>
    </w:p>
    <w:tbl>
      <w:tblPr>
        <w:tblStyle w:val="Table"/>
        <w:tblW w:type="pct" w:w="5000"/>
        <w:tblLayout w:type="fixed"/>
        <w:tblLook w:firstRow="0" w:lastRow="0" w:firstColumn="0" w:lastColumn="0" w:noHBand="0" w:noVBand="0" w:val="0000"/>
      </w:tblPr>
      <w:tblGrid>
        <w:gridCol w:w="7920"/>
      </w:tblGrid>
      <w:tr>
        <w:tc>
          <w:tcPr/>
          <w:bookmarkStart w:id="207" w:name="tbl-nutri_gttable"/>
          <w:p>
            <w:pPr>
              <w:jc w:val="center"/>
            </w:pPr>
            <w:pPr>
              <w:jc w:val="left"/>
              <w:spacing w:before="200"/>
              <w:pStyle w:val="ImageCaption"/>
            </w:pPr>
            <w:r>
              <w:t xml:space="preserve">Table 2: Nutrient concentrations at the sampling sites.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Barro Branco strream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...7</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Caiana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...13</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...15</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Site 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Ammonia (µg L⁻¹)</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54.8 (39.3-64.3)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58.9 (47.5-77)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(33.4-115.7)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81.6 (68.9-93)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80.8 (65.2-99.3)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243.7 (203.9-277.5)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82.8 (64.3-101.6)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60.5 (53-73.4)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94.2 (53.4-125.7)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168.9 (141.1-191.6)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67.8 (61.6-73.9)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82.2 (79.3-87)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49.2 (43.9-54.8)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50.2 (46.1-54.3)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109.8 (53.4-194.8)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Nitrite (µg L⁻¹)</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 (1.5-2.4)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 (1.2-23.3)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 (4.1-6.2)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 (1.2-2.7)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 (4.7-10.3)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 (2.7-4.1)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 (3.3-3.9)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(2.7-3.9)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34.2 (3-96.8)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Nitrate (µg L⁻¹)</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 (0-9.7)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8.8 (6.9-12.6)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(0-12.6)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18.8 (11.1-31.1)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(16.9-19.7)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 (5.4-16.9)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798.8 (94-1379.7)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166.4 (144-189.7)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2003.0 (1652.6-2309.7)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768.3 (352.6-1044)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1624.0 (322.6-4106.9)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677.3 (461.1-1004)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622.6 (486.9-754)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644.0 (581.1-695.4)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728.8 (594-889.7)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Orthophosphate (µg L⁻¹)</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 (0-3)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 (7.3-8.7)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(0.1-5.9)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 (4.4-7.3)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 (5.9-8.7)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(7.3-75.9)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(7.3-10.1)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 (7.3-10.1)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 (10.1-13)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13.0 (7.3-23)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Phosphorus (µg L⁻¹)</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(0.3-10.3)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50.1 (0-150.3)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 (0-27)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19.2 (15.3-22)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38.7 (13.7-55.3)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 (8.7-12)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(0.3-7)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8.1 (5.3-12)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18.7 (7-33.7)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65.3 (10.3-170.3)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19.8 (12-25.3)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 (8.7-17)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(12-18.7)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16.4 (8.7-30.3)</w:t>
                  </w:r>
                </w:p>
              </w:tc>
            </w:tr>
          </w:tbl>
          <w:bookmarkEnd w:id="207"/>
        </w:tc>
      </w:tr>
    </w:tbl>
    <w:p>
      <w:pPr>
        <w:pStyle w:val="TextBody"/>
      </w:pPr>
      <w:hyperlink w:anchor="tbl-checklist_gttable">
        <w:r>
          <w:rPr>
            <w:rStyle w:val="Hyperlink"/>
          </w:rPr>
          <w:t xml:space="preserve">Table 3</w:t>
        </w:r>
      </w:hyperlink>
    </w:p>
    <w:tbl>
      <w:tblPr>
        <w:tblStyle w:val="Table"/>
        <w:tblW w:type="pct" w:w="5000"/>
        <w:tblLayout w:type="fixed"/>
        <w:tblLook w:firstRow="0" w:lastRow="0" w:firstColumn="0" w:lastColumn="0" w:noHBand="0" w:noVBand="0" w:val="0000"/>
      </w:tblPr>
      <w:tblGrid>
        <w:gridCol w:w="7920"/>
      </w:tblGrid>
      <w:tr>
        <w:tc>
          <w:tcPr/>
          <w:bookmarkStart w:id="208" w:name="tbl-checklist_gttable"/>
          <w:p>
            <w:pPr>
              <w:jc w:val="center"/>
            </w:pPr>
            <w:pPr>
              <w:jc w:val="left"/>
              <w:spacing w:before="200"/>
              <w:pStyle w:val="ImageCaption"/>
            </w:pPr>
            <w:r>
              <w:t xml:space="preserve">Table 3: Checklist of taxa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Barro Branco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Caiana stream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...6</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...7</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ROTIFERA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DIGONONTA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 1529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 6840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 2891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 7830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 19090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Bdelloidea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Bdelloidea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Philodinidae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Dissotrocha aculeata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Dicranophoridae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Dicranophoroides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Dicranop.sp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Notommatidae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Cephalodella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Cephalodella.sp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MONOGONONTA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FLOSCULARIACEA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aculeata (Jakubski,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Lec.aculeata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bulla (Gosse, 1851)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Lec.bulla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cornuta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Lec.cornuta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crepida Harring, 1914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Lec.crepida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curvicornis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Lec.curvicornis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furcata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Lec.furcata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leontina (Turner, 1892)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Lec.leontina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lunaris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luna (Müller, 1776)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Lec.luna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monostyla (Daday, 1897):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Lec.monostyla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papuana (Murray, 1913)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Lec.papuana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quadridentata (Ehrenberg, 1830)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Lec.quadridentata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 sp.3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Lecane.sp3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Brachionidae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Brachionus patulus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Bra.patulus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Macrochaetus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Macrochaetus.sp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Platyias quadricornis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Pla.quadricornis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ovalis (Müller, 1786)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Lep.ovalis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patella (Müller, 1773)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Lep.patella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imbricata Harring, 1914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Lep.imbricata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Lepadella.sp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Euchlanidae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Euchlanis dilatata Ehrenberg, 1832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Euc.dilatata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Synchaetidae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bicerca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Pol.bicerca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dolichoptera Idelson, 1925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Pol.dolichoptera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vulgaris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Pol.vulgaris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Polyarthra.sp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Colurella.sp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crassipes (Lucks,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Myt.crassipes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bisulcata (Lucks, 1912)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Myt.bisulcata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Mytilina.sp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Trichotriidae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Trichotria tetractis (Ehrenberg, 1830)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Tri.tetractis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Filiniidae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Filinia longiseta (Ehrenberg, 1834)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Fil.longiseta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Testudinella mucronata (Gosse, 1886)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Tes.mucronata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Testudinella patina (Hermann, 1783)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Tes.patina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Trichocerca.sp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CRUSTACEA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CLADOCERA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ANOMOPODA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dadayi Birge, 1910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Alo.dadayi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hamulata (Birge, 1910)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Alo.hamulata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Alonella.sp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Chydorus.sp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Leydigia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Leydigia.sp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Macrothricidae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laticornis (Jurine, 1820)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Mac.laticornis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mira Smirnov 1982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Mac.mira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Macrothrix.sp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Sididae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Diaphanosoma birgei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Dia.birgei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Diaphanosoma spinulosum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Dia.spinulosum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Ilyocryptidae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Ilyocryptus spinifer Herrick, 1882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Ily.spinifer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Moinidae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Moina minuta Hansen, 1899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Moi.minuta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Nauplii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Nauplii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Copepodite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CYCLOPOIDA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Cyclopidae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Mesocyclops.sp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Paracyclops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Paracyclops.sp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CALANOIDA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Diaptomidae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Notodiaptomus 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Notodiaptomus.sp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116</w:t>
                  </w:r>
                </w:p>
              </w:tc>
            </w:tr>
          </w:tbl>
          <w:bookmarkEnd w:id="208"/>
        </w:tc>
      </w:tr>
    </w:tbl>
    <w:p>
      <w:pPr>
        <w:pStyle w:val="TextBody"/>
      </w:pPr>
      <w:hyperlink w:anchor="tbl-part_gttable">
        <w:r>
          <w:rPr>
            <w:rStyle w:val="Hyperlink"/>
          </w:rPr>
          <w:t xml:space="preserve">Table 4</w:t>
        </w:r>
      </w:hyperlink>
    </w:p>
    <w:tbl>
      <w:tblPr>
        <w:tblStyle w:val="Table"/>
        <w:tblW w:type="pct" w:w="5000"/>
        <w:tblLayout w:type="fixed"/>
        <w:tblLook w:firstRow="0" w:lastRow="0" w:firstColumn="0" w:lastColumn="0" w:noHBand="0" w:noVBand="0" w:val="0000"/>
      </w:tblPr>
      <w:tblGrid>
        <w:gridCol w:w="7920"/>
      </w:tblGrid>
      <w:tr>
        <w:tc>
          <w:tcPr/>
          <w:bookmarkStart w:id="209" w:name="tbl-part_gttable"/>
          <w:p>
            <w:pPr>
              <w:jc w:val="center"/>
            </w:pPr>
            <w:pPr>
              <w:jc w:val="left"/>
              <w:spacing w:before="200"/>
              <w:pStyle w:val="ImageCaption"/>
            </w:pPr>
            <w:r>
              <w:t xml:space="preserve">Table 4: Partition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Partition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Season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Diversity...4</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Diversity...5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SES</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Component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Observed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Season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49.81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β3 (Between streams)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β3 (Between streams)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Barro Branco stream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43.98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Caiana stream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22.48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73.19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α1 (Habitat)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61.48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γ (Total richness)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β1 (Between habitats)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β2 (Between sites)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&lt; 0.001*</w:t>
                  </w:r>
                </w:p>
              </w:tc>
            </w:tr>
          </w:tbl>
          <w:bookmarkEnd w:id="209"/>
        </w:tc>
      </w:tr>
    </w:tbl>
    <w:bookmarkEnd w:id="210"/>
    <w:bookmarkEnd w:id="211"/>
    <w:bookmarkStart w:id="212" w:name="apendices"/>
    <w:p>
      <w:pPr>
        <w:pStyle w:val="Heading1"/>
      </w:pPr>
      <w:r>
        <w:t xml:space="preserve">Apendices</w:t>
      </w:r>
    </w:p>
    <w:bookmarkEnd w:id="212"/>
    <w:bookmarkStart w:id="216" w:name="non-used-figures-and-tables"/>
    <w:p>
      <w:pPr>
        <w:pStyle w:val="Heading1"/>
      </w:pPr>
      <w:r>
        <w:t xml:space="preserve">Non-used figures and tables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C:\PROGRA~1\RStudio\RESOUR~1\app\bin\quarto\share\formats\docx\warning.png" id="215" name="Picture"/>
                          <pic:cNvPicPr>
                            <a:picLocks noChangeArrowheads="1" noChangeAspect="1"/>
                          </pic:cNvPicPr>
                        </pic:nvPicPr>
                        <pic:blipFill>
                          <a:blip r:embed="rId2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p/>
        </w:tc>
      </w:tr>
    </w:tbl>
    <w:bookmarkEnd w:id="216"/>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Palatino">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Cs w:val="24"/>
        <w:lang w:bidi="ar-SA" w:eastAsia="en-US" w:val="en-US"/>
      </w:rPr>
    </w:rPrDefault>
    <w:pPrDefault>
      <w:pPr/>
    </w:pPrDefault>
  </w:docDefaults>
  <w:latentStyles w:count="380"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uiPriority w:val="9"/>
    <w:qFormat/>
    <w:rsid w:val="00d9624b"/>
    <w:pPr>
      <w:keepNext w:val="true"/>
      <w:keepLines/>
      <w:spacing w:after="0" w:before="480"/>
      <w:outlineLvl w:val="0"/>
    </w:pPr>
    <w:rPr>
      <w:rFonts w:ascii="Palatino" w:cs="" w:cstheme="majorBidi" w:eastAsia="" w:eastAsiaTheme="majorEastAsia" w:hAnsi="Palatino"/>
      <w:b/>
      <w:bCs/>
      <w:color w:themeColor="text1" w:val="000000"/>
      <w:szCs w:val="32"/>
    </w:rPr>
  </w:style>
  <w:style w:styleId="Heading2" w:type="paragraph">
    <w:name w:val="Heading 2"/>
    <w:basedOn w:val="Normal"/>
    <w:uiPriority w:val="9"/>
    <w:unhideWhenUsed/>
    <w:qFormat/>
    <w:rsid w:val="00d9624b"/>
    <w:pPr>
      <w:keepNext w:val="true"/>
      <w:keepLines/>
      <w:spacing w:after="0" w:before="200"/>
      <w:outlineLvl w:val="1"/>
    </w:pPr>
    <w:rPr>
      <w:rFonts w:ascii="Palatino" w:cs="" w:cstheme="majorBidi" w:eastAsia="" w:eastAsiaTheme="majorEastAsia" w:hAnsi="Palatino"/>
      <w:b w:val="false"/>
      <w:bCs/>
      <w:i/>
      <w:color w:themeColor="text1" w:val="000000"/>
      <w:szCs w:val="32"/>
    </w:rPr>
  </w:style>
  <w:style w:styleId="Heading3" w:type="paragraph">
    <w:name w:val="Heading 3"/>
    <w:basedOn w:val="Normal"/>
    <w:uiPriority w:val="9"/>
    <w:unhideWhenUsed/>
    <w:qFormat/>
    <w:pPr>
      <w:keepNext w:val="true"/>
      <w:keepLines/>
      <w:spacing w:after="0" w:before="200"/>
      <w:outlineLvl w:val="2"/>
    </w:pPr>
    <w:rPr>
      <w:rFonts w:ascii="Palatino" w:cs="" w:cstheme="majorBidi" w:eastAsia="" w:eastAsiaTheme="majorEastAsia" w:hAnsi="Palatino"/>
      <w:b w:val="false"/>
      <w:bCs/>
      <w:i/>
      <w:color w:val="000000"/>
      <w:sz w:val="24"/>
      <w:szCs w:val="28"/>
    </w:rPr>
  </w:style>
  <w:style w:styleId="Heading4" w:type="paragraph">
    <w:name w:val="Heading 4"/>
    <w:basedOn w:val="Normal"/>
    <w:uiPriority w:val="9"/>
    <w:unhideWhenUsed/>
    <w:qFormat/>
    <w:pPr>
      <w:keepNext w:val="true"/>
      <w:keepLines/>
      <w:spacing w:after="0" w:before="200"/>
      <w:outlineLvl w:val="3"/>
    </w:pPr>
    <w:rPr>
      <w:rFonts w:ascii="Calibri" w:asciiTheme="majorHAnsi" w:cs="" w:cstheme="majorBidi" w:eastAsia="" w:eastAsiaTheme="majorEastAsia" w:hAnsi="Calibri" w:hAnsiTheme="majorHAnsi"/>
      <w:b/>
      <w:bCs/>
      <w:color w:themeColor="accent1" w:val="4F81BD"/>
    </w:rPr>
  </w:style>
  <w:style w:styleId="Heading5" w:type="paragraph">
    <w:name w:val="Heading 5"/>
    <w:basedOn w:val="Normal"/>
    <w:uiPriority w:val="9"/>
    <w:unhideWhenUsed/>
    <w:qFormat/>
    <w:pPr>
      <w:keepNext w:val="true"/>
      <w:keepLines/>
      <w:spacing w:after="0" w:before="200"/>
      <w:outlineLvl w:val="4"/>
    </w:pPr>
    <w:rPr>
      <w:rFonts w:ascii="Calibri" w:asciiTheme="majorHAnsi" w:cs="" w:cstheme="majorBidi" w:eastAsia="" w:eastAsiaTheme="majorEastAsia" w:hAnsi="Calibri" w:hAnsiTheme="majorHAnsi"/>
      <w:i/>
      <w:iCs/>
      <w:color w:themeColor="accent1" w:val="4F81BD"/>
    </w:rPr>
  </w:style>
  <w:style w:styleId="Heading6" w:type="paragraph">
    <w:name w:val="Heading 6"/>
    <w:basedOn w:val="Normal"/>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link w:val="SourceCode"/>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Internet Link"/>
    <w:basedOn w:val="CaptionChar"/>
    <w:rPr>
      <w:color w:themeColor="accent1" w:val="4F81BD"/>
    </w:rPr>
  </w:style>
  <w:style w:customStyle="1" w:styleId="KeywordTok" w:type="character">
    <w:name w:val="KeywordTok"/>
    <w:basedOn w:val="VerbatimChar"/>
    <w:qFormat/>
    <w:rPr>
      <w:rFonts w:ascii="Consolas" w:hAnsi="Consolas"/>
      <w:color w:val="204A87"/>
      <w:sz w:val="22"/>
      <w:shd w:fill="F8F8F8" w:val="clear"/>
    </w:rPr>
  </w:style>
  <w:style w:customStyle="1" w:styleId="DataTypeTok" w:type="character">
    <w:name w:val="DataTypeTok"/>
    <w:basedOn w:val="VerbatimChar"/>
    <w:qFormat/>
    <w:rPr>
      <w:rFonts w:ascii="Consolas" w:hAnsi="Consolas"/>
      <w:color w:val="204A87"/>
      <w:sz w:val="22"/>
      <w:shd w:fill="F8F8F8" w:val="clear"/>
    </w:rPr>
  </w:style>
  <w:style w:customStyle="1" w:styleId="DecValTok" w:type="character">
    <w:name w:val="DecValTok"/>
    <w:basedOn w:val="VerbatimChar"/>
    <w:qFormat/>
    <w:rPr>
      <w:rFonts w:ascii="Consolas" w:hAnsi="Consolas"/>
      <w:color w:val="0000CF"/>
      <w:sz w:val="22"/>
      <w:shd w:fill="F8F8F8" w:val="clear"/>
    </w:rPr>
  </w:style>
  <w:style w:customStyle="1" w:styleId="BaseNTok" w:type="character">
    <w:name w:val="BaseNTok"/>
    <w:basedOn w:val="VerbatimChar"/>
    <w:qFormat/>
    <w:rPr>
      <w:rFonts w:ascii="Consolas" w:hAnsi="Consolas"/>
      <w:color w:val="0000CF"/>
      <w:sz w:val="22"/>
      <w:shd w:fill="F8F8F8" w:val="clear"/>
    </w:rPr>
  </w:style>
  <w:style w:customStyle="1" w:styleId="FloatTok" w:type="character">
    <w:name w:val="FloatTok"/>
    <w:basedOn w:val="VerbatimChar"/>
    <w:qFormat/>
    <w:rPr>
      <w:rFonts w:ascii="Consolas" w:hAnsi="Consolas"/>
      <w:color w:val="0000CF"/>
      <w:sz w:val="22"/>
      <w:shd w:fill="F8F8F8" w:val="clear"/>
    </w:rPr>
  </w:style>
  <w:style w:customStyle="1" w:styleId="ConstantTok" w:type="character">
    <w:name w:val="ConstantTok"/>
    <w:basedOn w:val="VerbatimChar"/>
    <w:qFormat/>
    <w:rPr>
      <w:rFonts w:ascii="Consolas" w:hAnsi="Consolas"/>
      <w:color w:val="000000"/>
      <w:sz w:val="22"/>
      <w:shd w:fill="F8F8F8" w:val="clear"/>
    </w:rPr>
  </w:style>
  <w:style w:customStyle="1" w:styleId="CharTok" w:type="character">
    <w:name w:val="CharTok"/>
    <w:basedOn w:val="VerbatimChar"/>
    <w:qFormat/>
    <w:rPr>
      <w:rFonts w:ascii="Consolas" w:hAnsi="Consolas"/>
      <w:color w:val="4E9A06"/>
      <w:sz w:val="22"/>
      <w:shd w:fill="F8F8F8" w:val="clear"/>
    </w:rPr>
  </w:style>
  <w:style w:customStyle="1" w:styleId="SpecialCharTok" w:type="character">
    <w:name w:val="SpecialCharTok"/>
    <w:basedOn w:val="VerbatimChar"/>
    <w:qFormat/>
    <w:rPr>
      <w:rFonts w:ascii="Consolas" w:hAnsi="Consolas"/>
      <w:color w:val="000000"/>
      <w:sz w:val="22"/>
      <w:shd w:fill="F8F8F8" w:val="clear"/>
    </w:rPr>
  </w:style>
  <w:style w:customStyle="1" w:styleId="StringTok" w:type="character">
    <w:name w:val="StringTok"/>
    <w:basedOn w:val="VerbatimChar"/>
    <w:qFormat/>
    <w:rPr>
      <w:rFonts w:ascii="Consolas" w:hAnsi="Consolas"/>
      <w:color w:val="4E9A06"/>
      <w:sz w:val="22"/>
      <w:shd w:fill="F8F8F8" w:val="clear"/>
    </w:rPr>
  </w:style>
  <w:style w:customStyle="1" w:styleId="VerbatimStringTok" w:type="character">
    <w:name w:val="VerbatimStringTok"/>
    <w:basedOn w:val="VerbatimChar"/>
    <w:qFormat/>
    <w:rPr>
      <w:rFonts w:ascii="Consolas" w:hAnsi="Consolas"/>
      <w:color w:val="4E9A06"/>
      <w:sz w:val="22"/>
      <w:shd w:fill="F8F8F8" w:val="clear"/>
    </w:rPr>
  </w:style>
  <w:style w:customStyle="1" w:styleId="SpecialStringTok" w:type="character">
    <w:name w:val="SpecialStringTok"/>
    <w:basedOn w:val="VerbatimChar"/>
    <w:qFormat/>
    <w:rPr>
      <w:rFonts w:ascii="Consolas" w:hAnsi="Consolas"/>
      <w:color w:val="4E9A06"/>
      <w:sz w:val="22"/>
      <w:shd w:fill="F8F8F8" w:val="clear"/>
    </w:rPr>
  </w:style>
  <w:style w:customStyle="1" w:styleId="ImportTok" w:type="character">
    <w:name w:val="ImportTok"/>
    <w:basedOn w:val="VerbatimChar"/>
    <w:qFormat/>
    <w:rPr>
      <w:rFonts w:ascii="Consolas" w:hAnsi="Consolas"/>
      <w:sz w:val="22"/>
      <w:shd w:fill="F8F8F8" w:val="clear"/>
    </w:rPr>
  </w:style>
  <w:style w:customStyle="1" w:styleId="CommentTok" w:type="character">
    <w:name w:val="CommentTok"/>
    <w:basedOn w:val="VerbatimChar"/>
    <w:qFormat/>
    <w:rPr>
      <w:rFonts w:ascii="Consolas" w:hAnsi="Consolas"/>
      <w:i/>
      <w:color w:val="8F5902"/>
      <w:sz w:val="22"/>
      <w:shd w:fill="F8F8F8" w:val="clear"/>
    </w:rPr>
  </w:style>
  <w:style w:customStyle="1" w:styleId="DocumentationTok" w:type="character">
    <w:name w:val="DocumentationTok"/>
    <w:basedOn w:val="VerbatimChar"/>
    <w:qFormat/>
    <w:rPr>
      <w:rFonts w:ascii="Consolas" w:hAnsi="Consolas"/>
      <w:i/>
      <w:color w:val="8F5902"/>
      <w:sz w:val="22"/>
      <w:shd w:fill="F8F8F8" w:val="clear"/>
    </w:rPr>
  </w:style>
  <w:style w:customStyle="1" w:styleId="AnnotationTok" w:type="character">
    <w:name w:val="AnnotationTok"/>
    <w:basedOn w:val="VerbatimChar"/>
    <w:qFormat/>
    <w:rPr>
      <w:rFonts w:ascii="Consolas" w:hAnsi="Consolas"/>
      <w:i/>
      <w:color w:val="8F5902"/>
      <w:sz w:val="22"/>
      <w:shd w:fill="F8F8F8" w:val="clear"/>
    </w:rPr>
  </w:style>
  <w:style w:customStyle="1" w:styleId="CommentVarTok" w:type="character">
    <w:name w:val="CommentVarTok"/>
    <w:basedOn w:val="VerbatimChar"/>
    <w:qFormat/>
    <w:rPr>
      <w:rFonts w:ascii="Consolas" w:hAnsi="Consolas"/>
      <w:i/>
      <w:color w:val="8F5902"/>
      <w:sz w:val="22"/>
      <w:shd w:fill="F8F8F8" w:val="clear"/>
    </w:rPr>
  </w:style>
  <w:style w:customStyle="1" w:styleId="OtherTok" w:type="character">
    <w:name w:val="OtherTok"/>
    <w:basedOn w:val="VerbatimChar"/>
    <w:qFormat/>
    <w:rPr>
      <w:rFonts w:ascii="Consolas" w:hAnsi="Consolas"/>
      <w:color w:val="8F5902"/>
      <w:sz w:val="22"/>
      <w:shd w:fill="F8F8F8" w:val="clear"/>
    </w:rPr>
  </w:style>
  <w:style w:customStyle="1" w:styleId="FunctionTok" w:type="character">
    <w:name w:val="FunctionTok"/>
    <w:basedOn w:val="VerbatimChar"/>
    <w:qFormat/>
    <w:rPr>
      <w:rFonts w:ascii="Consolas" w:hAnsi="Consolas"/>
      <w:color w:val="000000"/>
      <w:sz w:val="22"/>
      <w:shd w:fill="F8F8F8" w:val="clear"/>
    </w:rPr>
  </w:style>
  <w:style w:customStyle="1" w:styleId="VariableTok" w:type="character">
    <w:name w:val="VariableTok"/>
    <w:basedOn w:val="VerbatimChar"/>
    <w:qFormat/>
    <w:rPr>
      <w:rFonts w:ascii="Consolas" w:hAnsi="Consolas"/>
      <w:color w:val="000000"/>
      <w:sz w:val="22"/>
      <w:shd w:fill="F8F8F8" w:val="clear"/>
    </w:rPr>
  </w:style>
  <w:style w:customStyle="1" w:styleId="ControlFlowTok" w:type="character">
    <w:name w:val="ControlFlowTok"/>
    <w:basedOn w:val="VerbatimChar"/>
    <w:qFormat/>
    <w:rPr>
      <w:rFonts w:ascii="Consolas" w:hAnsi="Consolas"/>
      <w:color w:val="204A87"/>
      <w:sz w:val="22"/>
      <w:shd w:fill="F8F8F8" w:val="clear"/>
    </w:rPr>
  </w:style>
  <w:style w:customStyle="1" w:styleId="OperatorTok" w:type="character">
    <w:name w:val="OperatorTok"/>
    <w:basedOn w:val="VerbatimChar"/>
    <w:qFormat/>
    <w:rPr>
      <w:rFonts w:ascii="Consolas" w:hAnsi="Consolas"/>
      <w:color w:val="CE5C00"/>
      <w:sz w:val="22"/>
      <w:shd w:fill="F8F8F8" w:val="clear"/>
    </w:rPr>
  </w:style>
  <w:style w:customStyle="1" w:styleId="BuiltInTok" w:type="character">
    <w:name w:val="BuiltInTok"/>
    <w:basedOn w:val="VerbatimChar"/>
    <w:qFormat/>
    <w:rPr>
      <w:rFonts w:ascii="Consolas" w:hAnsi="Consolas"/>
      <w:sz w:val="22"/>
      <w:shd w:fill="F8F8F8" w:val="clear"/>
    </w:rPr>
  </w:style>
  <w:style w:customStyle="1" w:styleId="ExtensionTok" w:type="character">
    <w:name w:val="ExtensionTok"/>
    <w:basedOn w:val="VerbatimChar"/>
    <w:qFormat/>
    <w:rPr>
      <w:rFonts w:ascii="Consolas" w:hAnsi="Consolas"/>
      <w:sz w:val="22"/>
      <w:shd w:fill="F8F8F8" w:val="clear"/>
    </w:rPr>
  </w:style>
  <w:style w:customStyle="1" w:styleId="PreprocessorTok" w:type="character">
    <w:name w:val="PreprocessorTok"/>
    <w:basedOn w:val="VerbatimChar"/>
    <w:qFormat/>
    <w:rPr>
      <w:rFonts w:ascii="Consolas" w:hAnsi="Consolas"/>
      <w:i/>
      <w:color w:val="8F5902"/>
      <w:sz w:val="22"/>
      <w:shd w:fill="F8F8F8" w:val="clear"/>
    </w:rPr>
  </w:style>
  <w:style w:customStyle="1" w:styleId="AttributeTok" w:type="character">
    <w:name w:val="AttributeTok"/>
    <w:basedOn w:val="VerbatimChar"/>
    <w:qFormat/>
    <w:rPr>
      <w:rFonts w:ascii="Consolas" w:hAnsi="Consolas"/>
      <w:color w:val="C4A000"/>
      <w:sz w:val="22"/>
      <w:shd w:fill="F8F8F8" w:val="clear"/>
    </w:rPr>
  </w:style>
  <w:style w:customStyle="1" w:styleId="RegionMarkerTok" w:type="character">
    <w:name w:val="RegionMarkerTok"/>
    <w:basedOn w:val="VerbatimChar"/>
    <w:qFormat/>
    <w:rPr>
      <w:rFonts w:ascii="Consolas" w:hAnsi="Consolas"/>
      <w:sz w:val="22"/>
      <w:shd w:fill="F8F8F8" w:val="clear"/>
    </w:rPr>
  </w:style>
  <w:style w:customStyle="1" w:styleId="InformationTok" w:type="character">
    <w:name w:val="InformationTok"/>
    <w:basedOn w:val="VerbatimChar"/>
    <w:qFormat/>
    <w:rPr>
      <w:rFonts w:ascii="Consolas" w:hAnsi="Consolas"/>
      <w:i/>
      <w:color w:val="8F5902"/>
      <w:sz w:val="22"/>
      <w:shd w:fill="F8F8F8" w:val="clear"/>
    </w:rPr>
  </w:style>
  <w:style w:customStyle="1" w:styleId="WarningTok" w:type="character">
    <w:name w:val="WarningTok"/>
    <w:basedOn w:val="VerbatimChar"/>
    <w:qFormat/>
    <w:rPr>
      <w:rFonts w:ascii="Consolas" w:hAnsi="Consolas"/>
      <w:i/>
      <w:color w:val="8F5902"/>
      <w:sz w:val="22"/>
      <w:shd w:fill="F8F8F8" w:val="clear"/>
    </w:rPr>
  </w:style>
  <w:style w:customStyle="1" w:styleId="AlertTok" w:type="character">
    <w:name w:val="AlertTok"/>
    <w:basedOn w:val="VerbatimChar"/>
    <w:qFormat/>
    <w:rPr>
      <w:rFonts w:ascii="Consolas" w:hAnsi="Consolas"/>
      <w:color w:val="EF2929"/>
      <w:sz w:val="22"/>
      <w:shd w:fill="F8F8F8" w:val="clear"/>
    </w:rPr>
  </w:style>
  <w:style w:customStyle="1" w:styleId="ErrorTok" w:type="character">
    <w:name w:val="ErrorTok"/>
    <w:basedOn w:val="VerbatimChar"/>
    <w:qFormat/>
    <w:rPr>
      <w:rFonts w:ascii="Consolas" w:hAnsi="Consolas"/>
      <w:color w:val="A40000"/>
      <w:sz w:val="22"/>
      <w:shd w:fill="F8F8F8" w:val="clear"/>
    </w:rPr>
  </w:style>
  <w:style w:customStyle="1" w:styleId="NormalTok" w:type="character">
    <w:name w:val="NormalTok"/>
    <w:basedOn w:val="VerbatimChar"/>
    <w:qFormat/>
    <w:rPr>
      <w:rFonts w:ascii="Consolas" w:hAnsi="Consolas"/>
      <w:sz w:val="22"/>
      <w:shd w:fill="F8F8F8" w:val="clear"/>
    </w:rPr>
  </w:style>
  <w:style w:customStyle="1" w:styleId="BodyTextChar" w:type="character">
    <w:name w:val="Body Text Char"/>
    <w:basedOn w:val="DefaultParagraphFont"/>
    <w:link w:val="BodyText"/>
    <w:qFormat/>
    <w:rsid w:val="0046359f"/>
    <w:rPr/>
  </w:style>
  <w:style w:styleId="ListLabel1" w:type="character">
    <w:name w:val="ListLabel 1"/>
    <w:qFormat/>
    <w:rPr>
      <w:rFonts w:cs="Courier New"/>
    </w:rPr>
  </w:style>
  <w:style w:styleId="ListLabel2" w:type="character">
    <w:name w:val="ListLabel 2"/>
    <w:qFormat/>
    <w:rPr>
      <w:rFonts w:cs="Courier New"/>
    </w:rPr>
  </w:style>
  <w:style w:styleId="ListLabel3" w:type="character">
    <w:name w:val="ListLabel 3"/>
    <w:qFormat/>
    <w:rPr/>
  </w:style>
  <w:style w:styleId="ListLabel4" w:type="character">
    <w:name w:val="ListLabel 4"/>
    <w:qFormat/>
    <w:rPr/>
  </w:style>
  <w:style w:styleId="ListLabel5" w:type="character">
    <w:name w:val="ListLabel 5"/>
    <w:qFormat/>
    <w:rPr/>
  </w:style>
  <w:style w:styleId="ListLabel6" w:type="character">
    <w:name w:val="ListLabel 6"/>
    <w:qFormat/>
    <w:rPr/>
  </w:style>
  <w:style w:styleId="Heading" w:type="paragraph">
    <w:name w:val="Heading"/>
    <w:basedOn w:val="Normal"/>
    <w:next w:val="TextBody"/>
    <w:qFormat/>
    <w:pPr>
      <w:keepNext w:val="true"/>
      <w:spacing w:after="120" w:before="240"/>
    </w:pPr>
    <w:rPr>
      <w:rFonts w:ascii="Liberation Sans" w:cs="Lohit Devanagari" w:eastAsia="AR PL SungtiL GB" w:hAnsi="Liberation Sans"/>
      <w:sz w:val="28"/>
      <w:szCs w:val="28"/>
    </w:rPr>
  </w:style>
  <w:style w:styleId="TextBody" w:type="paragraph">
    <w:name w:val="Body Text"/>
    <w:basedOn w:val="Normal"/>
    <w:link w:val="BodyTextChar"/>
    <w:qFormat/>
    <w:pPr>
      <w:spacing w:after="180" w:before="180"/>
      <w:jc w:val="both"/>
    </w:pPr>
    <w:rPr>
      <w:rFonts w:ascii="Palatino" w:hAnsi="Palatino"/>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customStyle="1" w:styleId="FirstParagraph" w:type="paragraph">
    <w:name w:val="First Paragraph"/>
    <w:basedOn w:val="TextBody"/>
    <w:qFormat/>
    <w:rsid w:val="008959bb"/>
    <w:pPr>
      <w:jc w:val="both"/>
    </w:pPr>
    <w:rPr>
      <w:rFonts w:ascii="Palatino" w:hAnsi="Palatino"/>
    </w:rPr>
  </w:style>
  <w:style w:customStyle="1" w:styleId="Compact" w:type="paragraph">
    <w:name w:val="Compact"/>
    <w:basedOn w:val="TextBody"/>
    <w:qFormat/>
    <w:pPr>
      <w:spacing w:after="36" w:before="36"/>
    </w:pPr>
    <w:rPr/>
  </w:style>
  <w:style w:styleId="Title" w:type="paragraph">
    <w:name w:val="Title"/>
    <w:basedOn w:val="Normal"/>
    <w:qFormat/>
    <w:rsid w:val="002e505d"/>
    <w:pPr>
      <w:keepNext w:val="true"/>
      <w:keepLines/>
      <w:spacing w:after="240" w:before="480"/>
      <w:jc w:val="center"/>
    </w:pPr>
    <w:rPr>
      <w:rFonts w:ascii="Palatino" w:cs="" w:cstheme="majorBidi" w:eastAsia="" w:eastAsiaTheme="majorEastAsia" w:hAnsi="Palatino"/>
      <w:bCs/>
      <w:color w:themeColor="text1" w:val="000000"/>
      <w:sz w:val="36"/>
      <w:szCs w:val="36"/>
    </w:rPr>
  </w:style>
  <w:style w:styleId="Subtitle" w:type="paragraph">
    <w:name w:val="Subtitle"/>
    <w:basedOn w:val="Title"/>
    <w:qFormat/>
    <w:pPr>
      <w:spacing w:after="240" w:before="240"/>
    </w:pPr>
    <w:rPr>
      <w:sz w:val="30"/>
      <w:szCs w:val="30"/>
    </w:rPr>
  </w:style>
  <w:style w:customStyle="1" w:styleId="Author" w:type="paragraph">
    <w:name w:val="Author"/>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qFormat/>
    <w:pPr>
      <w:keepNext w:val="true"/>
      <w:keepLines/>
      <w:widowControl/>
      <w:bidi w:val="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uiPriority w:val="9"/>
    <w:unhideWhenUsed/>
    <w:qFormat/>
    <w:pPr>
      <w:spacing w:after="100" w:before="100"/>
    </w:pPr>
    <w:rPr>
      <w:rFonts w:ascii="Calibri" w:asciiTheme="majorHAnsi" w:cs="" w:cstheme="majorBidi" w:eastAsia="" w:eastAsiaTheme="majorEastAsia" w:hAnsi="Calibri" w:hAnsiTheme="majorHAnsi"/>
      <w:bCs/>
      <w:sz w:val="20"/>
      <w:szCs w:val="20"/>
    </w:rPr>
  </w:style>
  <w:style w:styleId="Footnote" w:type="paragraph">
    <w:name w:val="Footnote Text"/>
    <w:basedOn w:val="Normal"/>
    <w:uiPriority w:val="9"/>
    <w:unhideWhenUsed/>
    <w:qFormat/>
    <w:pPr/>
    <w:rPr/>
  </w:style>
  <w:style w:customStyle="1" w:styleId="DefinitionTerm" w:type="paragraph">
    <w:name w:val="Definition Term"/>
    <w:basedOn w:val="Normal"/>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FigurewithCaption" w:type="paragraph">
    <w:name w:val="Figure with Caption"/>
    <w:basedOn w:val="Figure"/>
    <w:qFormat/>
    <w:pPr>
      <w:keepNext w:val="true"/>
    </w:pPr>
    <w:rPr/>
  </w:style>
  <w:style w:styleId="TOCHeading" w:type="paragraph">
    <w:name w:val="TOC Heading"/>
    <w:basedOn w:val="Heading1"/>
    <w:uiPriority w:val="39"/>
    <w:unhideWhenUsed/>
    <w:qFormat/>
    <w:pPr>
      <w:spacing w:after="0" w:before="240" w:line="259" w:lineRule="auto"/>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customStyle="1" w:styleId="Style11" w:type="paragraph">
    <w:name w:val="Style1"/>
    <w:basedOn w:val="Title"/>
    <w:qFormat/>
    <w:rsid w:val="0046359f"/>
    <w:pPr/>
    <w:rPr>
      <w:rFonts w:ascii="Palatino Linotype" w:hAnsi="Palatino Linotype"/>
    </w:rPr>
  </w:style>
  <w:style w:customStyle="1" w:styleId="Stevetitle" w:type="paragraph">
    <w:name w:val="steve-title"/>
    <w:basedOn w:val="Title"/>
    <w:qFormat/>
    <w:rsid w:val="00263d8e"/>
    <w:pPr/>
    <w:rPr>
      <w:b/>
      <w:i/>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3" Target="media/image1.png" Type="http://schemas.openxmlformats.org/officeDocument/2006/relationships/image" /><Relationship Type="http://schemas.openxmlformats.org/officeDocument/2006/relationships/image" Id="rId213" Target="media/rId213.png" /><Relationship Type="http://schemas.openxmlformats.org/officeDocument/2006/relationships/image" Id="rId177" Target="media/rId177.png" /><Relationship Type="http://schemas.openxmlformats.org/officeDocument/2006/relationships/image" Id="rId185" Target="media/rId185.png" /><Relationship Type="http://schemas.openxmlformats.org/officeDocument/2006/relationships/image" Id="rId181" Target="media/rId181.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hyperlink" Id="rId52" Target="http://memoria2.cnpq.br/web/guest/view/-/journal_content/56_INSTANCE_0oED/10157/23142775" TargetMode="External" /><Relationship Type="http://schemas.openxmlformats.org/officeDocument/2006/relationships/hyperlink" Id="rId102" Target="https://CRAN.R-project.org/package=cluster" TargetMode="External" /><Relationship Type="http://schemas.openxmlformats.org/officeDocument/2006/relationships/hyperlink" Id="rId130" Target="https://cran.r-project.org/web/packages/vegan/vegan.pdf" TargetMode="External" /><Relationship Type="http://schemas.openxmlformats.org/officeDocument/2006/relationships/hyperlink" Id="rId54" Target="https://credit.niso.org/" TargetMode="External" /><Relationship Type="http://schemas.openxmlformats.org/officeDocument/2006/relationships/hyperlink" Id="rId85" Target="https://doi.org/10.1002/9780470316801.ch5" TargetMode="External" /><Relationship Type="http://schemas.openxmlformats.org/officeDocument/2006/relationships/hyperlink" Id="rId108" Target="https://doi.org/10.1002/aqc.805" TargetMode="External" /><Relationship Type="http://schemas.openxmlformats.org/officeDocument/2006/relationships/hyperlink" Id="rId147" Target="https://doi.org/10.1002/rra.3344" TargetMode="External" /><Relationship Type="http://schemas.openxmlformats.org/officeDocument/2006/relationships/hyperlink" Id="rId81" Target="https://doi.org/10.1007/978-3-319-58374-7_11" TargetMode="External" /><Relationship Type="http://schemas.openxmlformats.org/officeDocument/2006/relationships/hyperlink" Id="rId104" Target="https://doi.org/10.1007/978-94-011-7852-5" TargetMode="External" /><Relationship Type="http://schemas.openxmlformats.org/officeDocument/2006/relationships/hyperlink" Id="rId70" Target="https://doi.org/10.1007/BF01867358" TargetMode="External" /><Relationship Type="http://schemas.openxmlformats.org/officeDocument/2006/relationships/hyperlink" Id="rId26" Target="https://doi.org/10.1007/s10531-026-03286-z" TargetMode="External" /><Relationship Type="http://schemas.openxmlformats.org/officeDocument/2006/relationships/hyperlink" Id="rId126" Target="https://doi.org/10.1007/s10750-006-0252-7" TargetMode="External" /><Relationship Type="http://schemas.openxmlformats.org/officeDocument/2006/relationships/hyperlink" Id="rId68" Target="https://doi.org/10.1007/s10750-020-04187-0" TargetMode="External" /><Relationship Type="http://schemas.openxmlformats.org/officeDocument/2006/relationships/hyperlink" Id="rId36" Target="https://doi.org/10.1007/s13157-011-0178-3" TargetMode="External" /><Relationship Type="http://schemas.openxmlformats.org/officeDocument/2006/relationships/hyperlink" Id="rId66" Target="https://doi.org/10.1016/0006-3207(85)90055-2" TargetMode="External" /><Relationship Type="http://schemas.openxmlformats.org/officeDocument/2006/relationships/hyperlink" Id="rId170" Target="https://doi.org/10.1016/S0006-3207(97)00083-9" TargetMode="External" /><Relationship Type="http://schemas.openxmlformats.org/officeDocument/2006/relationships/hyperlink" Id="rId160" Target="https://doi.org/10.1016/j.biocon.2010.02.005" TargetMode="External" /><Relationship Type="http://schemas.openxmlformats.org/officeDocument/2006/relationships/hyperlink" Id="rId164" Target="https://doi.org/10.1016/j.biocon.2024.110499" TargetMode="External" /><Relationship Type="http://schemas.openxmlformats.org/officeDocument/2006/relationships/hyperlink" Id="rId134" Target="https://doi.org/10.1016/j.biocon.2026.111958" TargetMode="External" /><Relationship Type="http://schemas.openxmlformats.org/officeDocument/2006/relationships/hyperlink" Id="rId28" Target="https://doi.org/10.1016/j.dwt.2025.100991" TargetMode="External" /><Relationship Type="http://schemas.openxmlformats.org/officeDocument/2006/relationships/hyperlink" Id="rId38" Target="https://doi.org/10.1016/j.envres.2022.113563" TargetMode="External" /><Relationship Type="http://schemas.openxmlformats.org/officeDocument/2006/relationships/hyperlink" Id="rId143" Target="https://doi.org/10.1016/j.foreco.2020.118183" TargetMode="External" /><Relationship Type="http://schemas.openxmlformats.org/officeDocument/2006/relationships/hyperlink" Id="rId139" Target="https://doi.org/10.1016/j.jaridenv.2012.04.001" TargetMode="External" /><Relationship Type="http://schemas.openxmlformats.org/officeDocument/2006/relationships/hyperlink" Id="rId48" Target="https://doi.org/10.1016/j.limno.2012.07.007" TargetMode="External" /><Relationship Type="http://schemas.openxmlformats.org/officeDocument/2006/relationships/hyperlink" Id="rId40" Target="https://doi.org/10.1016/j.limno.2024.126170" TargetMode="External" /><Relationship Type="http://schemas.openxmlformats.org/officeDocument/2006/relationships/hyperlink" Id="rId141" Target="https://doi.org/10.1016/j.scitotenv.2022.153403" TargetMode="External" /><Relationship Type="http://schemas.openxmlformats.org/officeDocument/2006/relationships/hyperlink" Id="rId114" Target="https://doi.org/10.1016/j.watres.2026.126704" TargetMode="External" /><Relationship Type="http://schemas.openxmlformats.org/officeDocument/2006/relationships/hyperlink" Id="rId158" Target="https://doi.org/10.1029/TR038i006p00913" TargetMode="External" /><Relationship Type="http://schemas.openxmlformats.org/officeDocument/2006/relationships/hyperlink" Id="rId168" Target="https://doi.org/10.1034/j.1600-0706.2002.990101.x" TargetMode="External" /><Relationship Type="http://schemas.openxmlformats.org/officeDocument/2006/relationships/hyperlink" Id="rId128" Target="https://doi.org/10.1038/35002501" TargetMode="External" /><Relationship Type="http://schemas.openxmlformats.org/officeDocument/2006/relationships/hyperlink" Id="rId74" Target="https://doi.org/10.1046/j.1461-0248.2001.00230.x" TargetMode="External" /><Relationship Type="http://schemas.openxmlformats.org/officeDocument/2006/relationships/hyperlink" Id="rId72" Target="https://doi.org/10.1046/j.1523-1739.2003.01465.x" TargetMode="External" /><Relationship Type="http://schemas.openxmlformats.org/officeDocument/2006/relationships/hyperlink" Id="rId62" Target="https://doi.org/10.1080/20442041.2020.1738841" TargetMode="External" /><Relationship Type="http://schemas.openxmlformats.org/officeDocument/2006/relationships/hyperlink" Id="rId56" Target="https://doi.org/10.1086/378901" TargetMode="External" /><Relationship Type="http://schemas.openxmlformats.org/officeDocument/2006/relationships/hyperlink" Id="rId58" Target="https://doi.org/10.1111/j.1365-2427.2004.01219.x" TargetMode="External" /><Relationship Type="http://schemas.openxmlformats.org/officeDocument/2006/relationships/hyperlink" Id="rId93" Target="https://doi.org/10.1111/j.1365-2427.2009.02291.x" TargetMode="External" /><Relationship Type="http://schemas.openxmlformats.org/officeDocument/2006/relationships/hyperlink" Id="rId42" Target="https://doi.org/10.1111/j.1466-8238.2009.00490.x" TargetMode="External" /><Relationship Type="http://schemas.openxmlformats.org/officeDocument/2006/relationships/hyperlink" Id="rId44" Target="https://doi.org/10.1111/j.1466-8238.2011.00756.x" TargetMode="External" /><Relationship Type="http://schemas.openxmlformats.org/officeDocument/2006/relationships/hyperlink" Id="rId95" Target="https://doi.org/10.1111/j.1472-4642.2010.00739.x" TargetMode="External" /><Relationship Type="http://schemas.openxmlformats.org/officeDocument/2006/relationships/hyperlink" Id="rId162" Target="https://doi.org/10.1111/j.1600-0587.2009.06148.x" TargetMode="External" /><Relationship Type="http://schemas.openxmlformats.org/officeDocument/2006/relationships/hyperlink" Id="rId120" Target="https://doi.org/10.1111/j.1752-1688.2007.00008.x" TargetMode="External" /><Relationship Type="http://schemas.openxmlformats.org/officeDocument/2006/relationships/hyperlink" Id="rId118" Target="https://doi.org/10.1155/2013/946361" TargetMode="External" /><Relationship Type="http://schemas.openxmlformats.org/officeDocument/2006/relationships/hyperlink" Id="rId145" Target="https://doi.org/10.1186/1029-242X-2013-203" TargetMode="External" /><Relationship Type="http://schemas.openxmlformats.org/officeDocument/2006/relationships/hyperlink" Id="rId97" Target="https://doi.org/10.1371/journal.pone.0109581" TargetMode="External" /><Relationship Type="http://schemas.openxmlformats.org/officeDocument/2006/relationships/hyperlink" Id="rId78" Target="https://doi.org/10.15560/13.5.581" TargetMode="External" /><Relationship Type="http://schemas.openxmlformats.org/officeDocument/2006/relationships/hyperlink" Id="rId87" Target="https://doi.org/10.1590/S0101-81752004000200011" TargetMode="External" /><Relationship Type="http://schemas.openxmlformats.org/officeDocument/2006/relationships/hyperlink" Id="rId106" Target="https://doi.org/10.1590/S1679-62252006000300012" TargetMode="External" /><Relationship Type="http://schemas.openxmlformats.org/officeDocument/2006/relationships/hyperlink" Id="rId99" Target="https://doi.org/10.1590/S2179-975X3214" TargetMode="External" /><Relationship Type="http://schemas.openxmlformats.org/officeDocument/2006/relationships/hyperlink" Id="rId110" Target="https://doi.org/10.1590/s2179-975x1525" TargetMode="External" /><Relationship Type="http://schemas.openxmlformats.org/officeDocument/2006/relationships/hyperlink" Id="rId156" Target="https://doi.org/10.1590/s2179-975x6524" TargetMode="External" /><Relationship Type="http://schemas.openxmlformats.org/officeDocument/2006/relationships/hyperlink" Id="rId76" Target="https://doi.org/10.1890/0012-9658(2002)083[2091:SCOAMA]2.0.CO;2" TargetMode="External" /><Relationship Type="http://schemas.openxmlformats.org/officeDocument/2006/relationships/hyperlink" Id="rId166" Target="https://doi.org/10.1890/02-3127" TargetMode="External" /><Relationship Type="http://schemas.openxmlformats.org/officeDocument/2006/relationships/hyperlink" Id="rId83" Target="https://doi.org/10.1890/06-1736.1" TargetMode="External" /><Relationship Type="http://schemas.openxmlformats.org/officeDocument/2006/relationships/hyperlink" Id="rId30" Target="https://doi.org/10.1890/12-2010.1" TargetMode="External" /><Relationship Type="http://schemas.openxmlformats.org/officeDocument/2006/relationships/hyperlink" Id="rId153" Target="https://doi.org/10.2307/1217208" TargetMode="External" /><Relationship Type="http://schemas.openxmlformats.org/officeDocument/2006/relationships/hyperlink" Id="rId172" Target="https://doi.org/10.2307/1218190" TargetMode="External" /><Relationship Type="http://schemas.openxmlformats.org/officeDocument/2006/relationships/hyperlink" Id="rId64" Target="https://doi.org/10.2307/2412324" TargetMode="External" /><Relationship Type="http://schemas.openxmlformats.org/officeDocument/2006/relationships/hyperlink" Id="rId46" Target="https://doi.org/10.2307/3235592" TargetMode="External" /><Relationship Type="http://schemas.openxmlformats.org/officeDocument/2006/relationships/hyperlink" Id="rId89" Target="https://doi.org/10.2307/3545743" TargetMode="External" /><Relationship Type="http://schemas.openxmlformats.org/officeDocument/2006/relationships/hyperlink" Id="rId132" Target="https://doi.org/10.5194/hess-11-1633-2007" TargetMode="External" /><Relationship Type="http://schemas.openxmlformats.org/officeDocument/2006/relationships/hyperlink" Id="rId34" Target="https://doi.org/10.5902/2316305410852" TargetMode="External" /><Relationship Type="http://schemas.openxmlformats.org/officeDocument/2006/relationships/hyperlink" Id="rId116" Target="https://repositorio.uepb.edu.br/handle/123456789/3284" TargetMode="External" /><Relationship Type="http://schemas.openxmlformats.org/officeDocument/2006/relationships/hyperlink" Id="rId150" Target="https://repositorio.uepb.edu.br/handle/123456789/72589" TargetMode="External" /><Relationship Type="http://schemas.openxmlformats.org/officeDocument/2006/relationships/hyperlink" Id="rId60" Target="https://www.epa.gov/system/files/documents/2021-08/lg402a.v15-zooplankton-sampling_rfa.pdf" TargetMode="External" /><Relationship Type="http://schemas.openxmlformats.org/officeDocument/2006/relationships/hyperlink" Id="rId122" Target="https://www.gov.br/icmbio/pt-br/assuntos/biodiversidade/unidade-de-conservacao/unidades-de-biomas/mata-atlantica/lista-de-ucs/rebio-guaribas" TargetMode="External" /><Relationship Type="http://schemas.openxmlformats.org/officeDocument/2006/relationships/hyperlink" Id="rId124" Target="https://www.gov.br/icmbio/pt-br/centrais-de-conteudo/publicacoes/planos-de-manejo-integrado-do-fogo/Plano_de_Manejo_Integrado_do_Fogo_da_Reserva_Biologica_Guaribas.pdf" TargetMode="External" /><Relationship Type="http://schemas.openxmlformats.org/officeDocument/2006/relationships/hyperlink" Id="rId50" Target="https://www.planalto.gov.br/ccivil_03/leis/l9985.htm" TargetMode="External" /><Relationship Type="http://schemas.openxmlformats.org/officeDocument/2006/relationships/hyperlink" Id="rId137" Target="https://www.r-project.org/" TargetMode="External" /><Relationship Type="http://schemas.openxmlformats.org/officeDocument/2006/relationships/hyperlink" Id="rId32" Target="https://www.standardmethods.org/" TargetMode="External" /></Relationships>
</file>

<file path=word/_rels/footnotes.xml.rels><?xml version="1.0" encoding="UTF-8"?><Relationships xmlns="http://schemas.openxmlformats.org/package/2006/relationships"><Relationship Type="http://schemas.openxmlformats.org/officeDocument/2006/relationships/hyperlink" Id="rId52" Target="http://memoria2.cnpq.br/web/guest/view/-/journal_content/56_INSTANCE_0oED/10157/23142775" TargetMode="External" /><Relationship Type="http://schemas.openxmlformats.org/officeDocument/2006/relationships/hyperlink" Id="rId102" Target="https://CRAN.R-project.org/package=cluster" TargetMode="External" /><Relationship Type="http://schemas.openxmlformats.org/officeDocument/2006/relationships/hyperlink" Id="rId130" Target="https://cran.r-project.org/web/packages/vegan/vegan.pdf" TargetMode="External" /><Relationship Type="http://schemas.openxmlformats.org/officeDocument/2006/relationships/hyperlink" Id="rId54" Target="https://credit.niso.org/" TargetMode="External" /><Relationship Type="http://schemas.openxmlformats.org/officeDocument/2006/relationships/hyperlink" Id="rId85" Target="https://doi.org/10.1002/9780470316801.ch5" TargetMode="External" /><Relationship Type="http://schemas.openxmlformats.org/officeDocument/2006/relationships/hyperlink" Id="rId108" Target="https://doi.org/10.1002/aqc.805" TargetMode="External" /><Relationship Type="http://schemas.openxmlformats.org/officeDocument/2006/relationships/hyperlink" Id="rId147" Target="https://doi.org/10.1002/rra.3344" TargetMode="External" /><Relationship Type="http://schemas.openxmlformats.org/officeDocument/2006/relationships/hyperlink" Id="rId81" Target="https://doi.org/10.1007/978-3-319-58374-7_11" TargetMode="External" /><Relationship Type="http://schemas.openxmlformats.org/officeDocument/2006/relationships/hyperlink" Id="rId104" Target="https://doi.org/10.1007/978-94-011-7852-5" TargetMode="External" /><Relationship Type="http://schemas.openxmlformats.org/officeDocument/2006/relationships/hyperlink" Id="rId70" Target="https://doi.org/10.1007/BF01867358" TargetMode="External" /><Relationship Type="http://schemas.openxmlformats.org/officeDocument/2006/relationships/hyperlink" Id="rId26" Target="https://doi.org/10.1007/s10531-026-03286-z" TargetMode="External" /><Relationship Type="http://schemas.openxmlformats.org/officeDocument/2006/relationships/hyperlink" Id="rId126" Target="https://doi.org/10.1007/s10750-006-0252-7" TargetMode="External" /><Relationship Type="http://schemas.openxmlformats.org/officeDocument/2006/relationships/hyperlink" Id="rId68" Target="https://doi.org/10.1007/s10750-020-04187-0" TargetMode="External" /><Relationship Type="http://schemas.openxmlformats.org/officeDocument/2006/relationships/hyperlink" Id="rId36" Target="https://doi.org/10.1007/s13157-011-0178-3" TargetMode="External" /><Relationship Type="http://schemas.openxmlformats.org/officeDocument/2006/relationships/hyperlink" Id="rId66" Target="https://doi.org/10.1016/0006-3207(85)90055-2" TargetMode="External" /><Relationship Type="http://schemas.openxmlformats.org/officeDocument/2006/relationships/hyperlink" Id="rId170" Target="https://doi.org/10.1016/S0006-3207(97)00083-9" TargetMode="External" /><Relationship Type="http://schemas.openxmlformats.org/officeDocument/2006/relationships/hyperlink" Id="rId160" Target="https://doi.org/10.1016/j.biocon.2010.02.005" TargetMode="External" /><Relationship Type="http://schemas.openxmlformats.org/officeDocument/2006/relationships/hyperlink" Id="rId164" Target="https://doi.org/10.1016/j.biocon.2024.110499" TargetMode="External" /><Relationship Type="http://schemas.openxmlformats.org/officeDocument/2006/relationships/hyperlink" Id="rId134" Target="https://doi.org/10.1016/j.biocon.2026.111958" TargetMode="External" /><Relationship Type="http://schemas.openxmlformats.org/officeDocument/2006/relationships/hyperlink" Id="rId28" Target="https://doi.org/10.1016/j.dwt.2025.100991" TargetMode="External" /><Relationship Type="http://schemas.openxmlformats.org/officeDocument/2006/relationships/hyperlink" Id="rId38" Target="https://doi.org/10.1016/j.envres.2022.113563" TargetMode="External" /><Relationship Type="http://schemas.openxmlformats.org/officeDocument/2006/relationships/hyperlink" Id="rId143" Target="https://doi.org/10.1016/j.foreco.2020.118183" TargetMode="External" /><Relationship Type="http://schemas.openxmlformats.org/officeDocument/2006/relationships/hyperlink" Id="rId139" Target="https://doi.org/10.1016/j.jaridenv.2012.04.001" TargetMode="External" /><Relationship Type="http://schemas.openxmlformats.org/officeDocument/2006/relationships/hyperlink" Id="rId48" Target="https://doi.org/10.1016/j.limno.2012.07.007" TargetMode="External" /><Relationship Type="http://schemas.openxmlformats.org/officeDocument/2006/relationships/hyperlink" Id="rId40" Target="https://doi.org/10.1016/j.limno.2024.126170" TargetMode="External" /><Relationship Type="http://schemas.openxmlformats.org/officeDocument/2006/relationships/hyperlink" Id="rId141" Target="https://doi.org/10.1016/j.scitotenv.2022.153403" TargetMode="External" /><Relationship Type="http://schemas.openxmlformats.org/officeDocument/2006/relationships/hyperlink" Id="rId114" Target="https://doi.org/10.1016/j.watres.2026.126704" TargetMode="External" /><Relationship Type="http://schemas.openxmlformats.org/officeDocument/2006/relationships/hyperlink" Id="rId158" Target="https://doi.org/10.1029/TR038i006p00913" TargetMode="External" /><Relationship Type="http://schemas.openxmlformats.org/officeDocument/2006/relationships/hyperlink" Id="rId168" Target="https://doi.org/10.1034/j.1600-0706.2002.990101.x" TargetMode="External" /><Relationship Type="http://schemas.openxmlformats.org/officeDocument/2006/relationships/hyperlink" Id="rId128" Target="https://doi.org/10.1038/35002501" TargetMode="External" /><Relationship Type="http://schemas.openxmlformats.org/officeDocument/2006/relationships/hyperlink" Id="rId74" Target="https://doi.org/10.1046/j.1461-0248.2001.00230.x" TargetMode="External" /><Relationship Type="http://schemas.openxmlformats.org/officeDocument/2006/relationships/hyperlink" Id="rId72" Target="https://doi.org/10.1046/j.1523-1739.2003.01465.x" TargetMode="External" /><Relationship Type="http://schemas.openxmlformats.org/officeDocument/2006/relationships/hyperlink" Id="rId62" Target="https://doi.org/10.1080/20442041.2020.1738841" TargetMode="External" /><Relationship Type="http://schemas.openxmlformats.org/officeDocument/2006/relationships/hyperlink" Id="rId56" Target="https://doi.org/10.1086/378901" TargetMode="External" /><Relationship Type="http://schemas.openxmlformats.org/officeDocument/2006/relationships/hyperlink" Id="rId58" Target="https://doi.org/10.1111/j.1365-2427.2004.01219.x" TargetMode="External" /><Relationship Type="http://schemas.openxmlformats.org/officeDocument/2006/relationships/hyperlink" Id="rId93" Target="https://doi.org/10.1111/j.1365-2427.2009.02291.x" TargetMode="External" /><Relationship Type="http://schemas.openxmlformats.org/officeDocument/2006/relationships/hyperlink" Id="rId42" Target="https://doi.org/10.1111/j.1466-8238.2009.00490.x" TargetMode="External" /><Relationship Type="http://schemas.openxmlformats.org/officeDocument/2006/relationships/hyperlink" Id="rId44" Target="https://doi.org/10.1111/j.1466-8238.2011.00756.x" TargetMode="External" /><Relationship Type="http://schemas.openxmlformats.org/officeDocument/2006/relationships/hyperlink" Id="rId95" Target="https://doi.org/10.1111/j.1472-4642.2010.00739.x" TargetMode="External" /><Relationship Type="http://schemas.openxmlformats.org/officeDocument/2006/relationships/hyperlink" Id="rId162" Target="https://doi.org/10.1111/j.1600-0587.2009.06148.x" TargetMode="External" /><Relationship Type="http://schemas.openxmlformats.org/officeDocument/2006/relationships/hyperlink" Id="rId120" Target="https://doi.org/10.1111/j.1752-1688.2007.00008.x" TargetMode="External" /><Relationship Type="http://schemas.openxmlformats.org/officeDocument/2006/relationships/hyperlink" Id="rId118" Target="https://doi.org/10.1155/2013/946361" TargetMode="External" /><Relationship Type="http://schemas.openxmlformats.org/officeDocument/2006/relationships/hyperlink" Id="rId145" Target="https://doi.org/10.1186/1029-242X-2013-203" TargetMode="External" /><Relationship Type="http://schemas.openxmlformats.org/officeDocument/2006/relationships/hyperlink" Id="rId97" Target="https://doi.org/10.1371/journal.pone.0109581" TargetMode="External" /><Relationship Type="http://schemas.openxmlformats.org/officeDocument/2006/relationships/hyperlink" Id="rId78" Target="https://doi.org/10.15560/13.5.581" TargetMode="External" /><Relationship Type="http://schemas.openxmlformats.org/officeDocument/2006/relationships/hyperlink" Id="rId87" Target="https://doi.org/10.1590/S0101-81752004000200011" TargetMode="External" /><Relationship Type="http://schemas.openxmlformats.org/officeDocument/2006/relationships/hyperlink" Id="rId106" Target="https://doi.org/10.1590/S1679-62252006000300012" TargetMode="External" /><Relationship Type="http://schemas.openxmlformats.org/officeDocument/2006/relationships/hyperlink" Id="rId99" Target="https://doi.org/10.1590/S2179-975X3214" TargetMode="External" /><Relationship Type="http://schemas.openxmlformats.org/officeDocument/2006/relationships/hyperlink" Id="rId110" Target="https://doi.org/10.1590/s2179-975x1525" TargetMode="External" /><Relationship Type="http://schemas.openxmlformats.org/officeDocument/2006/relationships/hyperlink" Id="rId156" Target="https://doi.org/10.1590/s2179-975x6524" TargetMode="External" /><Relationship Type="http://schemas.openxmlformats.org/officeDocument/2006/relationships/hyperlink" Id="rId76" Target="https://doi.org/10.1890/0012-9658(2002)083[2091:SCOAMA]2.0.CO;2" TargetMode="External" /><Relationship Type="http://schemas.openxmlformats.org/officeDocument/2006/relationships/hyperlink" Id="rId166" Target="https://doi.org/10.1890/02-3127" TargetMode="External" /><Relationship Type="http://schemas.openxmlformats.org/officeDocument/2006/relationships/hyperlink" Id="rId83" Target="https://doi.org/10.1890/06-1736.1" TargetMode="External" /><Relationship Type="http://schemas.openxmlformats.org/officeDocument/2006/relationships/hyperlink" Id="rId30" Target="https://doi.org/10.1890/12-2010.1" TargetMode="External" /><Relationship Type="http://schemas.openxmlformats.org/officeDocument/2006/relationships/hyperlink" Id="rId153" Target="https://doi.org/10.2307/1217208" TargetMode="External" /><Relationship Type="http://schemas.openxmlformats.org/officeDocument/2006/relationships/hyperlink" Id="rId172" Target="https://doi.org/10.2307/1218190" TargetMode="External" /><Relationship Type="http://schemas.openxmlformats.org/officeDocument/2006/relationships/hyperlink" Id="rId64" Target="https://doi.org/10.2307/2412324" TargetMode="External" /><Relationship Type="http://schemas.openxmlformats.org/officeDocument/2006/relationships/hyperlink" Id="rId46" Target="https://doi.org/10.2307/3235592" TargetMode="External" /><Relationship Type="http://schemas.openxmlformats.org/officeDocument/2006/relationships/hyperlink" Id="rId89" Target="https://doi.org/10.2307/3545743" TargetMode="External" /><Relationship Type="http://schemas.openxmlformats.org/officeDocument/2006/relationships/hyperlink" Id="rId132" Target="https://doi.org/10.5194/hess-11-1633-2007" TargetMode="External" /><Relationship Type="http://schemas.openxmlformats.org/officeDocument/2006/relationships/hyperlink" Id="rId34" Target="https://doi.org/10.5902/2316305410852" TargetMode="External" /><Relationship Type="http://schemas.openxmlformats.org/officeDocument/2006/relationships/hyperlink" Id="rId116" Target="https://repositorio.uepb.edu.br/handle/123456789/3284" TargetMode="External" /><Relationship Type="http://schemas.openxmlformats.org/officeDocument/2006/relationships/hyperlink" Id="rId150" Target="https://repositorio.uepb.edu.br/handle/123456789/72589" TargetMode="External" /><Relationship Type="http://schemas.openxmlformats.org/officeDocument/2006/relationships/hyperlink" Id="rId60" Target="https://www.epa.gov/system/files/documents/2021-08/lg402a.v15-zooplankton-sampling_rfa.pdf" TargetMode="External" /><Relationship Type="http://schemas.openxmlformats.org/officeDocument/2006/relationships/hyperlink" Id="rId122" Target="https://www.gov.br/icmbio/pt-br/assuntos/biodiversidade/unidade-de-conservacao/unidades-de-biomas/mata-atlantica/lista-de-ucs/rebio-guaribas" TargetMode="External" /><Relationship Type="http://schemas.openxmlformats.org/officeDocument/2006/relationships/hyperlink" Id="rId124" Target="https://www.gov.br/icmbio/pt-br/centrais-de-conteudo/publicacoes/planos-de-manejo-integrado-do-fogo/Plano_de_Manejo_Integrado_do_Fogo_da_Reserva_Biologica_Guaribas.pdf" TargetMode="External" /><Relationship Type="http://schemas.openxmlformats.org/officeDocument/2006/relationships/hyperlink" Id="rId50" Target="https://www.planalto.gov.br/ccivil_03/leis/l9985.htm" TargetMode="External" /><Relationship Type="http://schemas.openxmlformats.org/officeDocument/2006/relationships/hyperlink" Id="rId137" Target="https://www.r-project.org/" TargetMode="External" /><Relationship Type="http://schemas.openxmlformats.org/officeDocument/2006/relationships/hyperlink" Id="rId32" Target="https://www.standardmethod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LibreOffice/6.0.7.3$Linux_X86_64 LibreOffice_project/00m0$Build-3</Application>
  <Pages>3</Pages>
  <Words>543</Words>
  <Characters>3022</Characters>
  <CharactersWithSpaces>3610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Zooplankton diversity partitioning: implications for stream conservation in the Atlantic Forest</dc:title>
  <dc:creator>Ellen Gomes da Silva; Mayara Mirelly da Silva Monteiro; Marcela Vitória Bernardo da Silva; Ludmilla Cavalcanti Antunes Lucena; Thais Xavier de Melo; Elvio Sergio Figueredo Medeiros</dc:creator>
  <dc:language>en-US</dc:language>
  <cp:keywords>Floresta Atlântica, Zooplâncton, Riachos tropicais, Partição da diversidade, Sazonalidade climática</cp:keywords>
  <dcterms:created xsi:type="dcterms:W3CDTF">2026-10-17T01:11:03Z</dcterms:created>
  <dcterms:modified xsi:type="dcterms:W3CDTF">2026-10-17T01:11:03Z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vt:lpwstr>
  </property>
  <property fmtid="{D5CDD505-2E9C-101B-9397-08002B2CF9AE}" pid="3" name="affiliations">
    <vt:lpwstr/>
  </property>
  <property fmtid="{D5CDD505-2E9C-101B-9397-08002B2CF9AE}" pid="4" name="always_allow_html">
    <vt:lpwstr>yes</vt:lpwstr>
  </property>
  <property fmtid="{D5CDD505-2E9C-101B-9397-08002B2CF9AE}" pid="5" name="authors">
    <vt:lpwstr/>
  </property>
  <property fmtid="{D5CDD505-2E9C-101B-9397-08002B2CF9AE}" pid="6" name="biblio-config">
    <vt:lpwstr>True</vt:lpwstr>
  </property>
  <property fmtid="{D5CDD505-2E9C-101B-9397-08002B2CF9AE}" pid="7" name="bibliography">
    <vt:lpwstr>refs/references_ms.bib</vt:lpwstr>
  </property>
  <property fmtid="{D5CDD505-2E9C-101B-9397-08002B2CF9AE}" pid="8" name="by-affiliation">
    <vt:lpwstr/>
  </property>
  <property fmtid="{D5CDD505-2E9C-101B-9397-08002B2CF9AE}" pid="9" name="by-author">
    <vt:lpwstr/>
  </property>
  <property fmtid="{D5CDD505-2E9C-101B-9397-08002B2CF9AE}" pid="10" name="code-copy">
    <vt:lpwstr>True</vt:lpwstr>
  </property>
  <property fmtid="{D5CDD505-2E9C-101B-9397-08002B2CF9AE}" pid="11" name="csl">
    <vt:lpwstr>refs/ecology.csl</vt:lpwstr>
  </property>
  <property fmtid="{D5CDD505-2E9C-101B-9397-08002B2CF9AE}" pid="12" name="date">
    <vt:lpwstr>2026-10-16</vt:lpwstr>
  </property>
  <property fmtid="{D5CDD505-2E9C-101B-9397-08002B2CF9AE}" pid="13" name="editor">
    <vt:lpwstr>source</vt:lpwstr>
  </property>
  <property fmtid="{D5CDD505-2E9C-101B-9397-08002B2CF9AE}" pid="14" name="editor_options">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of">
    <vt:lpwstr>True</vt:lpwstr>
  </property>
  <property fmtid="{D5CDD505-2E9C-101B-9397-08002B2CF9AE}" pid="20" name="lot">
    <vt:lpwstr>False</vt:lpwstr>
  </property>
  <property fmtid="{D5CDD505-2E9C-101B-9397-08002B2CF9AE}" pid="21" name="subtitle">
    <vt:lpwstr>Short title: Zooplankton diversity partitioning in Atlantic Forest streams  ON  Acta Limnologica Brasiliensia</vt:lpwstr>
  </property>
  <property fmtid="{D5CDD505-2E9C-101B-9397-08002B2CF9AE}" pid="22" name="toc-title">
    <vt:lpwstr>Table of contents</vt:lpwstr>
  </property>
</Properties>
</file>