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88.png" ContentType="image/png"/>
  <Override PartName="/word/media/rId103.png" ContentType="image/png"/>
  <Override PartName="/word/media/rId93.png" ContentType="image/png"/>
  <Override PartName="/word/media/rId98.png" ContentType="image/png"/>
  <Override PartName="/word/media/rId118.png" ContentType="image/png"/>
  <Override PartName="/word/media/rId108.png" ContentType="image/png"/>
  <Override PartName="/word/media/rId11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2026-09-26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(J. M. C. Silva &amp;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w:t>
      </w:r>
      <w:r>
        <w:rPr>
          <w:b/>
          <w:bCs/>
        </w:rPr>
        <w:t xml:space="preserve">heinrichs2017?</w:t>
      </w:r>
      <w:r>
        <w:t xml:space="preserve">)</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w:t>
      </w:r>
      <w:r>
        <w:rPr>
          <w:b/>
          <w:bCs/>
        </w:rPr>
        <w:t xml:space="preserve">arruda2013?</w:t>
      </w:r>
      <w:r>
        <w:t xml:space="preserve">;</w:t>
      </w:r>
      <w:r>
        <w:t xml:space="preserve"> </w:t>
      </w:r>
      <w:r>
        <w:rPr>
          <w:b/>
          <w:bCs/>
        </w:rPr>
        <w:t xml:space="preserve">mma2026?</w:t>
      </w:r>
      <w:r>
        <w:t xml:space="preserve">)</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 (Strahler</w:t>
      </w:r>
      <w:r>
        <w:t xml:space="preserve"> </w:t>
      </w:r>
      <w:r>
        <w:t xml:space="preserve">(1957)</w:t>
      </w:r>
      <w:r>
        <w:t xml:space="preserve"> </w:t>
      </w:r>
      <w:r>
        <w:t xml:space="preserve">classification) (</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Sampling was conducted during the dry (January-February) and rainy (June-July) periods of 2024 in two Atlantic Forest streams. A total of 15 sampling sites were distributed longitudinally across the two streams to capture spatial variation in environmental conditions and habitat characteristics. The Barro Branco stream included sampling sites located within the protected area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w:t>
      </w:r>
    </w:p>
    <w:p>
      <w:pPr>
        <w:pStyle w:val="TextBody"/>
      </w:pPr>
      <w:r>
        <w:t xml:space="preserve">For comparative purposes, sampling sites were assigned</w:t>
      </w:r>
      <w:r>
        <w:t xml:space="preserve"> </w:t>
      </w:r>
      <w:r>
        <w:rPr>
          <w:i/>
          <w:iCs/>
        </w:rPr>
        <w:t xml:space="preserve">a priori</w:t>
      </w:r>
      <w:r>
        <w:t xml:space="preserve"> </w:t>
      </w:r>
      <w:r>
        <w:t xml:space="preserve">to one of four environmental categories based on their location relative to the protected area and their expected environmental conditions (</w:t>
      </w:r>
      <w:r>
        <w:rPr>
          <w:b/>
          <w:bCs/>
        </w:rPr>
        <w:t xml:space="preserve">?@fig-refsites</w:t>
      </w:r>
      <w:r>
        <w:t xml:space="preserve">). Type I sites, considered reference sites for this study, were located within the protected area and were expected to represent the best-preserved conditions. These sites were characterized by well-preserved riparian vegetation and the absence of agricultural fields within a 1-km radius. They were also expected to meet the following environmental criteria: mean water temperature ≤ 28 °C, mean dissolved oxygen concentration ≥ 6 mg/L, mean water velocity ≥ 0.025 m/s, and mean turbidity ≤ 15 NTU. Type II sites were also located within the protected area but were expected to show some degree of environmental alteration. This category included sites located close to agricultural areas or sites that failed to meet one or more of the environmental or hydrological criteria established for Type I sites. Type III sites were located outside the protected area but were expected to maintain relatively favorable water-quality conditions, broadly comparable to those observed at reference sites. However, because these sites were situated outside the REBIO, they were not expected to satisfy the criteria related to intact riparian vegetation or a minimum distance of 1 km from agricultural fields. Finally, Type IV sites were located outside the protected area and were characterized by evidence of environmental disturbance. These sites did not meet at least one of the water-quality criteria established for reference sites and showed alterations in habitat characteristics relative to Type I sites. As with Type III sites, the criteria concerning riparian forest integrity and distance from agricultural fields were not met for this category because these sites were intentionally selected outside the REBIO. The classification was subsequently evaluated and confirmed using environmental measurements collected</w:t>
      </w:r>
      <w:r>
        <w:t xml:space="preserve"> </w:t>
      </w:r>
      <w:r>
        <w:rPr>
          <w:i/>
          <w:iCs/>
        </w:rPr>
        <w:t xml:space="preserve">in situ</w:t>
      </w:r>
      <w:r>
        <w:t xml:space="preserve">.</w:t>
      </w:r>
    </w:p>
    <w:bookmarkEnd w:id="14"/>
    <w:bookmarkStart w:id="15" w:name="environmental-data-collection"/>
    <w:p>
      <w:pPr>
        <w:pStyle w:val="Heading2"/>
      </w:pPr>
      <w:r>
        <w:t xml:space="preserve">2.2 Environmental data collection</w:t>
      </w:r>
    </w:p>
    <w:p>
      <w:pPr>
        <w:pStyle w:val="FirstParagraph"/>
      </w:pPr>
      <w:r>
        <w:t xml:space="preserve">To evaluate whether the a priori classification of sampling sites into Types I–IV was supported by quantitative environmental information, environmental conditions were characterized using four groups of variables: site morphology, water quality, substrate composition, and marginal habitat structure.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Substrate composition and the physical structure of marginal habitats were evaluated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Between 9 and 12 quadrats (1 m²) were distributed along the terrestrial–aquatic interface at each sampling site. Within each quadrat, the proportional cover of different substrate categories was visually estimated, including mud, sand, cobbles, small and large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w:t>
      </w:r>
      <w:r>
        <w:rPr>
          <w:b/>
          <w:bCs/>
        </w:rPr>
        <w:t xml:space="preserve">apha1998?</w:t>
      </w:r>
      <w:r>
        <w:t xml:space="preserve">)</w:t>
      </w:r>
      <w:r>
        <w:t xml:space="preserve"> </w:t>
      </w:r>
      <w:r>
        <w:t xml:space="preserve">and</w:t>
      </w:r>
      <w:r>
        <w:t xml:space="preserve"> </w:t>
      </w:r>
      <w:r>
        <w:t xml:space="preserve">(</w:t>
      </w:r>
      <w:r>
        <w:rPr>
          <w:b/>
          <w:bCs/>
        </w:rPr>
        <w:t xml:space="preserve">mackereth1978?</w:t>
      </w:r>
      <w:r>
        <w:t xml:space="preserve">)</w:t>
      </w:r>
      <w:r>
        <w:t xml:space="preserve">.</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w:t>
      </w:r>
      <w:r>
        <w:rPr>
          <w:b/>
          <w:bCs/>
        </w:rPr>
        <w:t xml:space="preserve">miranda2012?</w:t>
      </w:r>
      <w:r>
        <w:t xml:space="preserve">)</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 Sucrose was added to the preserved material to reduce the loss of eggs by female cladocerans and minimize deformation of zooplankton carapaces</w:t>
      </w:r>
      <w:r>
        <w:t xml:space="preserve"> </w:t>
      </w:r>
      <w:r>
        <w:t xml:space="preserve">(Haney &amp;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p>
    <w:p>
      <w:pPr>
        <w:pStyle w:val="TextBody"/>
      </w:pPr>
      <w:r>
        <w:t xml:space="preserve">Zooplankton was collected using a plankton net (opening diameter 30 cm, 70 cm long, pore size 60 µm and sample cup of 80 mL). At three different locations, at each site, one sample of fifty liters of water was filtered through the net. Commercial sparkling water was added to the sample to narcotize the zooplankters, which were the preserved in 4% formalin (EPA 2013). Sucrose was added to the preserved sample to prevent female cladocerans from losing eggs and to minimize carapace distortion (Haney e Hall 1973). In the laboratory, three subsample aliquots of 1 mL were taken from each sample and all individuals were identified and counted in a Sedgewick-Rafter counting cell (Koste 1978, Elmoor-Loureiro 1997, Elmoor-Loureiro e Sousa 2021, GBIF.org 2023, NIES 2023, Haney J. F. et al 2024). Only rotifers, cladocerans and copepods were considered in the present study.</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w:t>
      </w:r>
      <w:r>
        <w:rPr>
          <w:b/>
          <w:bCs/>
        </w:rPr>
        <w:t xml:space="preserve">legendre1998?</w:t>
      </w:r>
      <w:r>
        <w:t xml:space="preserve">)</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&amp;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w:t>
      </w:r>
      <w:r>
        <w:rPr>
          <w:b/>
          <w:bCs/>
        </w:rPr>
        <w:t xml:space="preserve">mccune2002?</w:t>
      </w:r>
      <w:r>
        <w:t xml:space="preserve">)</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w:t>
      </w:r>
      <w:r>
        <w:rPr>
          <w:b/>
          <w:bCs/>
        </w:rPr>
        <w:t xml:space="preserve">lê2008?</w:t>
      </w:r>
      <w:r>
        <w:t xml:space="preserve">)</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w:t>
      </w:r>
    </w:p>
    <w:p>
      <w:pPr>
        <w:pStyle w:val="TextBody"/>
      </w:pPr>
      <w:r>
        <w:t xml:space="preserve">Zooplankton diversity was characterized using species richness (R) and Shannon’s density (D)</w:t>
      </w:r>
      <w:r>
        <w:t xml:space="preserve"> </w:t>
      </w:r>
      <w:r>
        <w:t xml:space="preserve">(Magurran, 2013)</w:t>
      </w:r>
      <w:r>
        <w:t xml:space="preserve">. Species richness was calculated as the number of species recorded in each sample, whereas density was expressed as the number of individuals per liter (ind./L)</w:t>
      </w:r>
      <w:r>
        <w:t xml:space="preserve"> </w:t>
      </w:r>
      <w:r>
        <w:t xml:space="preserve">(Bowen, 2017; S. C. Silva, 2017)</w:t>
      </w:r>
      <w:r>
        <w:t xml:space="preserve">. Variation in richness and density was evaluated using factorial analysis of variance (ANOVA) followed by</w:t>
      </w:r>
      <w:r>
        <w:t xml:space="preserve"> </w:t>
      </w:r>
      <w:r>
        <w:rPr>
          <w:i/>
          <w:iCs/>
        </w:rPr>
        <w:t xml:space="preserve">post hoc</w:t>
      </w:r>
      <w:r>
        <w:t xml:space="preserve"> </w:t>
      </w:r>
      <w:r>
        <w:t xml:space="preserve">multiple comparisons using Tukey’s HSD test (α=0.05)</w:t>
      </w:r>
      <w:r>
        <w:t xml:space="preserve"> </w:t>
      </w:r>
      <w:r>
        <w:t xml:space="preserve">(Zar, 2010)</w:t>
      </w:r>
      <w:r>
        <w:t xml:space="preserve">. Density was square root transformed to enhance normality and homogeneity of variances</w:t>
      </w:r>
      <w:r>
        <w:t xml:space="preserve"> </w:t>
      </w:r>
      <w:r>
        <w:t xml:space="preserve">(Sokal &amp; Rohlf, 1995)</w:t>
      </w:r>
      <w:r>
        <w:t xml:space="preserve"> </w:t>
      </w:r>
      <w:r>
        <w:t xml:space="preserve">and species richness was corrected based on rarefied analyses for the average number of individuals from all sites</w:t>
      </w:r>
      <w:r>
        <w:t xml:space="preserve"> </w:t>
      </w:r>
      <w:r>
        <w:t xml:space="preserve">(Chao et al., 2014; Oksanen et al., n.d.)</w:t>
      </w:r>
      <w:r>
        <w:t xml:space="preserve">.</w:t>
      </w:r>
    </w:p>
    <w:p>
      <w:pPr>
        <w:pStyle w:val="TextBody"/>
      </w:pPr>
      <w:r>
        <w:t xml:space="preserve">Each observation was classified according to three factors: river reach (three levels), habitat (three levels), and hydrological season (wet and dry). The analysis initially considered the full factorial model. When significant interactions were detected, higher-order interactions were examined first, followed by the corresponding two-way interactions (reach × season, reach × habitat, and season × habitat) and, subsequently, the main effects. Response variables were transformed using log₁₀(x + 1) to improve compliance with assumptions of normality and homogeneity of variances [39]. Differences among factor levels were subsequently investigated using Tukey’s HSD test at α = 0.05. –&gt;</w:t>
      </w:r>
    </w:p>
    <w:p>
      <w:pPr>
        <w:pStyle w:val="TextBody"/>
      </w:pPr>
      <w:r>
        <w:t xml:space="preserve">Differences in assemblage composition across the spatial hierarchy were explored using hierarchical agglomerative clustering. Bray–Curtis dissimilarities were calculated from the density matrix, and clusters were formed using the flexible beta linkage method (β = −0.25)</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 (</w:t>
      </w:r>
      <w:r>
        <w:t xml:space="preserve">(</w:t>
      </w:r>
      <w:r>
        <w:rPr>
          <w:b/>
          <w:bCs/>
        </w:rPr>
        <w:t xml:space="preserve">Rocha2012?</w:t>
      </w:r>
      <w:r>
        <w:t xml:space="preserve">)</w:t>
      </w:r>
      <w:r>
        <w:t xml:space="preserve">). The resulting dendrogram was interpreted visually, and the number of groups retained was determined using a cut-off corresponding to 25% or less of the remaining information</w:t>
      </w:r>
      <w:r>
        <w:t xml:space="preserve"> </w:t>
      </w:r>
      <w:r>
        <w:t xml:space="preserve">(Quinn &amp; Keough, 2023)</w:t>
      </w:r>
      <w:r>
        <w:t xml:space="preserve">. ####VOLTAR AQUI#### The statistical significance of compositional differences among groups and spatial levels was evaluated using the Multi-Response Permutation Procedure (MRPP) (</w:t>
      </w:r>
      <w:r>
        <w:t xml:space="preserve">(</w:t>
      </w:r>
      <w:r>
        <w:rPr>
          <w:b/>
          <w:bCs/>
        </w:rPr>
        <w:t xml:space="preserve">Biondini1985?</w:t>
      </w:r>
      <w:r>
        <w:t xml:space="preserve">)</w:t>
      </w:r>
      <w:r>
        <w:t xml:space="preserve">;</w:t>
      </w:r>
      <w:r>
        <w:t xml:space="preserve"> </w:t>
      </w:r>
      <w:r>
        <w:t xml:space="preserve">(</w:t>
      </w:r>
      <w:r>
        <w:rPr>
          <w:b/>
          <w:bCs/>
        </w:rPr>
        <w:t xml:space="preserve">McCuneGrace2002?</w:t>
      </w:r>
      <w:r>
        <w:t xml:space="preserve">)</w:t>
      </w:r>
      <w:r>
        <w:t xml:space="preserve">). In addition to the probability associated with the test, the MRPP agreement statistic (</w:t>
      </w:r>
      <w:r>
        <w:rPr>
          <w:i/>
          <w:iCs/>
        </w:rPr>
        <w:t xml:space="preserve">A</w:t>
      </w:r>
      <w:r>
        <w:t xml:space="preserve">) was used to describe within-group homogeneity relative to that expected under random grouping. Both the hierarchical clustering and MRPP analyses were conducted in PC-ORD version 7.07 (</w:t>
      </w:r>
      <w:r>
        <w:t xml:space="preserve">(</w:t>
      </w:r>
      <w:r>
        <w:rPr>
          <w:b/>
          <w:bCs/>
        </w:rPr>
        <w:t xml:space="preserve">McCuneMefford2018?</w:t>
      </w:r>
      <w:r>
        <w:t xml:space="preserve">)</w:t>
      </w:r>
      <w:r>
        <w:t xml:space="preserve">).–&gt;</w:t>
      </w:r>
    </w:p>
    <w:p>
      <w:pPr>
        <w:pStyle w:val="TextBody"/>
      </w:pPr>
      <w:r>
        <w:t xml:space="preserve">Additive diversity partitioning was used to quantify the contribution of within- and between-unit diversity to total zooplankton diversity. In this framework, alpha diversity (α) represents diversity occurring within sampling units, whereas beta diversity (β) represents the contribution of differences among units at successive levels of the spatial hierarchy. The hierarchical structure included three spatial scales. The finest scale consisted of habitat samples within each site (n = 3), the intermediate scale corresponded to each site (n = 18, for the Barro Branco stream, and n = 27, for the Caiana stream), whereas the broadest scale represented differences among the upper and lower river sections (n = 36, for the Barro Branco stream, and n = 54, for the Caiana stream). Accordingly, total diversity (γ) was decomposed into within-habitat diversity (α₁) and the successive beta components associated with differences among habitats (β₁), among sites withing river reaches (β₂), and among river reaches (β₃). The contribution of each component was expressed as a percentage of total diversity. To investigate seasonal variation in the hierarchical structure of diversity, additive partitioning was performed independently for the wet and dry seasons and for each stream. –&gt;</w:t>
      </w:r>
    </w:p>
    <w:p>
      <w:pPr>
        <w:pStyle w:val="TextBody"/>
      </w:pPr>
      <w:r>
        <w:t xml:space="preserve">Additive diversity partitioning was conducted in R using the</w:t>
      </w:r>
      <w:r>
        <w:t xml:space="preserve"> </w:t>
      </w:r>
      <w:r>
        <w:rPr>
          <w:i/>
          <w:iCs/>
        </w:rPr>
        <w:t xml:space="preserve">adipart</w:t>
      </w:r>
      <w:r>
        <w:t xml:space="preserve"> </w:t>
      </w:r>
      <w:r>
        <w:t xml:space="preserve">function implemented in the</w:t>
      </w:r>
      <w:r>
        <w:t xml:space="preserve"> </w:t>
      </w:r>
      <w:r>
        <w:rPr>
          <w:rStyle w:val="VerbatimChar"/>
        </w:rPr>
        <w:t xml:space="preserve">Vegan</w:t>
      </w:r>
      <w:r>
        <w:t xml:space="preserve"> </w:t>
      </w:r>
      <w:r>
        <w:t xml:space="preserve">package</w:t>
      </w:r>
      <w:r>
        <w:t xml:space="preserve"> </w:t>
      </w:r>
      <w:r>
        <w:t xml:space="preserve">(Oksanen et al., n.d.; R Core Team, 2017)</w:t>
      </w:r>
      <w:r>
        <w:t xml:space="preserve">. Significance was evaluated using individual-based randomizations under a Type I null model</w:t>
      </w:r>
      <w:r>
        <w:t xml:space="preserve"> </w:t>
      </w:r>
      <w:r>
        <w:t xml:space="preserve">(Crist et al., 2003)</w:t>
      </w:r>
      <w:r>
        <w:t xml:space="preserve">. For each hierarchical level, 10,000 randomized communities were generated to produce null distributions for the corresponding α- and β-diversity components. The observed diversity components were then compared with their respective null distributions. The probabilities generated by the randomization procedure were interpreted as measures of departure from random expectations, Values below 0.05 indicated that the observed component was significantly greater than expected under the null model, whereas values above 0.95 indicated that the observed value was significantly lower than expected</w:t>
      </w:r>
      <w:r>
        <w:t xml:space="preserve"> </w:t>
      </w:r>
      <w:r>
        <w:t xml:space="preserve">(Gering et al., 2003; Veech et al., 2003)</w:t>
      </w:r>
      <w:r>
        <w:t xml:space="preserve">.–&gt;</w:t>
      </w:r>
    </w:p>
    <w:bookmarkEnd w:id="17"/>
    <w:bookmarkEnd w:id="18"/>
    <w:bookmarkStart w:id="22" w:name="results"/>
    <w:p>
      <w:pPr>
        <w:pStyle w:val="Heading1"/>
      </w:pPr>
      <w:r>
        <w:t xml:space="preserve">3. Results</w:t>
      </w:r>
    </w:p>
    <w:bookmarkStart w:id="19" w:name="X412dffe26fbcba18072f2196a47dcb94ee5ca39"/>
    <w:p>
      <w:pPr>
        <w:pStyle w:val="Heading2"/>
      </w:pPr>
      <w:r>
        <w:t xml:space="preserve">3.1 Environmental variables and nutrient concentration</w:t>
      </w:r>
    </w:p>
    <w:p>
      <w:pPr>
        <w:pStyle w:val="FirstParagraph"/>
      </w:pPr>
      <w:r>
        <w:t xml:space="preserve">Water velocity ranged from 0.022 to 0.293 m/s, with the highest values recorded at site 5. Width varied from 1.2 to 7.2 m, while depth ranged from 13.7 to 44.2 cm. Waters were, on average, well oxygenated (from 5.4 to 8.1 mg/L), and cool, with average temperatures from 25.2 to 27.8 °C. Conductivity was high, between 129.0 and 163.3 μS/cm, and pH, neutral to slightly acidic (from 5.5 to 7.0). Turbidity was generally low, although higher values were observed at sites 5 and 6, reaching 17.5 and 29.6 NTU, respectively. Elevation ranged from 41.5 to 112.8 m a.s.l., while the slope reached 50° for some sites.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a more reduced habitat complexity. Sites 4–6 displayed greater variation in habitat composition. Overall, the habitat structures contributing most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their differences (</w:t>
      </w:r>
      <w:hyperlink w:anchor="fig-hab_PCA_ref-site">
        <w:r>
          <w:rPr>
            <w:rStyle w:val="Hyperlink"/>
          </w:rPr>
          <w:t xml:space="preserve">Figure 2</w:t>
        </w:r>
      </w:hyperlink>
      <w:r>
        <w:t xml:space="preserve"> </w:t>
      </w:r>
      <w:r>
        <w:t xml:space="preserve">and</w:t>
      </w:r>
      <w:r>
        <w:t xml:space="preserve"> </w:t>
      </w:r>
      <w:hyperlink w:anchor="fig-hab_PCA_rio">
        <w:r>
          <w:rPr>
            <w:rStyle w:val="Hyperlink"/>
          </w:rPr>
          <w:t xml:space="preserve">Figure 3</w:t>
        </w:r>
      </w:hyperlink>
      <w:r>
        <w:t xml:space="preserve">). The first two principal components explained 37% of the total variance, with the first axis accounting for 21.1%. PCA confirmed the expected quality of sites, separating site types (</w:t>
      </w:r>
      <w:hyperlink w:anchor="fig-hab_PCA_ref-site">
        <w:r>
          <w:rPr>
            <w:rStyle w:val="Hyperlink"/>
          </w:rPr>
          <w:t xml:space="preserve">Figure 2</w:t>
        </w:r>
      </w:hyperlink>
      <w:r>
        <w:t xml:space="preserve">), where site types I and II where associated with higher elevation, the presence of algae and lieaf litter, and where dominated by muddy substrate. Sites type III, tended to have higher water velocity and the presence of gravel and sand as substrate. The presence of root masses and greater inclination on the margins were also important features of these sites. Sites type IV showed a wide range of environmental characteristics, certainly due to their greater number. Nonetheless, these sites may be associated with greater depths, the presence of rocks in the substrate, and higher pH and turbidity. Comparison of the two study streams showed that, the Barro Branco stream tended to have a greater presence of algae, macrophytes, leaf litter and submerged vegetation as major habitat structures, a muddy substrate and an overall higher elevation. The Caiana stream was characterized by sandy substrate, with occasionally gravel and rocks, higher depths, and higher pH, turbidity, and water velocity. Dry and rainy seasons did not show clear segregation in the PCA.</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 L⁻¹. The Caiana stream tended to have greater values, overall no clear trend can be observed when comparing both streams. Nitrite and nitrate, on the other hand, show greater concentrations at the Caiana stream, the latter varying from 166.4 to 2003.0 µg L⁻¹, compared with the maximum of 18.8 µg L⁻¹ at the Barro Branco stream. Nitrite was too low to be detectable at the Barro Branco stream. The same pattern was observed for orthophosphate concentrations, being barely detectable at Barro Branco stream, and varying from 4.0 to 13.0 µg L⁻¹ at the Caiana stream. Total phosphorus, however, tended to have higher concentrations at Barro Branco stream, reaching 50.1 µg L⁻¹ at Site 3, but with highly variable values (from non detectable to 38.7 µg L⁻¹, as the second highest value).</w:t>
      </w:r>
    </w:p>
    <w:bookmarkEnd w:id="19"/>
    <w:bookmarkStart w:id="20" w:name="community-structure"/>
    <w:p>
      <w:pPr>
        <w:pStyle w:val="Heading2"/>
      </w:pPr>
      <w:r>
        <w:t xml:space="preserve">3.2 Community structure</w:t>
      </w:r>
    </w:p>
    <w:bookmarkEnd w:id="20"/>
    <w:bookmarkStart w:id="21" w:name="diversity-partitioning"/>
    <w:p>
      <w:pPr>
        <w:pStyle w:val="Heading2"/>
      </w:pPr>
      <w:r>
        <w:t xml:space="preserve">3.3 Diversity Partitioning</w:t>
      </w:r>
    </w:p>
    <w:bookmarkEnd w:id="21"/>
    <w:bookmarkEnd w:id="22"/>
    <w:bookmarkStart w:id="23" w:name="discussion"/>
    <w:p>
      <w:pPr>
        <w:pStyle w:val="Heading1"/>
      </w:pPr>
      <w:r>
        <w:t xml:space="preserve">4. Discussion</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26"/>
    <w:bookmarkStart w:id="27"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87" w:name="references"/>
    <w:p>
      <w:pPr>
        <w:pStyle w:val="Heading1"/>
      </w:pPr>
      <w:r>
        <w:t xml:space="preserve">References</w:t>
      </w:r>
    </w:p>
    <w:bookmarkStart w:id="86" w:name="refs"/>
    <w:bookmarkStart w:id="30"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29">
        <w:r>
          <w:rPr>
            <w:rStyle w:val="Hyperlink"/>
          </w:rPr>
          <w:t xml:space="preserve">https://doi.org/10.1007/s13157-011-0178-3</w:t>
        </w:r>
      </w:hyperlink>
    </w:p>
    <w:bookmarkEnd w:id="30"/>
    <w:bookmarkStart w:id="32"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31">
        <w:r>
          <w:rPr>
            <w:rStyle w:val="Hyperlink"/>
          </w:rPr>
          <w:t xml:space="preserve">https://doi.org/10.1111/j.1466-8238.2009.00490.x</w:t>
        </w:r>
      </w:hyperlink>
    </w:p>
    <w:bookmarkEnd w:id="32"/>
    <w:bookmarkStart w:id="34"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33">
        <w:r>
          <w:rPr>
            <w:rStyle w:val="Hyperlink"/>
          </w:rPr>
          <w:t xml:space="preserve">https://doi.org/10.1111/j.1466-8238.2011.00756.x</w:t>
        </w:r>
      </w:hyperlink>
    </w:p>
    <w:bookmarkEnd w:id="34"/>
    <w:bookmarkStart w:id="35"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35"/>
    <w:bookmarkStart w:id="37"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36">
        <w:r>
          <w:rPr>
            <w:rStyle w:val="Hyperlink"/>
          </w:rPr>
          <w:t xml:space="preserve">https://www.planalto.gov.br/ccivil_03/leis/l9985.htm</w:t>
        </w:r>
      </w:hyperlink>
    </w:p>
    <w:bookmarkEnd w:id="37"/>
    <w:bookmarkStart w:id="39" w:name="ref-chao2014"/>
    <w:p>
      <w:pPr>
        <w:pStyle w:val="Bibliography"/>
      </w:pPr>
      <w:r>
        <w:t xml:space="preserve">Chao, A., Gotelli, N. J., Hsieh, T. C., Sander, E. L., Ma, K. H., Colwell, R. K., &amp; Ellison, A. M. (2014). Rarefaction and extrapolation with hill numbers: A framework for sampling and estimation in species diversity studies.</w:t>
      </w:r>
      <w:r>
        <w:t xml:space="preserve"> </w:t>
      </w:r>
      <w:r>
        <w:rPr>
          <w:i/>
          <w:iCs/>
        </w:rPr>
        <w:t xml:space="preserve">Ecological Monographs</w:t>
      </w:r>
      <w:r>
        <w:t xml:space="preserve">,</w:t>
      </w:r>
      <w:r>
        <w:t xml:space="preserve"> </w:t>
      </w:r>
      <w:r>
        <w:rPr>
          <w:i/>
          <w:iCs/>
        </w:rPr>
        <w:t xml:space="preserve">84</w:t>
      </w:r>
      <w:r>
        <w:t xml:space="preserve">(1), 45–67.</w:t>
      </w:r>
      <w:r>
        <w:t xml:space="preserve"> </w:t>
      </w:r>
      <w:hyperlink r:id="rId38">
        <w:r>
          <w:rPr>
            <w:rStyle w:val="Hyperlink"/>
          </w:rPr>
          <w:t xml:space="preserve">https://doi.org/10.1890/13-0133.1</w:t>
        </w:r>
      </w:hyperlink>
    </w:p>
    <w:bookmarkEnd w:id="39"/>
    <w:bookmarkStart w:id="41"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0">
        <w:r>
          <w:rPr>
            <w:rStyle w:val="Hyperlink"/>
          </w:rPr>
          <w:t xml:space="preserve">http://memoria2.cnpq.br/web/guest/view/-/journal_content/56_INSTANCE_0oED/10157/23142775</w:t>
        </w:r>
      </w:hyperlink>
    </w:p>
    <w:bookmarkEnd w:id="41"/>
    <w:bookmarkStart w:id="43" w:name="ref-credit2026"/>
    <w:p>
      <w:pPr>
        <w:pStyle w:val="Bibliography"/>
      </w:pPr>
      <w:r>
        <w:t xml:space="preserve">CRediT. (2026).</w:t>
      </w:r>
      <w:r>
        <w:t xml:space="preserve"> </w:t>
      </w:r>
      <w:r>
        <w:rPr>
          <w:i/>
          <w:iCs/>
        </w:rPr>
        <w:t xml:space="preserve">CRediT - contributor role taxonomy</w:t>
      </w:r>
      <w:r>
        <w:t xml:space="preserve">.</w:t>
      </w:r>
      <w:r>
        <w:t xml:space="preserve"> </w:t>
      </w:r>
      <w:hyperlink r:id="rId42">
        <w:r>
          <w:rPr>
            <w:rStyle w:val="Hyperlink"/>
          </w:rPr>
          <w:t xml:space="preserve">https://credit.niso.org/</w:t>
        </w:r>
      </w:hyperlink>
    </w:p>
    <w:bookmarkEnd w:id="43"/>
    <w:bookmarkStart w:id="45"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44">
        <w:r>
          <w:rPr>
            <w:rStyle w:val="Hyperlink"/>
          </w:rPr>
          <w:t xml:space="preserve">https://doi.org/10.1086/378901</w:t>
        </w:r>
      </w:hyperlink>
    </w:p>
    <w:bookmarkEnd w:id="45"/>
    <w:bookmarkStart w:id="47" w:name="ref-gering2003"/>
    <w:p>
      <w:pPr>
        <w:pStyle w:val="Bibliography"/>
      </w:pPr>
      <w:r>
        <w:t xml:space="preserve">Gering, J. C., Crist, T. O., &amp; Veech, J. A. (2003). Additive partitioning of species diversity across multiple spatial scales: Implications for regional conservation of biodiversity.</w:t>
      </w:r>
      <w:r>
        <w:t xml:space="preserve"> </w:t>
      </w:r>
      <w:r>
        <w:rPr>
          <w:i/>
          <w:iCs/>
        </w:rPr>
        <w:t xml:space="preserve">Conservation Biology</w:t>
      </w:r>
      <w:r>
        <w:t xml:space="preserve">,</w:t>
      </w:r>
      <w:r>
        <w:t xml:space="preserve"> </w:t>
      </w:r>
      <w:r>
        <w:rPr>
          <w:i/>
          <w:iCs/>
        </w:rPr>
        <w:t xml:space="preserve">17</w:t>
      </w:r>
      <w:r>
        <w:t xml:space="preserve">(2), 488–499.</w:t>
      </w:r>
      <w:r>
        <w:t xml:space="preserve"> </w:t>
      </w:r>
      <w:hyperlink r:id="rId46">
        <w:r>
          <w:rPr>
            <w:rStyle w:val="Hyperlink"/>
          </w:rPr>
          <w:t xml:space="preserve">https://doi.org/10.1046/j.1523-1739.2003.01465.x</w:t>
        </w:r>
      </w:hyperlink>
    </w:p>
    <w:bookmarkEnd w:id="47"/>
    <w:bookmarkStart w:id="49"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8">
        <w:r>
          <w:rPr>
            <w:rStyle w:val="Hyperlink"/>
          </w:rPr>
          <w:t xml:space="preserve">https://doi.org/10.15560/13.5.581</w:t>
        </w:r>
      </w:hyperlink>
    </w:p>
    <w:bookmarkEnd w:id="49"/>
    <w:bookmarkStart w:id="51" w:name="ref-haney1973"/>
    <w:p>
      <w:pPr>
        <w:pStyle w:val="Bibliography"/>
      </w:pPr>
      <w:r>
        <w:t xml:space="preserve">Haney, J. F., &amp; Hall, D. J. (1973).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i/>
          <w:iCs/>
        </w:rPr>
        <w:t xml:space="preserve">Limnology and Oceanography</w:t>
      </w:r>
      <w:r>
        <w:t xml:space="preserve">,</w:t>
      </w:r>
      <w:r>
        <w:t xml:space="preserve"> </w:t>
      </w:r>
      <w:r>
        <w:rPr>
          <w:i/>
          <w:iCs/>
        </w:rPr>
        <w:t xml:space="preserve">18</w:t>
      </w:r>
      <w:r>
        <w:t xml:space="preserve">(2), 331–333.</w:t>
      </w:r>
      <w:r>
        <w:t xml:space="preserve"> </w:t>
      </w:r>
      <w:hyperlink r:id="rId50">
        <w:r>
          <w:rPr>
            <w:rStyle w:val="Hyperlink"/>
          </w:rPr>
          <w:t xml:space="preserve">https://doi.org/10.4319/lo.1973.18.2.0331</w:t>
        </w:r>
      </w:hyperlink>
    </w:p>
    <w:bookmarkEnd w:id="51"/>
    <w:bookmarkStart w:id="53"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52">
        <w:r>
          <w:rPr>
            <w:rStyle w:val="Hyperlink"/>
          </w:rPr>
          <w:t xml:space="preserve">https://doi.org/10.1111/j.1365-2427.2009.02291.x</w:t>
        </w:r>
      </w:hyperlink>
    </w:p>
    <w:bookmarkEnd w:id="53"/>
    <w:bookmarkStart w:id="54" w:name="ref-magurran2013"/>
    <w:p>
      <w:pPr>
        <w:pStyle w:val="Bibliography"/>
      </w:pPr>
      <w:r>
        <w:t xml:space="preserve">Magurran, A. E. (2013).</w:t>
      </w:r>
      <w:r>
        <w:t xml:space="preserve"> </w:t>
      </w:r>
      <w:r>
        <w:rPr>
          <w:i/>
          <w:iCs/>
        </w:rPr>
        <w:t xml:space="preserve">Measuring biological diversity</w:t>
      </w:r>
      <w:r>
        <w:t xml:space="preserve">. Wiley-Blackwell.</w:t>
      </w:r>
    </w:p>
    <w:bookmarkEnd w:id="54"/>
    <w:bookmarkStart w:id="56"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55">
        <w:r>
          <w:rPr>
            <w:rStyle w:val="Hyperlink"/>
          </w:rPr>
          <w:t xml:space="preserve">https://doi.org/10.1007/978-94-011-7852-5</w:t>
        </w:r>
      </w:hyperlink>
    </w:p>
    <w:bookmarkEnd w:id="56"/>
    <w:bookmarkStart w:id="58"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57">
        <w:r>
          <w:rPr>
            <w:rStyle w:val="Hyperlink"/>
          </w:rPr>
          <w:t xml:space="preserve">https://doi.org/10.4013/5440</w:t>
        </w:r>
      </w:hyperlink>
    </w:p>
    <w:bookmarkEnd w:id="58"/>
    <w:bookmarkStart w:id="60" w:name="ref-mehla2026"/>
    <w:p>
      <w:pPr>
        <w:pStyle w:val="Bibliography"/>
      </w:pPr>
      <w:r>
        <w:t xml:space="preserve">Mehla, M. K., Jeong, J., Cho, G., Wolfe, J. E., &amp; Kan, E. (2026). How agricultural field management modulates downstream transport of antibiotics, bacteria and nutrients in runoff water using edge-of-field monitoring.</w:t>
      </w:r>
      <w:r>
        <w:t xml:space="preserve"> </w:t>
      </w:r>
      <w:r>
        <w:rPr>
          <w:i/>
          <w:iCs/>
        </w:rPr>
        <w:t xml:space="preserve">Water Research</w:t>
      </w:r>
      <w:r>
        <w:t xml:space="preserve">,</w:t>
      </w:r>
      <w:r>
        <w:t xml:space="preserve"> </w:t>
      </w:r>
      <w:r>
        <w:rPr>
          <w:i/>
          <w:iCs/>
        </w:rPr>
        <w:t xml:space="preserve">307</w:t>
      </w:r>
      <w:r>
        <w:t xml:space="preserve">, 126704.</w:t>
      </w:r>
      <w:r>
        <w:t xml:space="preserve"> </w:t>
      </w:r>
      <w:hyperlink r:id="rId59">
        <w:r>
          <w:rPr>
            <w:rStyle w:val="Hyperlink"/>
          </w:rPr>
          <w:t xml:space="preserve">https://doi.org/10.1016/j.watres.2026.126704</w:t>
        </w:r>
      </w:hyperlink>
    </w:p>
    <w:bookmarkEnd w:id="60"/>
    <w:bookmarkStart w:id="61" w:name="ref-mma2003"/>
    <w:p>
      <w:pPr>
        <w:pStyle w:val="Bibliography"/>
      </w:pPr>
      <w:r>
        <w:t xml:space="preserve">MMA. (2003).</w:t>
      </w:r>
      <w:r>
        <w:t xml:space="preserve"> </w:t>
      </w:r>
      <w:r>
        <w:rPr>
          <w:i/>
          <w:iCs/>
        </w:rPr>
        <w:t xml:space="preserve">Plano de Manejo da Reserva Biológica Guaribas</w:t>
      </w:r>
      <w:r>
        <w:t xml:space="preserve">.</w:t>
      </w:r>
    </w:p>
    <w:bookmarkEnd w:id="61"/>
    <w:bookmarkStart w:id="63"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2">
        <w:r>
          <w:rPr>
            <w:rStyle w:val="Hyperlink"/>
          </w:rPr>
          <w:t xml:space="preserve">https://doi.org/10.1007/s10750-006-0252-7</w:t>
        </w:r>
      </w:hyperlink>
    </w:p>
    <w:bookmarkEnd w:id="63"/>
    <w:bookmarkStart w:id="65" w:name="ref-oksanen"/>
    <w:p>
      <w:pPr>
        <w:pStyle w:val="Bibliography"/>
      </w:pPr>
      <w:r>
        <w:t xml:space="preserve">Oksanen, J., Simpson, G. L., Blanchet, F. G., Kindt, R., Legendre, P., Minchin, P. R., O’Hara, R. B., Solymos, P., Stevens, M. H. H., Szoecs, E., Wagner, H., Barbour, M., Bedward, M., Bolker, B., Borcard, D., Borman, T., Carvalho, G., Chirico, M., Caceres, M., … Weedon, J. (n.d.).</w:t>
      </w:r>
      <w:r>
        <w:t xml:space="preserve"> </w:t>
      </w:r>
      <w:r>
        <w:rPr>
          <w:i/>
          <w:iCs/>
        </w:rPr>
        <w:t xml:space="preserve">Vegan: Community ecology package</w:t>
      </w:r>
      <w:r>
        <w:t xml:space="preserve">.</w:t>
      </w:r>
      <w:r>
        <w:t xml:space="preserve"> </w:t>
      </w:r>
      <w:hyperlink r:id="rId64">
        <w:r>
          <w:rPr>
            <w:rStyle w:val="Hyperlink"/>
          </w:rPr>
          <w:t xml:space="preserve">https://doi.org/10.32614/CRAN.package.vegan</w:t>
        </w:r>
      </w:hyperlink>
    </w:p>
    <w:bookmarkEnd w:id="65"/>
    <w:bookmarkStart w:id="67" w:name="ref-peel2007"/>
    <w:p>
      <w:pPr>
        <w:pStyle w:val="Bibliography"/>
      </w:pPr>
      <w:r>
        <w:t xml:space="preserve">Peel, M. C., Finlayson, B. L., &amp; McMahon, T. A. (2007). Updated world map of the köppen-geiger climate classification.</w:t>
      </w:r>
      <w:r>
        <w:t xml:space="preserve"> </w:t>
      </w:r>
      <w:r>
        <w:rPr>
          <w:i/>
          <w:iCs/>
        </w:rPr>
        <w:t xml:space="preserve">Hydrology and Earth System Sciences</w:t>
      </w:r>
      <w:r>
        <w:t xml:space="preserve">,</w:t>
      </w:r>
      <w:r>
        <w:t xml:space="preserve"> </w:t>
      </w:r>
      <w:r>
        <w:rPr>
          <w:i/>
          <w:iCs/>
        </w:rPr>
        <w:t xml:space="preserve">11</w:t>
      </w:r>
      <w:r>
        <w:t xml:space="preserve">(5), 1633–1644.</w:t>
      </w:r>
      <w:r>
        <w:t xml:space="preserve"> </w:t>
      </w:r>
      <w:hyperlink r:id="rId66">
        <w:r>
          <w:rPr>
            <w:rStyle w:val="Hyperlink"/>
          </w:rPr>
          <w:t xml:space="preserve">https://doi.org/10.5194/hess-11-1633-2007</w:t>
        </w:r>
      </w:hyperlink>
    </w:p>
    <w:bookmarkEnd w:id="67"/>
    <w:bookmarkStart w:id="69"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68">
        <w:r>
          <w:rPr>
            <w:rStyle w:val="Hyperlink"/>
          </w:rPr>
          <w:t xml:space="preserve">https://doi.org/10.1016/j.biocon.2026.111958</w:t>
        </w:r>
      </w:hyperlink>
    </w:p>
    <w:bookmarkEnd w:id="69"/>
    <w:bookmarkStart w:id="70"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70"/>
    <w:bookmarkStart w:id="72" w:name="ref-quinn2023"/>
    <w:p>
      <w:pPr>
        <w:pStyle w:val="Bibliography"/>
      </w:pPr>
      <w:r>
        <w:t xml:space="preserve">Quinn, G. P., &amp; Keough, M. J. (2023).</w:t>
      </w:r>
      <w:r>
        <w:t xml:space="preserve"> </w:t>
      </w:r>
      <w:r>
        <w:rPr>
          <w:i/>
          <w:iCs/>
        </w:rPr>
        <w:t xml:space="preserve">Experimental design and data analysis for biologists</w:t>
      </w:r>
      <w:r>
        <w:t xml:space="preserve"> </w:t>
      </w:r>
      <w:r>
        <w:t xml:space="preserve">(2nd ed.). Cambridge University Press.</w:t>
      </w:r>
      <w:r>
        <w:t xml:space="preserve"> </w:t>
      </w:r>
      <w:hyperlink r:id="rId71">
        <w:r>
          <w:rPr>
            <w:rStyle w:val="Hyperlink"/>
          </w:rPr>
          <w:t xml:space="preserve">https://doi.org/10.1017/9781139568173</w:t>
        </w:r>
      </w:hyperlink>
    </w:p>
    <w:bookmarkEnd w:id="72"/>
    <w:bookmarkStart w:id="7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73">
        <w:r>
          <w:rPr>
            <w:rStyle w:val="Hyperlink"/>
          </w:rPr>
          <w:t xml:space="preserve">https://www.R-project.org/</w:t>
        </w:r>
      </w:hyperlink>
    </w:p>
    <w:bookmarkEnd w:id="74"/>
    <w:bookmarkStart w:id="76"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75">
        <w:r>
          <w:rPr>
            <w:rStyle w:val="Hyperlink"/>
          </w:rPr>
          <w:t xml:space="preserve">https://doi.org/10.1002/rra.3344</w:t>
        </w:r>
      </w:hyperlink>
    </w:p>
    <w:bookmarkEnd w:id="76"/>
    <w:bookmarkStart w:id="77" w:name="ref-silva2003"/>
    <w:p>
      <w:pPr>
        <w:pStyle w:val="Bibliography"/>
      </w:pPr>
      <w:r>
        <w:t xml:space="preserve">Silva, J. M. C., &amp; Casteleti, C. H. M. (2003).</w:t>
      </w:r>
      <w:r>
        <w:t xml:space="preserve"> </w:t>
      </w:r>
      <w:r>
        <w:rPr>
          <w:i/>
          <w:iCs/>
        </w:rPr>
        <w:t xml:space="preserve">Status of the biodiversity of the atlantic forest of brazil</w:t>
      </w:r>
      <w:r>
        <w:t xml:space="preserve"> </w:t>
      </w:r>
      <w:r>
        <w:t xml:space="preserve">(C. Galindo-Leal &amp; I. G. Câmara, Eds.; pp. 43–59). CABS; Island Press.</w:t>
      </w:r>
    </w:p>
    <w:bookmarkEnd w:id="77"/>
    <w:bookmarkStart w:id="79" w:name="ref-silva2017"/>
    <w:p>
      <w:pPr>
        <w:pStyle w:val="Bibliography"/>
      </w:pPr>
      <w:r>
        <w:t xml:space="preserve">Silva, S. C. (2017).</w:t>
      </w:r>
      <w:r>
        <w:t xml:space="preserve"> </w:t>
      </w:r>
      <w:r>
        <w:rPr>
          <w:i/>
          <w:iCs/>
        </w:rPr>
        <w:t xml:space="preserve">Caracterização da comunidade zooplanctônica e sua relação com as variáveis ambientais no furo da laura (vigia-PA)</w:t>
      </w:r>
      <w:r>
        <w:t xml:space="preserve"> </w:t>
      </w:r>
      <w:r>
        <w:t xml:space="preserve">[PhD thesis].</w:t>
      </w:r>
      <w:r>
        <w:t xml:space="preserve"> </w:t>
      </w:r>
      <w:hyperlink r:id="rId78">
        <w:r>
          <w:rPr>
            <w:rStyle w:val="Hyperlink"/>
          </w:rPr>
          <w:t xml:space="preserve">http://repositorio.ufra.edu.br/jspui/handle/123456789/1861</w:t>
        </w:r>
      </w:hyperlink>
    </w:p>
    <w:bookmarkEnd w:id="79"/>
    <w:bookmarkStart w:id="80"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80"/>
    <w:bookmarkStart w:id="82" w:name="ref-strahler1957"/>
    <w:p>
      <w:pPr>
        <w:pStyle w:val="Bibliography"/>
      </w:pPr>
      <w:r>
        <w:t xml:space="preserve">Strahler, A. N. (1957). Quantitative analysis of watershed geomorphology.</w:t>
      </w:r>
      <w:r>
        <w:t xml:space="preserve"> </w:t>
      </w:r>
      <w:r>
        <w:rPr>
          <w:i/>
          <w:iCs/>
        </w:rPr>
        <w:t xml:space="preserve">Eos, Transactions American Geophysical Union</w:t>
      </w:r>
      <w:r>
        <w:t xml:space="preserve">,</w:t>
      </w:r>
      <w:r>
        <w:t xml:space="preserve"> </w:t>
      </w:r>
      <w:r>
        <w:rPr>
          <w:i/>
          <w:iCs/>
        </w:rPr>
        <w:t xml:space="preserve">38</w:t>
      </w:r>
      <w:r>
        <w:t xml:space="preserve">(6), 913–920.</w:t>
      </w:r>
      <w:r>
        <w:t xml:space="preserve"> </w:t>
      </w:r>
      <w:hyperlink r:id="rId81">
        <w:r>
          <w:rPr>
            <w:rStyle w:val="Hyperlink"/>
          </w:rPr>
          <w:t xml:space="preserve">https://doi.org/10.1029/TR038i006p00913</w:t>
        </w:r>
      </w:hyperlink>
    </w:p>
    <w:bookmarkEnd w:id="82"/>
    <w:bookmarkStart w:id="84" w:name="ref-veech2003"/>
    <w:p>
      <w:pPr>
        <w:pStyle w:val="Bibliography"/>
      </w:pPr>
      <w:r>
        <w:t xml:space="preserve">Veech, J. A., Crist, T. O., &amp; Summerville, K. S. (2003). Intraspecific aggregation decreases local species diversity of arthropods.</w:t>
      </w:r>
      <w:r>
        <w:t xml:space="preserve"> </w:t>
      </w:r>
      <w:r>
        <w:rPr>
          <w:i/>
          <w:iCs/>
        </w:rPr>
        <w:t xml:space="preserve">Ecology</w:t>
      </w:r>
      <w:r>
        <w:t xml:space="preserve">,</w:t>
      </w:r>
      <w:r>
        <w:t xml:space="preserve"> </w:t>
      </w:r>
      <w:r>
        <w:rPr>
          <w:i/>
          <w:iCs/>
        </w:rPr>
        <w:t xml:space="preserve">84</w:t>
      </w:r>
      <w:r>
        <w:t xml:space="preserve">(12), 3376–3383.</w:t>
      </w:r>
      <w:r>
        <w:t xml:space="preserve"> </w:t>
      </w:r>
      <w:hyperlink r:id="rId83">
        <w:r>
          <w:rPr>
            <w:rStyle w:val="Hyperlink"/>
          </w:rPr>
          <w:t xml:space="preserve">https://doi.org/10.1890/02-3127</w:t>
        </w:r>
      </w:hyperlink>
    </w:p>
    <w:bookmarkEnd w:id="84"/>
    <w:bookmarkStart w:id="85"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85"/>
    <w:bookmarkEnd w:id="86"/>
    <w:bookmarkEnd w:id="87"/>
    <w:bookmarkStart w:id="129"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Principal Component Analysis (PCA) biplot of the sampling units (SUs) and environmental variables in the Barro Branco and Caiana streams during the study period, categorized by site type.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rio">
        <w:r>
          <w:rPr>
            <w:rStyle w:val="Hyperlink"/>
          </w:rPr>
          <w:t xml:space="preserve">Figure 3</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periodo">
        <w:r>
          <w:rPr>
            <w:rStyle w:val="Hyperlink"/>
          </w:rPr>
          <w:t xml:space="preserve">Figure 4</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rare1">
        <w:r>
          <w:rPr>
            <w:rStyle w:val="Hyperlink"/>
          </w:rPr>
          <w:t xml:space="preserve">Figure 5</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6</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spp_gttable">
        <w:r>
          <w:rPr>
            <w:rStyle w:val="Hyperlink"/>
          </w:rPr>
          <w:t xml:space="preserve">Table 3</w:t>
        </w:r>
      </w:hyperlink>
      <w:r>
        <w:t xml:space="preserve">: Density (ind/m2) and frequency of occurrence (FO%) of zooplankton collected during the 2024 hydrological cycle.</w:t>
      </w:r>
    </w:p>
    <w:p>
      <w:pPr>
        <w:pStyle w:val="TextBody"/>
      </w:pPr>
      <w:hyperlink w:anchor="tbl-part_gttable">
        <w:r>
          <w:rPr>
            <w:rStyle w:val="Hyperlink"/>
          </w:rPr>
          <w:t xml:space="preserve">Table 4</w:t>
        </w:r>
      </w:hyperlink>
      <w:r>
        <w:t xml:space="preserve">: Contribution (expressed in percentage values 9 100) of each spatial scale assessed to the total diversity (richness) of the dormant stages of the zooplankton. Numbers in ‘P value’ column indicate the proportion of randomized samples containing more species than the observed sample for each partition.</w:t>
      </w:r>
    </w:p>
    <w:bookmarkStart w:id="123"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92" w:name="fig-mapa"/>
          <w:p>
            <w:pPr>
              <w:pStyle w:val="Compact"/>
              <w:jc w:val="center"/>
            </w:pPr>
            <w:bookmarkStart w:id="91" w:name="fig-mapa"/>
            <w:r>
              <w:drawing>
                <wp:inline>
                  <wp:extent cx="5943600" cy="4202001"/>
                  <wp:effectExtent b="0" l="0" r="0" t="0"/>
                  <wp:docPr descr="" title="" id="89" name="Picture"/>
                  <a:graphic>
                    <a:graphicData uri="http://schemas.openxmlformats.org/drawingml/2006/picture">
                      <pic:pic>
                        <pic:nvPicPr>
                          <pic:cNvPr descr="imagens/Uso%20de%20Solo%20Rebio_pt.png" id="90" name="Picture"/>
                          <pic:cNvPicPr>
                            <a:picLocks noChangeArrowheads="1" noChangeAspect="1"/>
                          </pic:cNvPicPr>
                        </pic:nvPicPr>
                        <pic:blipFill>
                          <a:blip r:embed="rId88"/>
                          <a:stretch>
                            <a:fillRect/>
                          </a:stretch>
                        </pic:blipFill>
                        <pic:spPr bwMode="auto">
                          <a:xfrm>
                            <a:off x="0" y="0"/>
                            <a:ext cx="5943600" cy="4202001"/>
                          </a:xfrm>
                          <a:prstGeom prst="rect">
                            <a:avLst/>
                          </a:prstGeom>
                          <a:noFill/>
                          <a:ln w="9525">
                            <a:noFill/>
                            <a:headEnd/>
                            <a:tailEnd/>
                          </a:ln>
                        </pic:spPr>
                      </pic:pic>
                    </a:graphicData>
                  </a:graphic>
                </wp:inline>
              </w:drawing>
            </w:r>
            <w:bookmarkEnd w:id="91"/>
          </w:p>
          <w:p>
            <w:pPr>
              <w:jc w:val="center"/>
            </w:pPr>
            <w:pPr>
              <w:jc w:val="left"/>
              <w:spacing w:before="200"/>
              <w:pStyle w:val="ImageCaption"/>
            </w:pPr>
            <w:r>
              <w:t xml:space="preserve">Figure 1</w:t>
            </w:r>
          </w:p>
          <w:bookmarkEnd w:id="92"/>
        </w:tc>
      </w:tr>
    </w:tbl>
    <w:p>
      <w:pPr>
        <w:pStyle w:val="TextBody"/>
      </w:pPr>
      <w:hyperlink w:anchor="fig-hab_PCA_ref-site">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97" w:name="fig-hab_PCA_ref-site"/>
          <w:p>
            <w:pPr>
              <w:pStyle w:val="Compact"/>
              <w:jc w:val="center"/>
            </w:pPr>
            <w:bookmarkStart w:id="96" w:name="fig-hab_PCA_ref-site"/>
            <w:r>
              <w:drawing>
                <wp:inline>
                  <wp:extent cx="5943600" cy="3494706"/>
                  <wp:effectExtent b="0" l="0" r="0" t="0"/>
                  <wp:docPr descr="" title="" id="94" name="Picture"/>
                  <a:graphic>
                    <a:graphicData uri="http://schemas.openxmlformats.org/drawingml/2006/picture">
                      <pic:pic>
                        <pic:nvPicPr>
                          <pic:cNvPr descr="res/fig-hab_PCA_ref-site.png" id="95" name="Picture"/>
                          <pic:cNvPicPr>
                            <a:picLocks noChangeArrowheads="1" noChangeAspect="1"/>
                          </pic:cNvPicPr>
                        </pic:nvPicPr>
                        <pic:blipFill>
                          <a:blip r:embed="rId93"/>
                          <a:stretch>
                            <a:fillRect/>
                          </a:stretch>
                        </pic:blipFill>
                        <pic:spPr bwMode="auto">
                          <a:xfrm>
                            <a:off x="0" y="0"/>
                            <a:ext cx="5943600" cy="3494706"/>
                          </a:xfrm>
                          <a:prstGeom prst="rect">
                            <a:avLst/>
                          </a:prstGeom>
                          <a:noFill/>
                          <a:ln w="9525">
                            <a:noFill/>
                            <a:headEnd/>
                            <a:tailEnd/>
                          </a:ln>
                        </pic:spPr>
                      </pic:pic>
                    </a:graphicData>
                  </a:graphic>
                </wp:inline>
              </w:drawing>
            </w:r>
            <w:bookmarkEnd w:id="96"/>
          </w:p>
          <w:p>
            <w:pPr>
              <w:jc w:val="center"/>
            </w:pPr>
            <w:pPr>
              <w:jc w:val="left"/>
              <w:spacing w:before="200"/>
              <w:pStyle w:val="ImageCaption"/>
            </w:pPr>
            <w:r>
              <w:t xml:space="preserve">Figure 2</w:t>
            </w:r>
          </w:p>
          <w:bookmarkEnd w:id="97"/>
        </w:tc>
      </w:tr>
    </w:tbl>
    <w:p>
      <w:pPr>
        <w:pStyle w:val="TextBody"/>
      </w:pPr>
      <w:hyperlink w:anchor="fig-hab_PCA_ri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02" w:name="fig-hab_PCA_rio"/>
          <w:p>
            <w:pPr>
              <w:pStyle w:val="Compact"/>
              <w:jc w:val="center"/>
            </w:pPr>
            <w:bookmarkStart w:id="101" w:name="fig-hab_PCA_rio"/>
            <w:r>
              <w:drawing>
                <wp:inline>
                  <wp:extent cx="5943600" cy="4261203"/>
                  <wp:effectExtent b="0" l="0" r="0" t="0"/>
                  <wp:docPr descr="" title="" id="99" name="Picture"/>
                  <a:graphic>
                    <a:graphicData uri="http://schemas.openxmlformats.org/drawingml/2006/picture">
                      <pic:pic>
                        <pic:nvPicPr>
                          <pic:cNvPr descr="res/fig-hab_PCA_rio.png" id="100" name="Picture"/>
                          <pic:cNvPicPr>
                            <a:picLocks noChangeArrowheads="1" noChangeAspect="1"/>
                          </pic:cNvPicPr>
                        </pic:nvPicPr>
                        <pic:blipFill>
                          <a:blip r:embed="rId98"/>
                          <a:stretch>
                            <a:fillRect/>
                          </a:stretch>
                        </pic:blipFill>
                        <pic:spPr bwMode="auto">
                          <a:xfrm>
                            <a:off x="0" y="0"/>
                            <a:ext cx="5943600" cy="4261203"/>
                          </a:xfrm>
                          <a:prstGeom prst="rect">
                            <a:avLst/>
                          </a:prstGeom>
                          <a:noFill/>
                          <a:ln w="9525">
                            <a:noFill/>
                            <a:headEnd/>
                            <a:tailEnd/>
                          </a:ln>
                        </pic:spPr>
                      </pic:pic>
                    </a:graphicData>
                  </a:graphic>
                </wp:inline>
              </w:drawing>
            </w:r>
            <w:bookmarkEnd w:id="101"/>
          </w:p>
          <w:p>
            <w:pPr>
              <w:jc w:val="center"/>
            </w:pPr>
            <w:pPr>
              <w:jc w:val="left"/>
              <w:spacing w:before="200"/>
              <w:pStyle w:val="ImageCaption"/>
            </w:pPr>
            <w:r>
              <w:t xml:space="preserve">Figure 3</w:t>
            </w:r>
          </w:p>
          <w:bookmarkEnd w:id="102"/>
        </w:tc>
      </w:tr>
    </w:tbl>
    <w:p>
      <w:pPr>
        <w:pStyle w:val="TextBody"/>
      </w:pPr>
      <w:hyperlink w:anchor="fig-hab_PCA_periodo">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07" w:name="fig-hab_PCA_periodo"/>
          <w:p>
            <w:pPr>
              <w:pStyle w:val="Compact"/>
              <w:jc w:val="center"/>
            </w:pPr>
            <w:bookmarkStart w:id="106" w:name="fig-hab_PCA_periodo"/>
            <w:r>
              <w:drawing>
                <wp:inline>
                  <wp:extent cx="5943600" cy="4261203"/>
                  <wp:effectExtent b="0" l="0" r="0" t="0"/>
                  <wp:docPr descr="" title="" id="104" name="Picture"/>
                  <a:graphic>
                    <a:graphicData uri="http://schemas.openxmlformats.org/drawingml/2006/picture">
                      <pic:pic>
                        <pic:nvPicPr>
                          <pic:cNvPr descr="res/fig-hab_PCA_periodo.png" id="105" name="Picture"/>
                          <pic:cNvPicPr>
                            <a:picLocks noChangeArrowheads="1" noChangeAspect="1"/>
                          </pic:cNvPicPr>
                        </pic:nvPicPr>
                        <pic:blipFill>
                          <a:blip r:embed="rId103"/>
                          <a:stretch>
                            <a:fillRect/>
                          </a:stretch>
                        </pic:blipFill>
                        <pic:spPr bwMode="auto">
                          <a:xfrm>
                            <a:off x="0" y="0"/>
                            <a:ext cx="5943600" cy="4261203"/>
                          </a:xfrm>
                          <a:prstGeom prst="rect">
                            <a:avLst/>
                          </a:prstGeom>
                          <a:noFill/>
                          <a:ln w="9525">
                            <a:noFill/>
                            <a:headEnd/>
                            <a:tailEnd/>
                          </a:ln>
                        </pic:spPr>
                      </pic:pic>
                    </a:graphicData>
                  </a:graphic>
                </wp:inline>
              </w:drawing>
            </w:r>
            <w:bookmarkEnd w:id="106"/>
          </w:p>
          <w:p>
            <w:pPr>
              <w:jc w:val="center"/>
            </w:pPr>
            <w:pPr>
              <w:jc w:val="left"/>
              <w:spacing w:before="200"/>
              <w:pStyle w:val="ImageCaption"/>
            </w:pPr>
            <w:r>
              <w:t xml:space="preserve">Figure 4</w:t>
            </w:r>
          </w:p>
          <w:bookmarkEnd w:id="107"/>
        </w:tc>
      </w:tr>
    </w:tbl>
    <w:p>
      <w:pPr>
        <w:pStyle w:val="TextBody"/>
      </w:pPr>
      <w:hyperlink w:anchor="fig-rare1">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12" w:name="fig-rare1"/>
          <w:p>
            <w:pPr>
              <w:pStyle w:val="Compact"/>
              <w:jc w:val="center"/>
            </w:pPr>
            <w:bookmarkStart w:id="111" w:name="fig-rare1"/>
            <w:r>
              <w:drawing>
                <wp:inline>
                  <wp:extent cx="5943600" cy="4457699"/>
                  <wp:effectExtent b="0" l="0" r="0" t="0"/>
                  <wp:docPr descr="" title="" id="109" name="Picture"/>
                  <a:graphic>
                    <a:graphicData uri="http://schemas.openxmlformats.org/drawingml/2006/picture">
                      <pic:pic>
                        <pic:nvPicPr>
                          <pic:cNvPr descr="res/fig-rare1.png" id="110" name="Picture"/>
                          <pic:cNvPicPr>
                            <a:picLocks noChangeArrowheads="1" noChangeAspect="1"/>
                          </pic:cNvPicPr>
                        </pic:nvPicPr>
                        <pic:blipFill>
                          <a:blip r:embed="rId108"/>
                          <a:stretch>
                            <a:fillRect/>
                          </a:stretch>
                        </pic:blipFill>
                        <pic:spPr bwMode="auto">
                          <a:xfrm>
                            <a:off x="0" y="0"/>
                            <a:ext cx="5943600" cy="4457699"/>
                          </a:xfrm>
                          <a:prstGeom prst="rect">
                            <a:avLst/>
                          </a:prstGeom>
                          <a:noFill/>
                          <a:ln w="9525">
                            <a:noFill/>
                            <a:headEnd/>
                            <a:tailEnd/>
                          </a:ln>
                        </pic:spPr>
                      </pic:pic>
                    </a:graphicData>
                  </a:graphic>
                </wp:inline>
              </w:drawing>
            </w:r>
            <w:bookmarkEnd w:id="111"/>
          </w:p>
          <w:p>
            <w:pPr>
              <w:jc w:val="center"/>
            </w:pPr>
            <w:pPr>
              <w:jc w:val="left"/>
              <w:spacing w:before="200"/>
              <w:pStyle w:val="ImageCaption"/>
            </w:pPr>
            <w:r>
              <w:t xml:space="preserve">Figure 5</w:t>
            </w:r>
          </w:p>
          <w:bookmarkEnd w:id="112"/>
        </w:tc>
      </w:tr>
    </w:tbl>
    <w:p>
      <w:pPr>
        <w:pStyle w:val="TextBody"/>
      </w:pPr>
      <w:hyperlink w:anchor="fig-upgma">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17" w:name="fig-upgma"/>
          <w:p>
            <w:pPr>
              <w:pStyle w:val="Compact"/>
              <w:jc w:val="center"/>
            </w:pPr>
            <w:bookmarkStart w:id="116" w:name="fig-upgma"/>
            <w:r>
              <w:drawing>
                <wp:inline>
                  <wp:extent cx="5943600" cy="4862945"/>
                  <wp:effectExtent b="0" l="0" r="0" t="0"/>
                  <wp:docPr descr="" title="" id="114" name="Picture"/>
                  <a:graphic>
                    <a:graphicData uri="http://schemas.openxmlformats.org/drawingml/2006/picture">
                      <pic:pic>
                        <pic:nvPicPr>
                          <pic:cNvPr descr="res/fig-upgma.png" id="115" name="Picture"/>
                          <pic:cNvPicPr>
                            <a:picLocks noChangeArrowheads="1" noChangeAspect="1"/>
                          </pic:cNvPicPr>
                        </pic:nvPicPr>
                        <pic:blipFill>
                          <a:blip r:embed="rId113"/>
                          <a:stretch>
                            <a:fillRect/>
                          </a:stretch>
                        </pic:blipFill>
                        <pic:spPr bwMode="auto">
                          <a:xfrm>
                            <a:off x="0" y="0"/>
                            <a:ext cx="5943600" cy="4862945"/>
                          </a:xfrm>
                          <a:prstGeom prst="rect">
                            <a:avLst/>
                          </a:prstGeom>
                          <a:noFill/>
                          <a:ln w="9525">
                            <a:noFill/>
                            <a:headEnd/>
                            <a:tailEnd/>
                          </a:ln>
                        </pic:spPr>
                      </pic:pic>
                    </a:graphicData>
                  </a:graphic>
                </wp:inline>
              </w:drawing>
            </w:r>
            <w:bookmarkEnd w:id="116"/>
          </w:p>
          <w:p>
            <w:pPr>
              <w:jc w:val="center"/>
            </w:pPr>
            <w:pPr>
              <w:jc w:val="left"/>
              <w:spacing w:before="200"/>
              <w:pStyle w:val="ImageCaption"/>
            </w:pPr>
            <w:r>
              <w:t xml:space="preserve">Figure 6</w:t>
            </w:r>
          </w:p>
          <w:bookmarkEnd w:id="117"/>
        </w:tc>
      </w:tr>
    </w:tbl>
    <w:p>
      <w:pPr>
        <w:pStyle w:val="TextBody"/>
      </w:pPr>
      <w:hyperlink w:anchor="fig-particao">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122" w:name="fig-particao"/>
          <w:p>
            <w:pPr>
              <w:pStyle w:val="Compact"/>
              <w:jc w:val="center"/>
            </w:pPr>
            <w:bookmarkStart w:id="121" w:name="fig-particao"/>
            <w:r>
              <w:drawing>
                <wp:inline>
                  <wp:extent cx="5943600" cy="4754880"/>
                  <wp:effectExtent b="0" l="0" r="0" t="0"/>
                  <wp:docPr descr="" title="" id="119" name="Picture"/>
                  <a:graphic>
                    <a:graphicData uri="http://schemas.openxmlformats.org/drawingml/2006/picture">
                      <pic:pic>
                        <pic:nvPicPr>
                          <pic:cNvPr descr="res/fig-painel_partição.png" id="120" name="Picture"/>
                          <pic:cNvPicPr>
                            <a:picLocks noChangeArrowheads="1" noChangeAspect="1"/>
                          </pic:cNvPicPr>
                        </pic:nvPicPr>
                        <pic:blipFill>
                          <a:blip r:embed="rId118"/>
                          <a:stretch>
                            <a:fillRect/>
                          </a:stretch>
                        </pic:blipFill>
                        <pic:spPr bwMode="auto">
                          <a:xfrm>
                            <a:off x="0" y="0"/>
                            <a:ext cx="5943600" cy="4754880"/>
                          </a:xfrm>
                          <a:prstGeom prst="rect">
                            <a:avLst/>
                          </a:prstGeom>
                          <a:noFill/>
                          <a:ln w="9525">
                            <a:noFill/>
                            <a:headEnd/>
                            <a:tailEnd/>
                          </a:ln>
                        </pic:spPr>
                      </pic:pic>
                    </a:graphicData>
                  </a:graphic>
                </wp:inline>
              </w:drawing>
            </w:r>
            <w:bookmarkEnd w:id="121"/>
          </w:p>
          <w:p>
            <w:pPr>
              <w:jc w:val="center"/>
            </w:pPr>
            <w:pPr>
              <w:jc w:val="left"/>
              <w:spacing w:before="200"/>
              <w:pStyle w:val="ImageCaption"/>
            </w:pPr>
            <w:r>
              <w:t xml:space="preserve">Figure 7</w:t>
            </w:r>
          </w:p>
          <w:bookmarkEnd w:id="122"/>
        </w:tc>
      </w:tr>
    </w:tbl>
    <w:bookmarkEnd w:id="123"/>
    <w:bookmarkStart w:id="128"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24"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124"/>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25"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125"/>
        </w:tc>
      </w:tr>
    </w:tbl>
    <w:p>
      <w:pPr>
        <w:pStyle w:val="TextBody"/>
      </w:pPr>
      <w:hyperlink w:anchor="tbl-spp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26"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126"/>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27"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27"/>
        </w:tc>
      </w:tr>
    </w:tbl>
    <w:bookmarkEnd w:id="128"/>
    <w:bookmarkEnd w:id="129"/>
    <w:bookmarkStart w:id="130" w:name="apendices"/>
    <w:p>
      <w:pPr>
        <w:pStyle w:val="Heading1"/>
      </w:pPr>
      <w:r>
        <w:t xml:space="preserve">Apendices</w:t>
      </w:r>
    </w:p>
    <w:bookmarkEnd w:id="130"/>
    <w:bookmarkStart w:id="134"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C:\PROGRA~1\RStudio\RESOUR~1\app\bin\quarto\share\formats\docx\warning.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34"/>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31" Target="media/rId131.png" /><Relationship Type="http://schemas.openxmlformats.org/officeDocument/2006/relationships/image" Id="rId88" Target="media/rId88.png" /><Relationship Type="http://schemas.openxmlformats.org/officeDocument/2006/relationships/image" Id="rId103" Target="media/rId103.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118" Target="media/rId118.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hyperlink" Id="rId40" Target="http://memoria2.cnpq.br/web/guest/view/-/journal_content/56_INSTANCE_0oED/10157/23142775" TargetMode="External" /><Relationship Type="http://schemas.openxmlformats.org/officeDocument/2006/relationships/hyperlink" Id="rId78" Target="http://repositorio.ufra.edu.br/jspui/handle/123456789/1861" TargetMode="External" /><Relationship Type="http://schemas.openxmlformats.org/officeDocument/2006/relationships/hyperlink" Id="rId42" Target="https://credit.niso.org/" TargetMode="External" /><Relationship Type="http://schemas.openxmlformats.org/officeDocument/2006/relationships/hyperlink" Id="rId75" Target="https://doi.org/10.1002/rra.3344" TargetMode="External" /><Relationship Type="http://schemas.openxmlformats.org/officeDocument/2006/relationships/hyperlink" Id="rId55" Target="https://doi.org/10.1007/978-94-011-7852-5" TargetMode="External" /><Relationship Type="http://schemas.openxmlformats.org/officeDocument/2006/relationships/hyperlink" Id="rId62" Target="https://doi.org/10.1007/s10750-006-0252-7" TargetMode="External" /><Relationship Type="http://schemas.openxmlformats.org/officeDocument/2006/relationships/hyperlink" Id="rId29" Target="https://doi.org/10.1007/s13157-011-0178-3" TargetMode="External" /><Relationship Type="http://schemas.openxmlformats.org/officeDocument/2006/relationships/hyperlink" Id="rId68" Target="https://doi.org/10.1016/j.biocon.2026.111958" TargetMode="External" /><Relationship Type="http://schemas.openxmlformats.org/officeDocument/2006/relationships/hyperlink" Id="rId59" Target="https://doi.org/10.1016/j.watres.2026.126704" TargetMode="External" /><Relationship Type="http://schemas.openxmlformats.org/officeDocument/2006/relationships/hyperlink" Id="rId71" Target="https://doi.org/10.1017/9781139568173" TargetMode="External" /><Relationship Type="http://schemas.openxmlformats.org/officeDocument/2006/relationships/hyperlink" Id="rId81" Target="https://doi.org/10.1029/TR038i006p00913" TargetMode="External" /><Relationship Type="http://schemas.openxmlformats.org/officeDocument/2006/relationships/hyperlink" Id="rId46" Target="https://doi.org/10.1046/j.1523-1739.2003.01465.x" TargetMode="External" /><Relationship Type="http://schemas.openxmlformats.org/officeDocument/2006/relationships/hyperlink" Id="rId44" Target="https://doi.org/10.1086/378901" TargetMode="External" /><Relationship Type="http://schemas.openxmlformats.org/officeDocument/2006/relationships/hyperlink" Id="rId52" Target="https://doi.org/10.1111/j.1365-2427.2009.02291.x" TargetMode="External" /><Relationship Type="http://schemas.openxmlformats.org/officeDocument/2006/relationships/hyperlink" Id="rId31" Target="https://doi.org/10.1111/j.1466-8238.2009.00490.x" TargetMode="External" /><Relationship Type="http://schemas.openxmlformats.org/officeDocument/2006/relationships/hyperlink" Id="rId33" Target="https://doi.org/10.1111/j.1466-8238.2011.00756.x" TargetMode="External" /><Relationship Type="http://schemas.openxmlformats.org/officeDocument/2006/relationships/hyperlink" Id="rId48" Target="https://doi.org/10.15560/13.5.581" TargetMode="External" /><Relationship Type="http://schemas.openxmlformats.org/officeDocument/2006/relationships/hyperlink" Id="rId83" Target="https://doi.org/10.1890/02-3127" TargetMode="External" /><Relationship Type="http://schemas.openxmlformats.org/officeDocument/2006/relationships/hyperlink" Id="rId38" Target="https://doi.org/10.1890/13-0133.1" TargetMode="External" /><Relationship Type="http://schemas.openxmlformats.org/officeDocument/2006/relationships/hyperlink" Id="rId64" Target="https://doi.org/10.32614/CRAN.package.vegan" TargetMode="External" /><Relationship Type="http://schemas.openxmlformats.org/officeDocument/2006/relationships/hyperlink" Id="rId57" Target="https://doi.org/10.4013/5440" TargetMode="External" /><Relationship Type="http://schemas.openxmlformats.org/officeDocument/2006/relationships/hyperlink" Id="rId50" Target="https://doi.org/10.4319/lo.1973.18.2.0331" TargetMode="External" /><Relationship Type="http://schemas.openxmlformats.org/officeDocument/2006/relationships/hyperlink" Id="rId66" Target="https://doi.org/10.5194/hess-11-1633-2007" TargetMode="External" /><Relationship Type="http://schemas.openxmlformats.org/officeDocument/2006/relationships/hyperlink" Id="rId73" Target="https://www.R-project.org/" TargetMode="External" /><Relationship Type="http://schemas.openxmlformats.org/officeDocument/2006/relationships/hyperlink" Id="rId36" Target="https://www.planalto.gov.br/ccivil_03/leis/l9985.htm" TargetMode="External" /></Relationships>
</file>

<file path=word/_rels/footnotes.xml.rels><?xml version="1.0" encoding="UTF-8"?><Relationships xmlns="http://schemas.openxmlformats.org/package/2006/relationships"><Relationship Type="http://schemas.openxmlformats.org/officeDocument/2006/relationships/hyperlink" Id="rId40" Target="http://memoria2.cnpq.br/web/guest/view/-/journal_content/56_INSTANCE_0oED/10157/23142775" TargetMode="External" /><Relationship Type="http://schemas.openxmlformats.org/officeDocument/2006/relationships/hyperlink" Id="rId78" Target="http://repositorio.ufra.edu.br/jspui/handle/123456789/1861" TargetMode="External" /><Relationship Type="http://schemas.openxmlformats.org/officeDocument/2006/relationships/hyperlink" Id="rId42" Target="https://credit.niso.org/" TargetMode="External" /><Relationship Type="http://schemas.openxmlformats.org/officeDocument/2006/relationships/hyperlink" Id="rId75" Target="https://doi.org/10.1002/rra.3344" TargetMode="External" /><Relationship Type="http://schemas.openxmlformats.org/officeDocument/2006/relationships/hyperlink" Id="rId55" Target="https://doi.org/10.1007/978-94-011-7852-5" TargetMode="External" /><Relationship Type="http://schemas.openxmlformats.org/officeDocument/2006/relationships/hyperlink" Id="rId62" Target="https://doi.org/10.1007/s10750-006-0252-7" TargetMode="External" /><Relationship Type="http://schemas.openxmlformats.org/officeDocument/2006/relationships/hyperlink" Id="rId29" Target="https://doi.org/10.1007/s13157-011-0178-3" TargetMode="External" /><Relationship Type="http://schemas.openxmlformats.org/officeDocument/2006/relationships/hyperlink" Id="rId68" Target="https://doi.org/10.1016/j.biocon.2026.111958" TargetMode="External" /><Relationship Type="http://schemas.openxmlformats.org/officeDocument/2006/relationships/hyperlink" Id="rId59" Target="https://doi.org/10.1016/j.watres.2026.126704" TargetMode="External" /><Relationship Type="http://schemas.openxmlformats.org/officeDocument/2006/relationships/hyperlink" Id="rId71" Target="https://doi.org/10.1017/9781139568173" TargetMode="External" /><Relationship Type="http://schemas.openxmlformats.org/officeDocument/2006/relationships/hyperlink" Id="rId81" Target="https://doi.org/10.1029/TR038i006p00913" TargetMode="External" /><Relationship Type="http://schemas.openxmlformats.org/officeDocument/2006/relationships/hyperlink" Id="rId46" Target="https://doi.org/10.1046/j.1523-1739.2003.01465.x" TargetMode="External" /><Relationship Type="http://schemas.openxmlformats.org/officeDocument/2006/relationships/hyperlink" Id="rId44" Target="https://doi.org/10.1086/378901" TargetMode="External" /><Relationship Type="http://schemas.openxmlformats.org/officeDocument/2006/relationships/hyperlink" Id="rId52" Target="https://doi.org/10.1111/j.1365-2427.2009.02291.x" TargetMode="External" /><Relationship Type="http://schemas.openxmlformats.org/officeDocument/2006/relationships/hyperlink" Id="rId31" Target="https://doi.org/10.1111/j.1466-8238.2009.00490.x" TargetMode="External" /><Relationship Type="http://schemas.openxmlformats.org/officeDocument/2006/relationships/hyperlink" Id="rId33" Target="https://doi.org/10.1111/j.1466-8238.2011.00756.x" TargetMode="External" /><Relationship Type="http://schemas.openxmlformats.org/officeDocument/2006/relationships/hyperlink" Id="rId48" Target="https://doi.org/10.15560/13.5.581" TargetMode="External" /><Relationship Type="http://schemas.openxmlformats.org/officeDocument/2006/relationships/hyperlink" Id="rId83" Target="https://doi.org/10.1890/02-3127" TargetMode="External" /><Relationship Type="http://schemas.openxmlformats.org/officeDocument/2006/relationships/hyperlink" Id="rId38" Target="https://doi.org/10.1890/13-0133.1" TargetMode="External" /><Relationship Type="http://schemas.openxmlformats.org/officeDocument/2006/relationships/hyperlink" Id="rId64" Target="https://doi.org/10.32614/CRAN.package.vegan" TargetMode="External" /><Relationship Type="http://schemas.openxmlformats.org/officeDocument/2006/relationships/hyperlink" Id="rId57" Target="https://doi.org/10.4013/5440" TargetMode="External" /><Relationship Type="http://schemas.openxmlformats.org/officeDocument/2006/relationships/hyperlink" Id="rId50" Target="https://doi.org/10.4319/lo.1973.18.2.0331" TargetMode="External" /><Relationship Type="http://schemas.openxmlformats.org/officeDocument/2006/relationships/hyperlink" Id="rId66" Target="https://doi.org/10.5194/hess-11-1633-2007" TargetMode="External" /><Relationship Type="http://schemas.openxmlformats.org/officeDocument/2006/relationships/hyperlink" Id="rId73" Target="https://www.R-project.org/" TargetMode="External" /><Relationship Type="http://schemas.openxmlformats.org/officeDocument/2006/relationships/hyperlink" Id="rId36" Target="https://www.planalto.gov.br/ccivil_03/leis/l998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2026-09-26T14:25:31Z</dcterms:created>
  <dcterms:modified xsi:type="dcterms:W3CDTF">2026-09-26T14:25:31Z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2026-09-26</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