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3.png" ContentType="image/png"/>
  <Override PartName="/word/media/rId131.png" ContentType="image/png"/>
  <Override PartName="/word/media/rId139.png" ContentType="image/png"/>
  <Override PartName="/word/media/rId135.png" ContentType="image/png"/>
  <Override PartName="/word/media/rId151.png" ContentType="image/png"/>
  <Override PartName="/word/media/rId143.png" ContentType="image/png"/>
  <Override PartName="/word/media/rId1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and Walsh 2013, Freiry et al. 2020)</w:t>
      </w:r>
      <w:r>
        <w:t xml:space="preserve">.</w:t>
      </w:r>
    </w:p>
    <w:p>
      <w:pPr>
        <w:pStyle w:val="TextBody"/>
      </w:pPr>
      <w:r>
        <w:t xml:space="preserve">To compare the diversity of zooplanktonic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 [</w:t>
      </w:r>
      <w:r>
        <w:t xml:space="preserve">Farris (1969)</w:t>
      </w:r>
      <w:r>
        <w:t xml:space="preserve">;</w:t>
      </w:r>
      <w:r>
        <w:t xml:space="preserve"> </w:t>
      </w:r>
      <w:r>
        <w:t xml:space="preserve">Silva and Dias (2013)</w:t>
      </w:r>
      <w:r>
        <w:t xml:space="preserve">;</w:t>
      </w:r>
      <w:r>
        <w:t xml:space="preserve"> </w:t>
      </w:r>
      <w:r>
        <w:t xml:space="preserve">Sokal and Rohlf (1962)</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sSub>
          <m:e>
            <m:r>
              <m:rPr>
                <m:nor/>
                <m:sty m:val="p"/>
              </m:rPr>
              <m:t>F</m:t>
            </m:r>
          </m:e>
          <m:sub>
            <m:r>
              <m:t>1</m:t>
            </m:r>
            <m:r>
              <m:rPr>
                <m:sty m:val="p"/>
              </m:rPr>
              <m:t>,</m:t>
            </m:r>
            <m:r>
              <m:t>88</m:t>
            </m:r>
          </m:sub>
        </m:sSub>
        <m:r>
          <m:rPr>
            <m:sty m:val="p"/>
          </m:rPr>
          <m:t>=</m:t>
        </m:r>
        <m:r>
          <m:t>7.8</m:t>
        </m:r>
        <m:r>
          <m:rPr>
            <m:sty m:val="p"/>
          </m:rPr>
          <m:t>,</m:t>
        </m:r>
        <m:sSup>
          <m:e>
            <m:r>
              <m:t>R</m:t>
            </m:r>
          </m:e>
          <m:sup>
            <m:r>
              <m:t>2</m:t>
            </m:r>
          </m:sup>
        </m:sSup>
        <m:r>
          <m:rPr>
            <m:sty m:val="p"/>
          </m:rPr>
          <m:t>=</m:t>
        </m:r>
        <m:r>
          <m:t>0.08</m:t>
        </m:r>
        <m:r>
          <m:rPr>
            <m:sty m:val="p"/>
          </m:rPr>
          <m:t>,</m:t>
        </m:r>
        <m:r>
          <m:t>p</m:t>
        </m:r>
        <m:r>
          <m:rPr>
            <m:sty m:val="p"/>
          </m:rPr>
          <m:t>=</m:t>
        </m:r>
        <m:r>
          <m:t>0.001</m:t>
        </m:r>
      </m:oMath>
      <w:r>
        <w:t xml:space="preserve">). Dry and wet seasons did not show clear segregation in the PCA, even though PERMANOVA indicated significance of differences between seasons (</w:t>
      </w:r>
      <m:oMath>
        <m:sSub>
          <m:e>
            <m:r>
              <m:rPr>
                <m:nor/>
                <m:sty m:val="p"/>
              </m:rPr>
              <m:t>F</m:t>
            </m:r>
          </m:e>
          <m:sub>
            <m:r>
              <m:t>1</m:t>
            </m:r>
            <m:r>
              <m:rPr>
                <m:sty m:val="p"/>
              </m:rPr>
              <m:t>,</m:t>
            </m:r>
            <m:r>
              <m:t>88</m:t>
            </m:r>
          </m:sub>
        </m:sSub>
        <m:r>
          <m:rPr>
            <m:sty m:val="p"/>
          </m:rPr>
          <m:t>=</m:t>
        </m:r>
        <m:r>
          <m:t>3.8</m:t>
        </m:r>
        <m:r>
          <m:rPr>
            <m:sty m:val="p"/>
          </m:rPr>
          <m:t>,</m:t>
        </m:r>
        <m:sSup>
          <m:e>
            <m:r>
              <m:t>R</m:t>
            </m:r>
          </m:e>
          <m:sup>
            <m:r>
              <m:t>2</m:t>
            </m:r>
          </m:sup>
        </m:sSup>
        <m:r>
          <m:rPr>
            <m:sty m:val="p"/>
          </m:rPr>
          <m:t>=</m:t>
        </m:r>
        <m:r>
          <m:t>0.04</m:t>
        </m:r>
        <m:r>
          <m:rPr>
            <m:sty m:val="p"/>
          </m:rPr>
          <m:t>,</m:t>
        </m:r>
        <m:r>
          <m:t>p</m:t>
        </m:r>
        <m:r>
          <m:rPr>
            <m:sty m:val="p"/>
          </m:rPr>
          <m:t>=</m:t>
        </m:r>
        <m:r>
          <m:t>0.008</m:t>
        </m:r>
      </m:oMath>
      <w:r>
        <w:t xml:space="preserve">).</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but overall no clear trend can be observed when comparing both streams. Nitrite and nitrate, on the other hand, show clearly a greater concentrations at the Caiana stream, nitrate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32.0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the Chao index estimated an extrapolated richness of 58 (±8.9) species for the Barro Branco stream, compared with 54.2 (± 4.3) species for the Caiana stream.</w:t>
      </w:r>
    </w:p>
    <w:p>
      <w:pPr>
        <w:pStyle w:val="TextBody"/>
      </w:pPr>
      <w:r>
        <w:t xml:space="preserve">The NMDS ordination diagrams showed that the composition of zooplankton resting stages differed among most of the ponds from the forest (Fig. 4A) and grassland biomes (Fig. 4B). In addition, the PERMANOVA indicated a significant difference in the composition of zooplanktonic taxa between biomes (pseudo-F1, 53 = 1.85, R2 = 0.035; P = 0.03). The outputs of the db-RDAs showed that the water chemistry subset significantly influenced the dissimilarity in the resting stage composition (F = 1.25; R2 = 0.134; P = 0.02), while the subset of habitat structure did not (F = 0.88; R2  0.01; P = 0.88, Fig. 5).</w:t>
      </w:r>
    </w:p>
    <w:p>
      <w:pPr>
        <w:pStyle w:val="TextBody"/>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30" w:name="references"/>
    <w:p>
      <w:pPr>
        <w:pStyle w:val="Heading1"/>
      </w:pPr>
      <w:r>
        <w:t xml:space="preserve">References</w:t>
      </w:r>
    </w:p>
    <w:bookmarkStart w:id="129"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epa2020"/>
    <w:p>
      <w:pPr>
        <w:pStyle w:val="Bibliography"/>
      </w:pPr>
      <w:r>
        <w:t xml:space="preserve">EPA. 2020.</w:t>
      </w:r>
      <w:r>
        <w:t xml:space="preserve"> </w:t>
      </w:r>
      <w:hyperlink r:id="rId51">
        <w:r>
          <w:rPr>
            <w:rStyle w:val="Hyperlink"/>
          </w:rPr>
          <w:t xml:space="preserve">Standard operating procedure for zooplankton sample collection and preservation</w:t>
        </w:r>
      </w:hyperlink>
      <w:r>
        <w:t xml:space="preserve">.</w:t>
      </w:r>
    </w:p>
    <w:bookmarkEnd w:id="52"/>
    <w:bookmarkStart w:id="54" w:name="ref-farias2020"/>
    <w:p>
      <w:pPr>
        <w:pStyle w:val="Bibliography"/>
      </w:pPr>
      <w:r>
        <w:t xml:space="preserve">Farias, R. L., C. Stenert, L. Maltchik, and E. S. F. Medeiros. 2020.</w:t>
      </w:r>
      <w:r>
        <w:t xml:space="preserve"> </w:t>
      </w:r>
      <w:hyperlink r:id="rId53">
        <w:r>
          <w:rPr>
            <w:rStyle w:val="Hyperlink"/>
          </w:rPr>
          <w:t xml:space="preserve">Partitioning of macroinvertebrate assemblages across temporary pools in an intermittent dryland river</w:t>
        </w:r>
      </w:hyperlink>
      <w:r>
        <w:t xml:space="preserve">. Inland Waters 10:480–492.</w:t>
      </w:r>
    </w:p>
    <w:bookmarkEnd w:id="54"/>
    <w:bookmarkStart w:id="56" w:name="ref-farris1969"/>
    <w:p>
      <w:pPr>
        <w:pStyle w:val="Bibliography"/>
      </w:pPr>
      <w:r>
        <w:t xml:space="preserve">Farris, J. S. 1969.</w:t>
      </w:r>
      <w:r>
        <w:t xml:space="preserve"> </w:t>
      </w:r>
      <w:hyperlink r:id="rId55">
        <w:r>
          <w:rPr>
            <w:rStyle w:val="Hyperlink"/>
          </w:rPr>
          <w:t xml:space="preserve">On the cophenetic correlation coefficient</w:t>
        </w:r>
      </w:hyperlink>
      <w:r>
        <w:t xml:space="preserve">. Systematic Zoology 18:279.</w:t>
      </w:r>
    </w:p>
    <w:bookmarkEnd w:id="56"/>
    <w:bookmarkStart w:id="58" w:name="ref-freiry2020"/>
    <w:p>
      <w:pPr>
        <w:pStyle w:val="Bibliography"/>
      </w:pPr>
      <w:r>
        <w:t xml:space="preserve">Freiry, R. F., V. Weber, C. C. Bonecker, F. A. Lansac-Tôha, M. M. Pires, C. Stenert, and L. Maltchik. 2020.</w:t>
      </w:r>
      <w:r>
        <w:t xml:space="preserve"> </w:t>
      </w:r>
      <w:hyperlink r:id="rId57">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8"/>
    <w:bookmarkStart w:id="60" w:name="ref-frissell1986"/>
    <w:p>
      <w:pPr>
        <w:pStyle w:val="Bibliography"/>
      </w:pPr>
      <w:r>
        <w:t xml:space="preserve">Frissell, C. A., W. J. Liss, C. E. Warren, and M. D. Hurley. 1986.</w:t>
      </w:r>
      <w:r>
        <w:t xml:space="preserve"> </w:t>
      </w:r>
      <w:hyperlink r:id="rId59">
        <w:r>
          <w:rPr>
            <w:rStyle w:val="Hyperlink"/>
          </w:rPr>
          <w:t xml:space="preserve">A hierarchical framework for stream habitat classification: Viewing streams in a watershed context</w:t>
        </w:r>
      </w:hyperlink>
      <w:r>
        <w:t xml:space="preserve">. Environmental Management 10:199–214.</w:t>
      </w:r>
    </w:p>
    <w:bookmarkEnd w:id="60"/>
    <w:bookmarkStart w:id="62" w:name="ref-gering2003"/>
    <w:p>
      <w:pPr>
        <w:pStyle w:val="Bibliography"/>
      </w:pPr>
      <w:r>
        <w:t xml:space="preserve">Gering, J. C., T. O. Crist, and J. A. Veech. 2003.</w:t>
      </w:r>
      <w:r>
        <w:t xml:space="preserve"> </w:t>
      </w:r>
      <w:hyperlink r:id="rId61">
        <w:r>
          <w:rPr>
            <w:rStyle w:val="Hyperlink"/>
          </w:rPr>
          <w:t xml:space="preserve">Additive partitioning of species diversity across multiple spatial scales: Implications for regional conservation of biodiversity</w:t>
        </w:r>
      </w:hyperlink>
      <w:r>
        <w:t xml:space="preserve">. Conservation Biology 17:488–499.</w:t>
      </w:r>
    </w:p>
    <w:bookmarkEnd w:id="62"/>
    <w:bookmarkStart w:id="64" w:name="ref-gotelli2001"/>
    <w:p>
      <w:pPr>
        <w:pStyle w:val="Bibliography"/>
      </w:pPr>
      <w:r>
        <w:t xml:space="preserve">Gotelli, N. J., and R. K. Colwell. 2001.</w:t>
      </w:r>
      <w:r>
        <w:t xml:space="preserve"> </w:t>
      </w:r>
      <w:hyperlink r:id="rId63">
        <w:r>
          <w:rPr>
            <w:rStyle w:val="Hyperlink"/>
          </w:rPr>
          <w:t xml:space="preserve">Quantifying biodiversity: Procedures and pitfalls in the measurement and comparison of species richness</w:t>
        </w:r>
      </w:hyperlink>
      <w:r>
        <w:t xml:space="preserve">. Ecology Letters 4:379–391.</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0" w:name="ref-oksanen2020"/>
    <w:p>
      <w:pPr>
        <w:pStyle w:val="Bibliography"/>
      </w:pPr>
      <w:r>
        <w:t xml:space="preserve">Oksanen, J., F. G. Blanchet, R. Kindt, P. Legendre, P. Minchin, B. O’Hara, G. Simpson, P. Solymos, H. Stevens, and H. Wagner. 2020. Vegan: Community ecology package. R Package Version 2.2-1 2:1–2.</w:t>
      </w:r>
    </w:p>
    <w:bookmarkEnd w:id="100"/>
    <w:bookmarkStart w:id="102"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1">
        <w:r>
          <w:rPr>
            <w:rStyle w:val="Hyperlink"/>
          </w:rPr>
          <w:t xml:space="preserve">Vegan: Community ecology package</w:t>
        </w:r>
      </w:hyperlink>
      <w:r>
        <w:t xml:space="preserve">.</w:t>
      </w:r>
    </w:p>
    <w:bookmarkEnd w:id="102"/>
    <w:bookmarkStart w:id="104" w:name="ref-peel2007"/>
    <w:p>
      <w:pPr>
        <w:pStyle w:val="Bibliography"/>
      </w:pPr>
      <w:r>
        <w:t xml:space="preserve">Peel, M. C., B. L. Finlayson, and T. A. McMahon. 2007.</w:t>
      </w:r>
      <w:r>
        <w:t xml:space="preserve"> </w:t>
      </w:r>
      <w:hyperlink r:id="rId103">
        <w:r>
          <w:rPr>
            <w:rStyle w:val="Hyperlink"/>
          </w:rPr>
          <w:t xml:space="preserve">Updated world map of the köppen-geiger climate classification</w:t>
        </w:r>
      </w:hyperlink>
      <w:r>
        <w:t xml:space="preserve">. Hydrology and Earth System Sciences 11:1633–1644.</w:t>
      </w:r>
    </w:p>
    <w:bookmarkEnd w:id="104"/>
    <w:bookmarkStart w:id="106" w:name="ref-pereira2026"/>
    <w:p>
      <w:pPr>
        <w:pStyle w:val="Bibliography"/>
      </w:pPr>
      <w:r>
        <w:t xml:space="preserve">Pereira, K. M. G., N. G. Cordeiro, L. P. Z. L. Suzuki, and E. van den Berg. 2026.</w:t>
      </w:r>
      <w:r>
        <w:t xml:space="preserve"> </w:t>
      </w:r>
      <w:hyperlink r:id="rId105">
        <w:r>
          <w:rPr>
            <w:rStyle w:val="Hyperlink"/>
          </w:rPr>
          <w:t xml:space="preserve">How important are small fragments for restoration in the central portion of the atlantic forest?</w:t>
        </w:r>
      </w:hyperlink>
      <w:r>
        <w:t xml:space="preserve"> Biological Conservation 321:Article 111958.</w:t>
      </w:r>
    </w:p>
    <w:bookmarkEnd w:id="106"/>
    <w:bookmarkStart w:id="107"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7"/>
    <w:bookmarkStart w:id="109" w:name="ref-rcoreteam2017"/>
    <w:p>
      <w:pPr>
        <w:pStyle w:val="Bibliography"/>
      </w:pPr>
      <w:r>
        <w:t xml:space="preserve">R Core Team. 2017.</w:t>
      </w:r>
      <w:r>
        <w:t xml:space="preserve"> </w:t>
      </w:r>
      <w:hyperlink r:id="rId108">
        <w:r>
          <w:rPr>
            <w:rStyle w:val="Hyperlink"/>
          </w:rPr>
          <w:t xml:space="preserve">R: A language and environment for statistical computing</w:t>
        </w:r>
      </w:hyperlink>
      <w:r>
        <w:t xml:space="preserve">.</w:t>
      </w:r>
    </w:p>
    <w:bookmarkEnd w:id="109"/>
    <w:bookmarkStart w:id="111" w:name="ref-rocha2012"/>
    <w:p>
      <w:pPr>
        <w:pStyle w:val="Bibliography"/>
      </w:pPr>
      <w:r>
        <w:t xml:space="preserve">Rocha, L. G., E. S. F. Medeiros, and H. T. A. Andrade. 2012.</w:t>
      </w:r>
      <w:r>
        <w:t xml:space="preserve"> </w:t>
      </w:r>
      <w:hyperlink r:id="rId110">
        <w:r>
          <w:rPr>
            <w:rStyle w:val="Hyperlink"/>
          </w:rPr>
          <w:t xml:space="preserve">Influence of flow variability on macroinvertebrate assemblages in an intermittent stream of semi-arid brazil</w:t>
        </w:r>
      </w:hyperlink>
      <w:r>
        <w:t xml:space="preserve">. Journal of Arid Environments 85:33–40.</w:t>
      </w:r>
    </w:p>
    <w:bookmarkEnd w:id="111"/>
    <w:bookmarkStart w:id="113" w:name="ref-saraçli2013"/>
    <w:p>
      <w:pPr>
        <w:pStyle w:val="Bibliography"/>
      </w:pPr>
      <w:r>
        <w:t xml:space="preserve">Saraçli, S., N. Doğan, and İ. Doğan. 2013.</w:t>
      </w:r>
      <w:r>
        <w:t xml:space="preserve"> </w:t>
      </w:r>
      <w:hyperlink r:id="rId112">
        <w:r>
          <w:rPr>
            <w:rStyle w:val="Hyperlink"/>
          </w:rPr>
          <w:t xml:space="preserve">Comparison of hierarchical cluster analysis methods by cophenetic correlation</w:t>
        </w:r>
      </w:hyperlink>
      <w:r>
        <w:t xml:space="preserve">. Journal of Inequalities and Applications 2013:203.</w:t>
      </w:r>
    </w:p>
    <w:bookmarkEnd w:id="113"/>
    <w:bookmarkStart w:id="115" w:name="ref-shell2018"/>
    <w:p>
      <w:pPr>
        <w:pStyle w:val="Bibliography"/>
      </w:pPr>
      <w:r>
        <w:t xml:space="preserve">Shell, T. M., and K. J. Collier. 2018.</w:t>
      </w:r>
      <w:r>
        <w:t xml:space="preserve"> </w:t>
      </w:r>
      <w:hyperlink r:id="rId114">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5"/>
    <w:bookmarkStart w:id="117" w:name="ref-silva2013"/>
    <w:p>
      <w:pPr>
        <w:pStyle w:val="Bibliography"/>
      </w:pPr>
      <w:r>
        <w:t xml:space="preserve">Silva, A. R., and C. T. S. Dias. 2013.</w:t>
      </w:r>
      <w:r>
        <w:t xml:space="preserve"> </w:t>
      </w:r>
      <w:hyperlink r:id="rId116">
        <w:r>
          <w:rPr>
            <w:rStyle w:val="Hyperlink"/>
          </w:rPr>
          <w:t xml:space="preserve">A cophenetic correlation coefficient for tocher’s method</w:t>
        </w:r>
      </w:hyperlink>
      <w:r>
        <w:t xml:space="preserve">. Pesquisa Agropecuária Brasileira 48:589–596.</w:t>
      </w:r>
    </w:p>
    <w:bookmarkEnd w:id="117"/>
    <w:bookmarkStart w:id="118"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8"/>
    <w:bookmarkStart w:id="119" w:name="ref-sneath1973"/>
    <w:p>
      <w:pPr>
        <w:pStyle w:val="Bibliography"/>
      </w:pPr>
      <w:r>
        <w:t xml:space="preserve">Sneath, P. H. A., and R. R. Sokal. 1973. Numerical taxonomy: The principles and practice of numerical classification. First edition. W H Freeman &amp; Co.</w:t>
      </w:r>
    </w:p>
    <w:bookmarkEnd w:id="119"/>
    <w:bookmarkStart w:id="121" w:name="ref-sokal1962"/>
    <w:p>
      <w:pPr>
        <w:pStyle w:val="Bibliography"/>
      </w:pPr>
      <w:r>
        <w:t xml:space="preserve">Sokal, R. R., and F. J. Rohlf. 1962.</w:t>
      </w:r>
      <w:r>
        <w:t xml:space="preserve"> </w:t>
      </w:r>
      <w:hyperlink r:id="rId120">
        <w:r>
          <w:rPr>
            <w:rStyle w:val="Hyperlink"/>
          </w:rPr>
          <w:t xml:space="preserve">The comparison of dendrograms by objective methods</w:t>
        </w:r>
      </w:hyperlink>
      <w:r>
        <w:t xml:space="preserve">. Taxon 11:33–40.</w:t>
      </w:r>
    </w:p>
    <w:bookmarkEnd w:id="121"/>
    <w:bookmarkStart w:id="122" w:name="ref-sokal1995"/>
    <w:p>
      <w:pPr>
        <w:pStyle w:val="Bibliography"/>
      </w:pPr>
      <w:r>
        <w:t xml:space="preserve">Sokal, R. R., and F. J. Rohlf. 1995. Biometry: The principles and practice of statistics in biological research. Third edition. W.H. Freeman; Company, New York.</w:t>
      </w:r>
    </w:p>
    <w:bookmarkEnd w:id="122"/>
    <w:bookmarkStart w:id="124" w:name="ref-strahler1957"/>
    <w:p>
      <w:pPr>
        <w:pStyle w:val="Bibliography"/>
      </w:pPr>
      <w:r>
        <w:t xml:space="preserve">Strahler, A. N. 1957.</w:t>
      </w:r>
      <w:r>
        <w:t xml:space="preserve"> </w:t>
      </w:r>
      <w:hyperlink r:id="rId123">
        <w:r>
          <w:rPr>
            <w:rStyle w:val="Hyperlink"/>
          </w:rPr>
          <w:t xml:space="preserve">Quantitative analysis of watershed geomorphology</w:t>
        </w:r>
      </w:hyperlink>
      <w:r>
        <w:t xml:space="preserve">. Eos, Transactions American Geophysical Union 38:913–920.</w:t>
      </w:r>
    </w:p>
    <w:bookmarkEnd w:id="124"/>
    <w:bookmarkStart w:id="126" w:name="ref-veech2003"/>
    <w:p>
      <w:pPr>
        <w:pStyle w:val="Bibliography"/>
      </w:pPr>
      <w:r>
        <w:t xml:space="preserve">Veech, J. A., T. O. Crist, and K. S. Summerville. 2003.</w:t>
      </w:r>
      <w:r>
        <w:t xml:space="preserve"> </w:t>
      </w:r>
      <w:hyperlink r:id="rId125">
        <w:r>
          <w:rPr>
            <w:rStyle w:val="Hyperlink"/>
          </w:rPr>
          <w:t xml:space="preserve">Intraspecific aggregation decreases local species diversity of arthropods</w:t>
        </w:r>
      </w:hyperlink>
      <w:r>
        <w:t xml:space="preserve">. Ecology 84:3376–3383.</w:t>
      </w:r>
    </w:p>
    <w:bookmarkEnd w:id="126"/>
    <w:bookmarkStart w:id="128" w:name="ref-veech2002"/>
    <w:p>
      <w:pPr>
        <w:pStyle w:val="Bibliography"/>
      </w:pPr>
      <w:r>
        <w:t xml:space="preserve">Veech, J. A., K. S. Summerville, T. O. Crist, and J. C. Gering. 2002.</w:t>
      </w:r>
      <w:r>
        <w:t xml:space="preserve"> </w:t>
      </w:r>
      <w:hyperlink r:id="rId127">
        <w:r>
          <w:rPr>
            <w:rStyle w:val="Hyperlink"/>
          </w:rPr>
          <w:t xml:space="preserve">The additive partitioning of species diversity: Recent revival of an old idea</w:t>
        </w:r>
      </w:hyperlink>
      <w:r>
        <w:t xml:space="preserve">. Oikos 99:3–9.</w:t>
      </w:r>
    </w:p>
    <w:bookmarkEnd w:id="128"/>
    <w:bookmarkEnd w:id="129"/>
    <w:bookmarkEnd w:id="130"/>
    <w:bookmarkStart w:id="16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5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r>
              <w:drawing>
                <wp:inline>
                  <wp:extent cx="5943600" cy="4202583"/>
                  <wp:effectExtent b="0" l="0" r="0" t="0"/>
                  <wp:docPr descr="" title="" id="132" name="Picture"/>
                  <a:graphic>
                    <a:graphicData uri="http://schemas.openxmlformats.org/drawingml/2006/picture">
                      <pic:pic>
                        <pic:nvPicPr>
                          <pic:cNvPr descr="imagens/Uso%20de%20Solo%20Rebio_en.png" id="133" name="Picture"/>
                          <pic:cNvPicPr>
                            <a:picLocks noChangeArrowheads="1" noChangeAspect="1"/>
                          </pic:cNvPicPr>
                        </pic:nvPicPr>
                        <pic:blipFill>
                          <a:blip r:embed="rId131"/>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4"/>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8" w:name="fig-hab_PCA_rio"/>
          <w:p>
            <w:pPr>
              <w:pStyle w:val="Compact"/>
              <w:jc w:val="center"/>
            </w:pPr>
            <w:r>
              <w:drawing>
                <wp:inline>
                  <wp:extent cx="5943600" cy="4953000"/>
                  <wp:effectExtent b="0" l="0" r="0" t="0"/>
                  <wp:docPr descr="" title="" id="136" name="Picture"/>
                  <a:graphic>
                    <a:graphicData uri="http://schemas.openxmlformats.org/drawingml/2006/picture">
                      <pic:pic>
                        <pic:nvPicPr>
                          <pic:cNvPr descr="res/fig-hab_PCA_rio.png" id="137" name="Picture"/>
                          <pic:cNvPicPr>
                            <a:picLocks noChangeArrowheads="1" noChangeAspect="1"/>
                          </pic:cNvPicPr>
                        </pic:nvPicPr>
                        <pic:blipFill>
                          <a:blip r:embed="rId13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8"/>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2" w:name="fig-hab_PCA_periodo"/>
          <w:p>
            <w:pPr>
              <w:pStyle w:val="Compact"/>
              <w:jc w:val="center"/>
            </w:pPr>
            <w:r>
              <w:drawing>
                <wp:inline>
                  <wp:extent cx="5943600" cy="4953000"/>
                  <wp:effectExtent b="0" l="0" r="0" t="0"/>
                  <wp:docPr descr="" title="" id="140" name="Picture"/>
                  <a:graphic>
                    <a:graphicData uri="http://schemas.openxmlformats.org/drawingml/2006/picture">
                      <pic:pic>
                        <pic:nvPicPr>
                          <pic:cNvPr descr="res/fig-hab_PCA_periodo.png" id="141" name="Picture"/>
                          <pic:cNvPicPr>
                            <a:picLocks noChangeArrowheads="1" noChangeAspect="1"/>
                          </pic:cNvPicPr>
                        </pic:nvPicPr>
                        <pic:blipFill>
                          <a:blip r:embed="rId13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42"/>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6" w:name="fig-rare1"/>
          <w:p>
            <w:pPr>
              <w:pStyle w:val="Compact"/>
              <w:jc w:val="center"/>
            </w:pPr>
            <w:r>
              <w:drawing>
                <wp:inline>
                  <wp:extent cx="5943600" cy="4457699"/>
                  <wp:effectExtent b="0" l="0" r="0" t="0"/>
                  <wp:docPr descr="" title="" id="144" name="Picture"/>
                  <a:graphic>
                    <a:graphicData uri="http://schemas.openxmlformats.org/drawingml/2006/picture">
                      <pic:pic>
                        <pic:nvPicPr>
                          <pic:cNvPr descr="res/fig-rare1.png" id="145" name="Picture"/>
                          <pic:cNvPicPr>
                            <a:picLocks noChangeArrowheads="1" noChangeAspect="1"/>
                          </pic:cNvPicPr>
                        </pic:nvPicPr>
                        <pic:blipFill>
                          <a:blip r:embed="rId14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6"/>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0" w:name="fig-upgma"/>
          <w:p>
            <w:pPr>
              <w:pStyle w:val="Compact"/>
              <w:jc w:val="center"/>
            </w:pPr>
            <w:r>
              <w:drawing>
                <wp:inline>
                  <wp:extent cx="5943600" cy="4862945"/>
                  <wp:effectExtent b="0" l="0" r="0" t="0"/>
                  <wp:docPr descr="" title="" id="148" name="Picture"/>
                  <a:graphic>
                    <a:graphicData uri="http://schemas.openxmlformats.org/drawingml/2006/picture">
                      <pic:pic>
                        <pic:nvPicPr>
                          <pic:cNvPr descr="res/fig-upgma.png" id="149" name="Picture"/>
                          <pic:cNvPicPr>
                            <a:picLocks noChangeArrowheads="1" noChangeAspect="1"/>
                          </pic:cNvPicPr>
                        </pic:nvPicPr>
                        <pic:blipFill>
                          <a:blip r:embed="rId14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50"/>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4" w:name="fig-particao"/>
          <w:p>
            <w:pPr>
              <w:pStyle w:val="Compact"/>
              <w:jc w:val="center"/>
            </w:pPr>
            <w:r>
              <w:drawing>
                <wp:inline>
                  <wp:extent cx="5943600" cy="4754880"/>
                  <wp:effectExtent b="0" l="0" r="0" t="0"/>
                  <wp:docPr descr="" title="" id="152" name="Picture"/>
                  <a:graphic>
                    <a:graphicData uri="http://schemas.openxmlformats.org/drawingml/2006/picture">
                      <pic:pic>
                        <pic:nvPicPr>
                          <pic:cNvPr descr="res/fig-painel_partição.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w:t>
            </w:r>
          </w:p>
          <w:bookmarkEnd w:id="154"/>
        </w:tc>
      </w:tr>
    </w:tbl>
    <w:bookmarkEnd w:id="155"/>
    <w:bookmarkStart w:id="16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7"/>
        </w:tc>
      </w:tr>
    </w:tbl>
    <w:p>
      <w:pPr>
        <w:pStyle w:val="TextBody"/>
      </w:pPr>
      <w:r>
        <w:rPr>
          <w:b/>
          <w:bCs/>
        </w:rPr>
        <w:t xml:space="preserve">?@tbl-spp_gttable</w:t>
      </w:r>
    </w:p>
    <w:tbl>
      <w:tblPr>
        <w:tblStyle w:val="Table"/>
        <w:tblW w:type="pct" w:w="5000"/>
        <w:tblLayout w:type="fixed"/>
        <w:tblLook w:firstRow="0" w:lastRow="0" w:firstColumn="0" w:lastColumn="0" w:noHBand="0" w:noVBand="0" w:val="0000"/>
      </w:tblPr>
      <w:tblGrid>
        <w:gridCol w:w="7920"/>
      </w:tblGrid>
      <w:tr>
        <w:tc>
          <w:tcPr/>
          <w:bookmarkStart w:id="15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5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59"/>
        </w:tc>
      </w:tr>
    </w:tbl>
    <w:bookmarkEnd w:id="160"/>
    <w:bookmarkEnd w:id="161"/>
    <w:bookmarkStart w:id="162" w:name="apendices"/>
    <w:p>
      <w:pPr>
        <w:pStyle w:val="Heading1"/>
      </w:pPr>
      <w:r>
        <w:t xml:space="preserve">Apendices</w:t>
      </w:r>
    </w:p>
    <w:bookmarkEnd w:id="162"/>
    <w:bookmarkStart w:id="16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PROGRA~1\RStudio\RESOUR~1\app\bin\quarto\share\formats\docx\warning.png" id="165" name="Picture"/>
                          <pic:cNvPicPr>
                            <a:picLocks noChangeArrowheads="1" noChangeAspect="1"/>
                          </pic:cNvPicPr>
                        </pic:nvPicPr>
                        <pic:blipFill>
                          <a:blip r:embed="rId1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3" Target="media/rId163.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2026-10-05T02:02:05Z</dcterms:created>
  <dcterms:modified xsi:type="dcterms:W3CDTF">2026-10-05T02:02:05Z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