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3.png" ContentType="image/png"/>
  <Override PartName="/word/media/rId130.png" ContentType="image/png"/>
  <Override PartName="/word/media/rId145.png" ContentType="image/png"/>
  <Override PartName="/word/media/rId135.png" ContentType="image/png"/>
  <Override PartName="/word/media/rId140.png" ContentType="image/png"/>
  <Override PartName="/word/media/rId160.png" ContentType="image/png"/>
  <Override PartName="/word/media/rId150.png" ContentType="image/png"/>
  <Override PartName="/word/media/rId15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Invalid Date</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Gering et al., 2003; Ligeiro et al., 2010; Shell &amp; Collier, 2018; Veech et al., 2003)</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(J. M. C. 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(Lucena et al., 2015; T. X. D. Melo et al., 2014)</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&amp; Walsh, 2013; Freiry et al., 2020)</w:t>
      </w:r>
      <w:r>
        <w:t xml:space="preserve">.</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&amp; McDonald, 1993; Diniz-Reis et al., 2022)</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(Saraçli et al., 2013; Sneath &amp; Sokal, 1973; Sokal &amp; Rohlf, 1962)</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 The cophenetic distance matrix was then correlated with the corresponding original Bray-Curtis dissimilarity matrix using Pearson’s product-moment correlation coefficient</w:t>
      </w:r>
      <w:r>
        <w:t xml:space="preserve"> </w:t>
      </w:r>
      <w:r>
        <w:t xml:space="preserve">(Farris, 1969; A. R. Silva &amp; Dias, 2013; Sokal &amp; Rohlf, 1962)</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&amp;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(Crist et al., 2003; Lande, 1996)</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(γ)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(Farias et al., 2020; T. X. Melo &amp; Medeiros, 2013)</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T. X. Melo &amp; Medeiros, 2013)</w:t>
      </w:r>
      <w:r>
        <w:t xml:space="preserve">. The randomization process was repeated 999 times to obtain null distributions of the α and β 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(Crist et al., 2003; Freiry et al., 2020; Gering et al., 2003; Veech et al., 2002)</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9" w:name="references"/>
    <w:p>
      <w:pPr>
        <w:pStyle w:val="Heading1"/>
      </w:pPr>
      <w:r>
        <w:t xml:space="preserve">References</w:t>
      </w:r>
    </w:p>
    <w:bookmarkStart w:id="128" w:name="refs"/>
    <w:bookmarkStart w:id="30" w:name="ref-anderson2013"/>
    <w:p>
      <w:pPr>
        <w:pStyle w:val="Bibliography"/>
      </w:pPr>
      <w:r>
        <w:t xml:space="preserve">Anderson, M. J., &amp; Walsh, D. C. I. (2013). PERMANOVA, ANOSIM, and the mantel test in the face of heterogeneous dispersions: What null hypothesis are you testing?</w:t>
      </w:r>
      <w:r>
        <w:t xml:space="preserve"> </w:t>
      </w:r>
      <w:r>
        <w:rPr>
          <w:i/>
          <w:iCs/>
        </w:rPr>
        <w:t xml:space="preserve">Ecological Monographs</w:t>
      </w:r>
      <w:r>
        <w:t xml:space="preserve">,</w:t>
      </w:r>
      <w:r>
        <w:t xml:space="preserve"> </w:t>
      </w:r>
      <w:r>
        <w:rPr>
          <w:i/>
          <w:iCs/>
        </w:rPr>
        <w:t xml:space="preserve">83</w:t>
      </w:r>
      <w:r>
        <w:t xml:space="preserve">(4), 557574.</w:t>
      </w:r>
      <w:r>
        <w:t xml:space="preserve"> </w:t>
      </w:r>
      <w:hyperlink r:id="rId29">
        <w:r>
          <w:rPr>
            <w:rStyle w:val="Hyperlink"/>
          </w:rPr>
          <w:t xml:space="preserve">https://doi.org/10.1890/12-2010.1</w:t>
        </w:r>
      </w:hyperlink>
    </w:p>
    <w:bookmarkEnd w:id="30"/>
    <w:bookmarkStart w:id="32"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1">
        <w:r>
          <w:rPr>
            <w:rStyle w:val="Hyperlink"/>
          </w:rPr>
          <w:t xml:space="preserve">https://www.standardmethods.org/</w:t>
        </w:r>
      </w:hyperlink>
    </w:p>
    <w:bookmarkEnd w:id="32"/>
    <w:bookmarkStart w:id="34"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3">
        <w:r>
          <w:rPr>
            <w:rStyle w:val="Hyperlink"/>
          </w:rPr>
          <w:t xml:space="preserve">https://doi.org/10.5902/2316305410852</w:t>
        </w:r>
      </w:hyperlink>
    </w:p>
    <w:bookmarkEnd w:id="34"/>
    <w:bookmarkStart w:id="36"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5">
        <w:r>
          <w:rPr>
            <w:rStyle w:val="Hyperlink"/>
          </w:rPr>
          <w:t xml:space="preserve">https://doi.org/10.1007/s13157-011-0178-3</w:t>
        </w:r>
      </w:hyperlink>
    </w:p>
    <w:bookmarkEnd w:id="36"/>
    <w:bookmarkStart w:id="3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37">
        <w:r>
          <w:rPr>
            <w:rStyle w:val="Hyperlink"/>
          </w:rPr>
          <w:t xml:space="preserve">https://doi.org/10.1111/j.1466-8238.2009.00490.x</w:t>
        </w:r>
      </w:hyperlink>
    </w:p>
    <w:bookmarkEnd w:id="38"/>
    <w:bookmarkStart w:id="4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39">
        <w:r>
          <w:rPr>
            <w:rStyle w:val="Hyperlink"/>
          </w:rPr>
          <w:t xml:space="preserve">https://doi.org/10.1111/j.1466-8238.2011.00756.x</w:t>
        </w:r>
      </w:hyperlink>
    </w:p>
    <w:bookmarkEnd w:id="40"/>
    <w:bookmarkStart w:id="42" w:name="ref-belbin1993"/>
    <w:p>
      <w:pPr>
        <w:pStyle w:val="Bibliography"/>
      </w:pPr>
      <w:r>
        <w:t xml:space="preserve">Belbin, L., &amp; McDonald, C. (1993). Comparing three classification strategies for use in ecology.</w:t>
      </w:r>
      <w:r>
        <w:t xml:space="preserve"> </w:t>
      </w:r>
      <w:r>
        <w:rPr>
          <w:i/>
          <w:iCs/>
        </w:rPr>
        <w:t xml:space="preserve">Journal of Vegetation Science</w:t>
      </w:r>
      <w:r>
        <w:t xml:space="preserve">,</w:t>
      </w:r>
      <w:r>
        <w:t xml:space="preserve"> </w:t>
      </w:r>
      <w:r>
        <w:rPr>
          <w:i/>
          <w:iCs/>
        </w:rPr>
        <w:t xml:space="preserve">4</w:t>
      </w:r>
      <w:r>
        <w:t xml:space="preserve">(3), 341–348.</w:t>
      </w:r>
      <w:r>
        <w:t xml:space="preserve"> </w:t>
      </w:r>
      <w:hyperlink r:id="rId41">
        <w:r>
          <w:rPr>
            <w:rStyle w:val="Hyperlink"/>
          </w:rPr>
          <w:t xml:space="preserve">https://doi.org/10.2307/3235592</w:t>
        </w:r>
      </w:hyperlink>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5">
        <w:r>
          <w:rPr>
            <w:rStyle w:val="Hyperlink"/>
          </w:rPr>
          <w:t xml:space="preserve">http://memoria2.cnpq.br/web/guest/view/-/journal_content/56_INSTANCE_0oED/10157/23142775</w:t>
        </w:r>
      </w:hyperlink>
    </w:p>
    <w:bookmarkEnd w:id="46"/>
    <w:bookmarkStart w:id="4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47">
        <w:r>
          <w:rPr>
            <w:rStyle w:val="Hyperlink"/>
          </w:rPr>
          <w:t xml:space="preserve">https://credit.niso.org/</w:t>
        </w:r>
      </w:hyperlink>
    </w:p>
    <w:bookmarkEnd w:id="48"/>
    <w:bookmarkStart w:id="5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49">
        <w:r>
          <w:rPr>
            <w:rStyle w:val="Hyperlink"/>
          </w:rPr>
          <w:t xml:space="preserve">https://doi.org/10.1086/378901</w:t>
        </w:r>
      </w:hyperlink>
    </w:p>
    <w:bookmarkEnd w:id="50"/>
    <w:bookmarkStart w:id="52" w:name="ref-diniz-reis2022"/>
    <w:p>
      <w:pPr>
        <w:pStyle w:val="Bibliography"/>
      </w:pPr>
      <w:r>
        <w:t xml:space="preserve">Diniz-Reis, T. R., Augusto, F. G., Abdalla Filho, A. L., Araújo, M. G. D. S., Chaves, S. S. F., Almeida, R. F., Perez, E. B., Simon, C. D. P., De Souza, J., Da Costa, C. F. G., Gomes, T., Martinez, M. G., Soltangheisi, A., Mariano, E., Vanin, A. S., Andrade, T., Boesing, A., Costa, F. J. V., Fortuna, M. D., … Martinelli, L. A. (2022). SIA</w:t>
      </w:r>
      <w:r>
        <w:t xml:space="preserve">-</w:t>
      </w:r>
      <w:r>
        <w:t xml:space="preserve">BRA: A database of animal stable carbon and nitrogen isotope ratios of brazil.</w:t>
      </w:r>
      <w:r>
        <w:t xml:space="preserve"> </w:t>
      </w:r>
      <w:r>
        <w:rPr>
          <w:i/>
          <w:iCs/>
        </w:rPr>
        <w:t xml:space="preserve">Global Ecology and Biogeography</w:t>
      </w:r>
      <w:r>
        <w:t xml:space="preserve">,</w:t>
      </w:r>
      <w:r>
        <w:t xml:space="preserve"> </w:t>
      </w:r>
      <w:r>
        <w:rPr>
          <w:i/>
          <w:iCs/>
        </w:rPr>
        <w:t xml:space="preserve">31</w:t>
      </w:r>
      <w:r>
        <w:t xml:space="preserve">(4), 611–620.</w:t>
      </w:r>
      <w:r>
        <w:t xml:space="preserve"> </w:t>
      </w:r>
      <w:hyperlink r:id="rId51">
        <w:r>
          <w:rPr>
            <w:rStyle w:val="Hyperlink"/>
          </w:rPr>
          <w:t xml:space="preserve">https://doi.org/10.1111/geb.13449</w:t>
        </w:r>
      </w:hyperlink>
    </w:p>
    <w:bookmarkEnd w:id="52"/>
    <w:bookmarkStart w:id="54" w:name="ref-epa2020"/>
    <w:p>
      <w:pPr>
        <w:pStyle w:val="Bibliography"/>
      </w:pPr>
      <w:r>
        <w:t xml:space="preserve">EPA. (2020).</w:t>
      </w:r>
      <w:r>
        <w:t xml:space="preserve"> </w:t>
      </w:r>
      <w:r>
        <w:rPr>
          <w:i/>
          <w:iCs/>
        </w:rPr>
        <w:t xml:space="preserve">Standard operating procedure for zooplankton sample collection and preservation</w:t>
      </w:r>
      <w:r>
        <w:t xml:space="preserve">.</w:t>
      </w:r>
      <w:r>
        <w:t xml:space="preserve"> </w:t>
      </w:r>
      <w:hyperlink r:id="rId53">
        <w:r>
          <w:rPr>
            <w:rStyle w:val="Hyperlink"/>
          </w:rPr>
          <w:t xml:space="preserve">https://www.epa.gov/system/files/documents/2021-08/lg402a.v15-zooplankton-sampling_rfa.pdf</w:t>
        </w:r>
      </w:hyperlink>
    </w:p>
    <w:bookmarkEnd w:id="54"/>
    <w:bookmarkStart w:id="56"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55">
        <w:r>
          <w:rPr>
            <w:rStyle w:val="Hyperlink"/>
          </w:rPr>
          <w:t xml:space="preserve">https://doi.org/10.1080/20442041.2020.1738841</w:t>
        </w:r>
      </w:hyperlink>
    </w:p>
    <w:bookmarkEnd w:id="56"/>
    <w:bookmarkStart w:id="58" w:name="ref-farris1969"/>
    <w:p>
      <w:pPr>
        <w:pStyle w:val="Bibliography"/>
      </w:pPr>
      <w:r>
        <w:t xml:space="preserve">Farris, J. S. (1969). On the cophenetic correlation coefficient.</w:t>
      </w:r>
      <w:r>
        <w:t xml:space="preserve"> </w:t>
      </w:r>
      <w:r>
        <w:rPr>
          <w:i/>
          <w:iCs/>
        </w:rPr>
        <w:t xml:space="preserve">Systematic Zoology</w:t>
      </w:r>
      <w:r>
        <w:t xml:space="preserve">,</w:t>
      </w:r>
      <w:r>
        <w:t xml:space="preserve"> </w:t>
      </w:r>
      <w:r>
        <w:rPr>
          <w:i/>
          <w:iCs/>
        </w:rPr>
        <w:t xml:space="preserve">18</w:t>
      </w:r>
      <w:r>
        <w:t xml:space="preserve">(3), 279.</w:t>
      </w:r>
      <w:r>
        <w:t xml:space="preserve"> </w:t>
      </w:r>
      <w:hyperlink r:id="rId57">
        <w:r>
          <w:rPr>
            <w:rStyle w:val="Hyperlink"/>
          </w:rPr>
          <w:t xml:space="preserve">https://doi.org/10.2307/2412324</w:t>
        </w:r>
      </w:hyperlink>
    </w:p>
    <w:bookmarkEnd w:id="58"/>
    <w:bookmarkStart w:id="6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59">
        <w:r>
          <w:rPr>
            <w:rStyle w:val="Hyperlink"/>
          </w:rPr>
          <w:t xml:space="preserve">https://doi.org/10.1007/s10750-020-04187-0</w:t>
        </w:r>
      </w:hyperlink>
    </w:p>
    <w:bookmarkEnd w:id="60"/>
    <w:bookmarkStart w:id="62" w:name="ref-frissell1986"/>
    <w:p>
      <w:pPr>
        <w:pStyle w:val="Bibliography"/>
      </w:pPr>
      <w:r>
        <w:t xml:space="preserve">Frissell, C. A., Liss, W. J., Warren, C. E., &amp; Hurley, M. D. (1986). A hierarchical framework for stream habitat classification: Viewing streams in a watershed context.</w:t>
      </w:r>
      <w:r>
        <w:t xml:space="preserve"> </w:t>
      </w:r>
      <w:r>
        <w:rPr>
          <w:i/>
          <w:iCs/>
        </w:rPr>
        <w:t xml:space="preserve">Environmental Management</w:t>
      </w:r>
      <w:r>
        <w:t xml:space="preserve">,</w:t>
      </w:r>
      <w:r>
        <w:t xml:space="preserve"> </w:t>
      </w:r>
      <w:r>
        <w:rPr>
          <w:i/>
          <w:iCs/>
        </w:rPr>
        <w:t xml:space="preserve">10</w:t>
      </w:r>
      <w:r>
        <w:t xml:space="preserve">, 199–214.</w:t>
      </w:r>
      <w:r>
        <w:t xml:space="preserve"> </w:t>
      </w:r>
      <w:hyperlink r:id="rId61">
        <w:r>
          <w:rPr>
            <w:rStyle w:val="Hyperlink"/>
          </w:rPr>
          <w:t xml:space="preserve">https://doi.org/10.1007/BF01867358</w:t>
        </w:r>
      </w:hyperlink>
    </w:p>
    <w:bookmarkEnd w:id="62"/>
    <w:bookmarkStart w:id="64"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63">
        <w:r>
          <w:rPr>
            <w:rStyle w:val="Hyperlink"/>
          </w:rPr>
          <w:t xml:space="preserve">https://doi.org/10.1046/j.1523-1739.2003.01465.x</w:t>
        </w:r>
      </w:hyperlink>
    </w:p>
    <w:bookmarkEnd w:id="64"/>
    <w:bookmarkStart w:id="66"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65">
        <w:r>
          <w:rPr>
            <w:rStyle w:val="Hyperlink"/>
          </w:rPr>
          <w:t xml:space="preserve">https://doi.org/10.15560/13.5.581</w:t>
        </w:r>
      </w:hyperlink>
    </w:p>
    <w:bookmarkEnd w:id="66"/>
    <w:bookmarkStart w:id="68"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67">
        <w:r>
          <w:rPr>
            <w:rStyle w:val="Hyperlink"/>
          </w:rPr>
          <w:t xml:space="preserve">https://doi.org/10.4319/lo.1973.18.2.0331</w:t>
        </w:r>
      </w:hyperlink>
    </w:p>
    <w:bookmarkEnd w:id="68"/>
    <w:bookmarkStart w:id="7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9">
        <w:r>
          <w:rPr>
            <w:rStyle w:val="Hyperlink"/>
          </w:rPr>
          <w:t xml:space="preserve">https://doi.org/10.1007/978-3-319-58374-7_11</w:t>
        </w:r>
      </w:hyperlink>
    </w:p>
    <w:bookmarkEnd w:id="70"/>
    <w:bookmarkStart w:id="72" w:name="ref-kaufman1990"/>
    <w:p>
      <w:pPr>
        <w:pStyle w:val="Bibliography"/>
      </w:pPr>
      <w:r>
        <w:t xml:space="preserve">Kaufman, L., &amp; Rousseeuw, P. J. (1990).</w:t>
      </w:r>
      <w:r>
        <w:t xml:space="preserve"> </w:t>
      </w:r>
      <w:r>
        <w:rPr>
          <w:i/>
          <w:iCs/>
        </w:rPr>
        <w:t xml:space="preserve">Agglomerative nesting (program AGNES)</w:t>
      </w:r>
      <w:r>
        <w:t xml:space="preserve"> </w:t>
      </w:r>
      <w:r>
        <w:t xml:space="preserve">(1st ed., pp. 199–252). Wiley.</w:t>
      </w:r>
      <w:r>
        <w:t xml:space="preserve"> </w:t>
      </w:r>
      <w:hyperlink r:id="rId71">
        <w:r>
          <w:rPr>
            <w:rStyle w:val="Hyperlink"/>
          </w:rPr>
          <w:t xml:space="preserve">https://doi.org/10.1002/9780470316801.ch5</w:t>
        </w:r>
      </w:hyperlink>
    </w:p>
    <w:bookmarkEnd w:id="72"/>
    <w:bookmarkStart w:id="7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73">
        <w:r>
          <w:rPr>
            <w:rStyle w:val="Hyperlink"/>
          </w:rPr>
          <w:t xml:space="preserve">https://doi.org/10.2307/3545743</w:t>
        </w:r>
      </w:hyperlink>
    </w:p>
    <w:bookmarkEnd w:id="74"/>
    <w:bookmarkStart w:id="75"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75"/>
    <w:bookmarkStart w:id="76"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76"/>
    <w:bookmarkStart w:id="78"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77">
        <w:r>
          <w:rPr>
            <w:rStyle w:val="Hyperlink"/>
          </w:rPr>
          <w:t xml:space="preserve">https://doi.org/10.1111/j.1365-2427.2009.02291.x</w:t>
        </w:r>
      </w:hyperlink>
    </w:p>
    <w:bookmarkEnd w:id="78"/>
    <w:bookmarkStart w:id="80" w:name="ref-lucena2015"/>
    <w:p>
      <w:pPr>
        <w:pStyle w:val="Bibliography"/>
      </w:pPr>
      <w:r>
        <w:t xml:space="preserve">Lucena, L. C. A., Melo, T. X., &amp; Medeiros, E. S. F. (2015). Zooplankton community of parnaíba river, northeastern brazil.</w:t>
      </w:r>
      <w:r>
        <w:t xml:space="preserve"> </w:t>
      </w:r>
      <w:r>
        <w:rPr>
          <w:i/>
          <w:iCs/>
        </w:rPr>
        <w:t xml:space="preserve">Acta Limnologica Brasiliensia</w:t>
      </w:r>
      <w:r>
        <w:t xml:space="preserve">,</w:t>
      </w:r>
      <w:r>
        <w:t xml:space="preserve"> </w:t>
      </w:r>
      <w:r>
        <w:rPr>
          <w:i/>
          <w:iCs/>
        </w:rPr>
        <w:t xml:space="preserve">27</w:t>
      </w:r>
      <w:r>
        <w:t xml:space="preserve">(1), 118–129.</w:t>
      </w:r>
      <w:r>
        <w:t xml:space="preserve"> </w:t>
      </w:r>
      <w:hyperlink r:id="rId79">
        <w:r>
          <w:rPr>
            <w:rStyle w:val="Hyperlink"/>
          </w:rPr>
          <w:t xml:space="preserve">https://doi.org/10.1590/S2179-975X3214</w:t>
        </w:r>
      </w:hyperlink>
    </w:p>
    <w:bookmarkEnd w:id="80"/>
    <w:bookmarkStart w:id="8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81"/>
    <w:bookmarkStart w:id="83" w:name="ref-maechler2026"/>
    <w:p>
      <w:pPr>
        <w:pStyle w:val="Bibliography"/>
      </w:pPr>
      <w:r>
        <w:t xml:space="preserve">Maechler, M., Rousseeuw, P., Struyf, A., Hubert, M., &amp; Hornik, K. (2026).</w:t>
      </w:r>
      <w:r>
        <w:t xml:space="preserve"> </w:t>
      </w:r>
      <w:r>
        <w:rPr>
          <w:i/>
          <w:iCs/>
        </w:rPr>
        <w:t xml:space="preserve">Cluster: Cluster analysis basics and extensions</w:t>
      </w:r>
      <w:r>
        <w:t xml:space="preserve">.</w:t>
      </w:r>
      <w:r>
        <w:t xml:space="preserve"> </w:t>
      </w:r>
      <w:hyperlink r:id="rId82">
        <w:r>
          <w:rPr>
            <w:rStyle w:val="Hyperlink"/>
          </w:rPr>
          <w:t xml:space="preserve">https://CRAN.R-project.org/package=cluster</w:t>
        </w:r>
      </w:hyperlink>
    </w:p>
    <w:bookmarkEnd w:id="83"/>
    <w:bookmarkStart w:id="85"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84">
        <w:r>
          <w:rPr>
            <w:rStyle w:val="Hyperlink"/>
          </w:rPr>
          <w:t xml:space="preserve">https://doi.org/10.1007/978-94-011-7852-5</w:t>
        </w:r>
      </w:hyperlink>
    </w:p>
    <w:bookmarkEnd w:id="85"/>
    <w:bookmarkStart w:id="86"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6"/>
    <w:bookmarkStart w:id="8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87">
        <w:r>
          <w:rPr>
            <w:rStyle w:val="Hyperlink"/>
          </w:rPr>
          <w:t xml:space="preserve">https://doi.org/10.4013/5440</w:t>
        </w:r>
      </w:hyperlink>
    </w:p>
    <w:bookmarkEnd w:id="88"/>
    <w:bookmarkStart w:id="90"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89">
        <w:r>
          <w:rPr>
            <w:rStyle w:val="Hyperlink"/>
          </w:rPr>
          <w:t xml:space="preserve">https://doi.org/10.1016/j.watres.2026.126704</w:t>
        </w:r>
      </w:hyperlink>
    </w:p>
    <w:bookmarkEnd w:id="90"/>
    <w:bookmarkStart w:id="92" w:name="ref-melo2014"/>
    <w:p>
      <w:pPr>
        <w:pStyle w:val="Bibliography"/>
      </w:pPr>
      <w:r>
        <w:t xml:space="preserve">Melo, T. X. D., Lourenço, L. D. J. S., &amp; Medeiros, E. S. F. (2014). Checklist of zooplankton from the upper ipanema river (pernambuco), an intermittent river in semi-arid brazil.</w:t>
      </w:r>
      <w:r>
        <w:t xml:space="preserve"> </w:t>
      </w:r>
      <w:r>
        <w:rPr>
          <w:i/>
          <w:iCs/>
        </w:rPr>
        <w:t xml:space="preserve">Check List</w:t>
      </w:r>
      <w:r>
        <w:t xml:space="preserve">,</w:t>
      </w:r>
      <w:r>
        <w:t xml:space="preserve"> </w:t>
      </w:r>
      <w:r>
        <w:rPr>
          <w:i/>
          <w:iCs/>
        </w:rPr>
        <w:t xml:space="preserve">10</w:t>
      </w:r>
      <w:r>
        <w:t xml:space="preserve">(3), 524–528.</w:t>
      </w:r>
      <w:r>
        <w:t xml:space="preserve"> </w:t>
      </w:r>
      <w:hyperlink r:id="rId91">
        <w:r>
          <w:rPr>
            <w:rStyle w:val="Hyperlink"/>
          </w:rPr>
          <w:t xml:space="preserve">https://doi.org/10.15560/10.3.524</w:t>
        </w:r>
      </w:hyperlink>
    </w:p>
    <w:bookmarkEnd w:id="92"/>
    <w:bookmarkStart w:id="94"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93">
        <w:r>
          <w:rPr>
            <w:rStyle w:val="Hyperlink"/>
          </w:rPr>
          <w:t xml:space="preserve">https://doi.org/10.1155/2013/946361</w:t>
        </w:r>
      </w:hyperlink>
    </w:p>
    <w:bookmarkEnd w:id="94"/>
    <w:bookmarkStart w:id="95" w:name="ref-mma2003"/>
    <w:p>
      <w:pPr>
        <w:pStyle w:val="Bibliography"/>
      </w:pPr>
      <w:r>
        <w:t xml:space="preserve">MMA. (2003).</w:t>
      </w:r>
      <w:r>
        <w:t xml:space="preserve"> </w:t>
      </w:r>
      <w:r>
        <w:rPr>
          <w:i/>
          <w:iCs/>
        </w:rPr>
        <w:t xml:space="preserve">Plano de Manejo da Reserva Biológica Guaribas</w:t>
      </w:r>
      <w:r>
        <w:t xml:space="preserve">.</w:t>
      </w:r>
    </w:p>
    <w:bookmarkEnd w:id="95"/>
    <w:bookmarkStart w:id="97"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96">
        <w:r>
          <w:rPr>
            <w:rStyle w:val="Hyperlink"/>
          </w:rPr>
          <w:t xml:space="preserve">https://www.gov.br/icmbio/pt-br/centrais-de-conteudo/publicacoes/planos-de-manejo-integrado-do-fogo/Plano_de_Manejo_Integrado_do_Fogo_da_Reserva_Biologica_Guaribas.pdf</w:t>
        </w:r>
      </w:hyperlink>
    </w:p>
    <w:bookmarkEnd w:id="97"/>
    <w:bookmarkStart w:id="99"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98">
        <w:r>
          <w:rPr>
            <w:rStyle w:val="Hyperlink"/>
          </w:rPr>
          <w:t xml:space="preserve">https://doi.org/10.1007/s10750-006-0252-7</w:t>
        </w:r>
      </w:hyperlink>
    </w:p>
    <w:bookmarkEnd w:id="99"/>
    <w:bookmarkStart w:id="101"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100">
        <w:r>
          <w:rPr>
            <w:rStyle w:val="Hyperlink"/>
          </w:rPr>
          <w:t xml:space="preserve">https://doi.org/10.32614/CRAN.package.vegan</w:t>
        </w:r>
      </w:hyperlink>
    </w:p>
    <w:bookmarkEnd w:id="101"/>
    <w:bookmarkStart w:id="103"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102">
        <w:r>
          <w:rPr>
            <w:rStyle w:val="Hyperlink"/>
          </w:rPr>
          <w:t xml:space="preserve">https://doi.org/10.5194/hess-11-1633-2007</w:t>
        </w:r>
      </w:hyperlink>
    </w:p>
    <w:bookmarkEnd w:id="103"/>
    <w:bookmarkStart w:id="105"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104">
        <w:r>
          <w:rPr>
            <w:rStyle w:val="Hyperlink"/>
          </w:rPr>
          <w:t xml:space="preserve">https://doi.org/10.1016/j.biocon.2026.111958</w:t>
        </w:r>
      </w:hyperlink>
    </w:p>
    <w:bookmarkEnd w:id="105"/>
    <w:bookmarkStart w:id="106"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6"/>
    <w:bookmarkStart w:id="108"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7">
        <w:r>
          <w:rPr>
            <w:rStyle w:val="Hyperlink"/>
          </w:rPr>
          <w:t xml:space="preserve">https://www.R-project.org/</w:t>
        </w:r>
      </w:hyperlink>
    </w:p>
    <w:bookmarkEnd w:id="108"/>
    <w:bookmarkStart w:id="110"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109">
        <w:r>
          <w:rPr>
            <w:rStyle w:val="Hyperlink"/>
          </w:rPr>
          <w:t xml:space="preserve">https://doi.org/10.1016/j.jaridenv.2012.04.001</w:t>
        </w:r>
      </w:hyperlink>
    </w:p>
    <w:bookmarkEnd w:id="110"/>
    <w:bookmarkStart w:id="112" w:name="ref-saraçli2013"/>
    <w:p>
      <w:pPr>
        <w:pStyle w:val="Bibliography"/>
      </w:pPr>
      <w:r>
        <w:t xml:space="preserve">Saraçli, S., Doğan, N., &amp; Doğan, İ. (2013). Comparison of hierarchical cluster analysis methods by cophenetic correlation.</w:t>
      </w:r>
      <w:r>
        <w:t xml:space="preserve"> </w:t>
      </w:r>
      <w:r>
        <w:rPr>
          <w:i/>
          <w:iCs/>
        </w:rPr>
        <w:t xml:space="preserve">Journal of Inequalities and Applications</w:t>
      </w:r>
      <w:r>
        <w:t xml:space="preserve">,</w:t>
      </w:r>
      <w:r>
        <w:t xml:space="preserve"> </w:t>
      </w:r>
      <w:r>
        <w:rPr>
          <w:i/>
          <w:iCs/>
        </w:rPr>
        <w:t xml:space="preserve">2013</w:t>
      </w:r>
      <w:r>
        <w:t xml:space="preserve">(1), 203.</w:t>
      </w:r>
      <w:r>
        <w:t xml:space="preserve"> </w:t>
      </w:r>
      <w:hyperlink r:id="rId111">
        <w:r>
          <w:rPr>
            <w:rStyle w:val="Hyperlink"/>
          </w:rPr>
          <w:t xml:space="preserve">https://doi.org/10.1186/1029-242X-2013-203</w:t>
        </w:r>
      </w:hyperlink>
    </w:p>
    <w:bookmarkEnd w:id="112"/>
    <w:bookmarkStart w:id="114"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113">
        <w:r>
          <w:rPr>
            <w:rStyle w:val="Hyperlink"/>
          </w:rPr>
          <w:t xml:space="preserve">https://doi.org/10.1002/rra.3344</w:t>
        </w:r>
      </w:hyperlink>
    </w:p>
    <w:bookmarkEnd w:id="114"/>
    <w:bookmarkStart w:id="116" w:name="ref-silva2013"/>
    <w:p>
      <w:pPr>
        <w:pStyle w:val="Bibliography"/>
      </w:pPr>
      <w:r>
        <w:t xml:space="preserve">Silva, A. R., &amp; Dias, C. T. S. (2013). A cophenetic correlation coefficient for tocher’s method.</w:t>
      </w:r>
      <w:r>
        <w:t xml:space="preserve"> </w:t>
      </w:r>
      <w:r>
        <w:rPr>
          <w:i/>
          <w:iCs/>
        </w:rPr>
        <w:t xml:space="preserve">Pesquisa Agropecuária Brasileira</w:t>
      </w:r>
      <w:r>
        <w:t xml:space="preserve">,</w:t>
      </w:r>
      <w:r>
        <w:t xml:space="preserve"> </w:t>
      </w:r>
      <w:r>
        <w:rPr>
          <w:i/>
          <w:iCs/>
        </w:rPr>
        <w:t xml:space="preserve">48</w:t>
      </w:r>
      <w:r>
        <w:t xml:space="preserve">(6), 589–596.</w:t>
      </w:r>
      <w:r>
        <w:t xml:space="preserve"> </w:t>
      </w:r>
      <w:hyperlink r:id="rId115">
        <w:r>
          <w:rPr>
            <w:rStyle w:val="Hyperlink"/>
          </w:rPr>
          <w:t xml:space="preserve">https://doi.org/10.1590/S0100-204X2013000600003</w:t>
        </w:r>
      </w:hyperlink>
    </w:p>
    <w:bookmarkEnd w:id="116"/>
    <w:bookmarkStart w:id="117"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117"/>
    <w:bookmarkStart w:id="118" w:name="ref-sneath1973"/>
    <w:p>
      <w:pPr>
        <w:pStyle w:val="Bibliography"/>
      </w:pPr>
      <w:r>
        <w:t xml:space="preserve">Sneath, P. H. A., &amp; Sokal, R. R. (1973).</w:t>
      </w:r>
      <w:r>
        <w:t xml:space="preserve"> </w:t>
      </w:r>
      <w:r>
        <w:rPr>
          <w:i/>
          <w:iCs/>
        </w:rPr>
        <w:t xml:space="preserve">Numerical taxonomy: The principles and practice of numerical classification</w:t>
      </w:r>
      <w:r>
        <w:t xml:space="preserve"> </w:t>
      </w:r>
      <w:r>
        <w:t xml:space="preserve">(1st ed.). W H Freeman &amp; Co.</w:t>
      </w:r>
    </w:p>
    <w:bookmarkEnd w:id="118"/>
    <w:bookmarkStart w:id="119"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9"/>
    <w:bookmarkStart w:id="121" w:name="ref-sokal1962"/>
    <w:p>
      <w:pPr>
        <w:pStyle w:val="Bibliography"/>
      </w:pPr>
      <w:r>
        <w:t xml:space="preserve">Sokal, R. R., &amp; Rohlf, F. J. (1962). The comparison of dendrograms by objective methods.</w:t>
      </w:r>
      <w:r>
        <w:t xml:space="preserve"> </w:t>
      </w:r>
      <w:r>
        <w:rPr>
          <w:i/>
          <w:iCs/>
        </w:rPr>
        <w:t xml:space="preserve">Taxon</w:t>
      </w:r>
      <w:r>
        <w:t xml:space="preserve">,</w:t>
      </w:r>
      <w:r>
        <w:t xml:space="preserve"> </w:t>
      </w:r>
      <w:r>
        <w:rPr>
          <w:i/>
          <w:iCs/>
        </w:rPr>
        <w:t xml:space="preserve">11</w:t>
      </w:r>
      <w:r>
        <w:t xml:space="preserve">(2), 33–40.</w:t>
      </w:r>
      <w:r>
        <w:t xml:space="preserve"> </w:t>
      </w:r>
      <w:hyperlink r:id="rId120">
        <w:r>
          <w:rPr>
            <w:rStyle w:val="Hyperlink"/>
          </w:rPr>
          <w:t xml:space="preserve">https://doi.org/10.2307/1217208</w:t>
        </w:r>
      </w:hyperlink>
    </w:p>
    <w:bookmarkEnd w:id="121"/>
    <w:bookmarkStart w:id="123"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122">
        <w:r>
          <w:rPr>
            <w:rStyle w:val="Hyperlink"/>
          </w:rPr>
          <w:t xml:space="preserve">https://doi.org/10.1029/TR038i006p00913</w:t>
        </w:r>
      </w:hyperlink>
    </w:p>
    <w:bookmarkEnd w:id="123"/>
    <w:bookmarkStart w:id="125"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24">
        <w:r>
          <w:rPr>
            <w:rStyle w:val="Hyperlink"/>
          </w:rPr>
          <w:t xml:space="preserve">https://doi.org/10.1890/02-3127</w:t>
        </w:r>
      </w:hyperlink>
    </w:p>
    <w:bookmarkEnd w:id="125"/>
    <w:bookmarkStart w:id="127" w:name="ref-veech2002"/>
    <w:p>
      <w:pPr>
        <w:pStyle w:val="Bibliography"/>
      </w:pPr>
      <w:r>
        <w:t xml:space="preserve">Veech, J. A., Summerville, K. S., Crist, T. O., &amp; Gering, J. C. (2002). The additive partitioning of species diversity: Recent revival of an old idea.</w:t>
      </w:r>
      <w:r>
        <w:t xml:space="preserve"> </w:t>
      </w:r>
      <w:r>
        <w:rPr>
          <w:i/>
          <w:iCs/>
        </w:rPr>
        <w:t xml:space="preserve">Oikos</w:t>
      </w:r>
      <w:r>
        <w:t xml:space="preserve">,</w:t>
      </w:r>
      <w:r>
        <w:t xml:space="preserve"> </w:t>
      </w:r>
      <w:r>
        <w:rPr>
          <w:i/>
          <w:iCs/>
        </w:rPr>
        <w:t xml:space="preserve">99</w:t>
      </w:r>
      <w:r>
        <w:t xml:space="preserve">(1), 3–9.</w:t>
      </w:r>
      <w:r>
        <w:t xml:space="preserve"> </w:t>
      </w:r>
      <w:hyperlink r:id="rId126">
        <w:r>
          <w:rPr>
            <w:rStyle w:val="Hyperlink"/>
          </w:rPr>
          <w:t xml:space="preserve">https://doi.org/10.1034/j.1600-0706.2002.990101.x</w:t>
        </w:r>
      </w:hyperlink>
    </w:p>
    <w:bookmarkEnd w:id="127"/>
    <w:bookmarkEnd w:id="128"/>
    <w:bookmarkEnd w:id="129"/>
    <w:bookmarkStart w:id="17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6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bookmarkStart w:id="133" w:name="fig-mapa"/>
            <w:r>
              <w:drawing>
                <wp:inline>
                  <wp:extent cx="5943600" cy="4202583"/>
                  <wp:effectExtent b="0" l="0" r="0" t="0"/>
                  <wp:docPr descr="" title="" id="131" name="Picture"/>
                  <a:graphic>
                    <a:graphicData uri="http://schemas.openxmlformats.org/drawingml/2006/picture">
                      <pic:pic>
                        <pic:nvPicPr>
                          <pic:cNvPr descr="imagens/Uso%20de%20Solo%20Rebio_en.png" id="132" name="Picture"/>
                          <pic:cNvPicPr>
                            <a:picLocks noChangeArrowheads="1" noChangeAspect="1"/>
                          </pic:cNvPicPr>
                        </pic:nvPicPr>
                        <pic:blipFill>
                          <a:blip r:embed="rId130"/>
                          <a:stretch>
                            <a:fillRect/>
                          </a:stretch>
                        </pic:blipFill>
                        <pic:spPr bwMode="auto">
                          <a:xfrm>
                            <a:off x="0" y="0"/>
                            <a:ext cx="5943600" cy="4202583"/>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1</w:t>
            </w:r>
          </w:p>
          <w:bookmarkEnd w:id="134"/>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9" w:name="fig-hab_PCA_ref-site"/>
          <w:p>
            <w:pPr>
              <w:pStyle w:val="Compact"/>
              <w:jc w:val="center"/>
            </w:pPr>
            <w:bookmarkStart w:id="138" w:name="fig-hab_PCA_ref-site"/>
            <w:r>
              <w:drawing>
                <wp:inline>
                  <wp:extent cx="5943600" cy="3494706"/>
                  <wp:effectExtent b="0" l="0" r="0" t="0"/>
                  <wp:docPr descr="" title="" id="136" name="Picture"/>
                  <a:graphic>
                    <a:graphicData uri="http://schemas.openxmlformats.org/drawingml/2006/picture">
                      <pic:pic>
                        <pic:nvPicPr>
                          <pic:cNvPr descr="res/fig-hab_PCA_ref-site.png" id="137" name="Picture"/>
                          <pic:cNvPicPr>
                            <a:picLocks noChangeArrowheads="1" noChangeAspect="1"/>
                          </pic:cNvPicPr>
                        </pic:nvPicPr>
                        <pic:blipFill>
                          <a:blip r:embed="rId135"/>
                          <a:stretch>
                            <a:fillRect/>
                          </a:stretch>
                        </pic:blipFill>
                        <pic:spPr bwMode="auto">
                          <a:xfrm>
                            <a:off x="0" y="0"/>
                            <a:ext cx="5943600" cy="3494706"/>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2</w:t>
            </w:r>
          </w:p>
          <w:bookmarkEnd w:id="139"/>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4" w:name="fig-hab_PCA_rio"/>
          <w:p>
            <w:pPr>
              <w:pStyle w:val="Compact"/>
              <w:jc w:val="center"/>
            </w:pPr>
            <w:bookmarkStart w:id="143" w:name="fig-hab_PCA_rio"/>
            <w:r>
              <w:drawing>
                <wp:inline>
                  <wp:extent cx="5943600" cy="4261203"/>
                  <wp:effectExtent b="0" l="0" r="0" t="0"/>
                  <wp:docPr descr="" title="" id="141" name="Picture"/>
                  <a:graphic>
                    <a:graphicData uri="http://schemas.openxmlformats.org/drawingml/2006/picture">
                      <pic:pic>
                        <pic:nvPicPr>
                          <pic:cNvPr descr="res/fig-hab_PCA_rio.png" id="142" name="Picture"/>
                          <pic:cNvPicPr>
                            <a:picLocks noChangeArrowheads="1" noChangeAspect="1"/>
                          </pic:cNvPicPr>
                        </pic:nvPicPr>
                        <pic:blipFill>
                          <a:blip r:embed="rId140"/>
                          <a:stretch>
                            <a:fillRect/>
                          </a:stretch>
                        </pic:blipFill>
                        <pic:spPr bwMode="auto">
                          <a:xfrm>
                            <a:off x="0" y="0"/>
                            <a:ext cx="5943600" cy="4261203"/>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Figure 3</w:t>
            </w:r>
          </w:p>
          <w:bookmarkEnd w:id="144"/>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9" w:name="fig-hab_PCA_periodo"/>
          <w:p>
            <w:pPr>
              <w:pStyle w:val="Compact"/>
              <w:jc w:val="center"/>
            </w:pPr>
            <w:bookmarkStart w:id="148" w:name="fig-hab_PCA_periodo"/>
            <w:r>
              <w:drawing>
                <wp:inline>
                  <wp:extent cx="5943600" cy="4261203"/>
                  <wp:effectExtent b="0" l="0" r="0" t="0"/>
                  <wp:docPr descr="" title="" id="146" name="Picture"/>
                  <a:graphic>
                    <a:graphicData uri="http://schemas.openxmlformats.org/drawingml/2006/picture">
                      <pic:pic>
                        <pic:nvPicPr>
                          <pic:cNvPr descr="res/fig-hab_PCA_periodo.png" id="147" name="Picture"/>
                          <pic:cNvPicPr>
                            <a:picLocks noChangeArrowheads="1" noChangeAspect="1"/>
                          </pic:cNvPicPr>
                        </pic:nvPicPr>
                        <pic:blipFill>
                          <a:blip r:embed="rId145"/>
                          <a:stretch>
                            <a:fillRect/>
                          </a:stretch>
                        </pic:blipFill>
                        <pic:spPr bwMode="auto">
                          <a:xfrm>
                            <a:off x="0" y="0"/>
                            <a:ext cx="5943600" cy="4261203"/>
                          </a:xfrm>
                          <a:prstGeom prst="rect">
                            <a:avLst/>
                          </a:prstGeom>
                          <a:noFill/>
                          <a:ln w="9525">
                            <a:noFill/>
                            <a:headEnd/>
                            <a:tailEnd/>
                          </a:ln>
                        </pic:spPr>
                      </pic:pic>
                    </a:graphicData>
                  </a:graphic>
                </wp:inline>
              </w:drawing>
            </w:r>
            <w:bookmarkEnd w:id="148"/>
          </w:p>
          <w:p>
            <w:pPr>
              <w:jc w:val="center"/>
            </w:pPr>
            <w:pPr>
              <w:jc w:val="left"/>
              <w:spacing w:before="200"/>
              <w:pStyle w:val="ImageCaption"/>
            </w:pPr>
            <w:r>
              <w:t xml:space="preserve">Figure 4</w:t>
            </w:r>
          </w:p>
          <w:bookmarkEnd w:id="149"/>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4" w:name="fig-rare1"/>
          <w:p>
            <w:pPr>
              <w:pStyle w:val="Compact"/>
              <w:jc w:val="center"/>
            </w:pPr>
            <w:bookmarkStart w:id="153" w:name="fig-rare1"/>
            <w:r>
              <w:drawing>
                <wp:inline>
                  <wp:extent cx="5943600" cy="4457699"/>
                  <wp:effectExtent b="0" l="0" r="0" t="0"/>
                  <wp:docPr descr="" title="" id="151" name="Picture"/>
                  <a:graphic>
                    <a:graphicData uri="http://schemas.openxmlformats.org/drawingml/2006/picture">
                      <pic:pic>
                        <pic:nvPicPr>
                          <pic:cNvPr descr="res/fig-rare1.png" id="152" name="Picture"/>
                          <pic:cNvPicPr>
                            <a:picLocks noChangeArrowheads="1" noChangeAspect="1"/>
                          </pic:cNvPicPr>
                        </pic:nvPicPr>
                        <pic:blipFill>
                          <a:blip r:embed="rId150"/>
                          <a:stretch>
                            <a:fillRect/>
                          </a:stretch>
                        </pic:blipFill>
                        <pic:spPr bwMode="auto">
                          <a:xfrm>
                            <a:off x="0" y="0"/>
                            <a:ext cx="5943600" cy="4457699"/>
                          </a:xfrm>
                          <a:prstGeom prst="rect">
                            <a:avLst/>
                          </a:prstGeom>
                          <a:noFill/>
                          <a:ln w="9525">
                            <a:noFill/>
                            <a:headEnd/>
                            <a:tailEnd/>
                          </a:ln>
                        </pic:spPr>
                      </pic:pic>
                    </a:graphicData>
                  </a:graphic>
                </wp:inline>
              </w:drawing>
            </w:r>
            <w:bookmarkEnd w:id="153"/>
          </w:p>
          <w:p>
            <w:pPr>
              <w:jc w:val="center"/>
            </w:pPr>
            <w:pPr>
              <w:jc w:val="left"/>
              <w:spacing w:before="200"/>
              <w:pStyle w:val="ImageCaption"/>
            </w:pPr>
            <w:r>
              <w:t xml:space="preserve">Figure 5</w:t>
            </w:r>
          </w:p>
          <w:bookmarkEnd w:id="154"/>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9" w:name="fig-upgma"/>
          <w:p>
            <w:pPr>
              <w:pStyle w:val="Compact"/>
              <w:jc w:val="center"/>
            </w:pPr>
            <w:bookmarkStart w:id="158" w:name="fig-upgma"/>
            <w:r>
              <w:drawing>
                <wp:inline>
                  <wp:extent cx="5943600" cy="4862945"/>
                  <wp:effectExtent b="0" l="0" r="0" t="0"/>
                  <wp:docPr descr="" title="" id="156" name="Picture"/>
                  <a:graphic>
                    <a:graphicData uri="http://schemas.openxmlformats.org/drawingml/2006/picture">
                      <pic:pic>
                        <pic:nvPicPr>
                          <pic:cNvPr descr="res/fig-upgma.png" id="157" name="Picture"/>
                          <pic:cNvPicPr>
                            <a:picLocks noChangeArrowheads="1" noChangeAspect="1"/>
                          </pic:cNvPicPr>
                        </pic:nvPicPr>
                        <pic:blipFill>
                          <a:blip r:embed="rId155"/>
                          <a:stretch>
                            <a:fillRect/>
                          </a:stretch>
                        </pic:blipFill>
                        <pic:spPr bwMode="auto">
                          <a:xfrm>
                            <a:off x="0" y="0"/>
                            <a:ext cx="5943600" cy="4862945"/>
                          </a:xfrm>
                          <a:prstGeom prst="rect">
                            <a:avLst/>
                          </a:prstGeom>
                          <a:noFill/>
                          <a:ln w="9525">
                            <a:noFill/>
                            <a:headEnd/>
                            <a:tailEnd/>
                          </a:ln>
                        </pic:spPr>
                      </pic:pic>
                    </a:graphicData>
                  </a:graphic>
                </wp:inline>
              </w:drawing>
            </w:r>
            <w:bookmarkEnd w:id="158"/>
          </w:p>
          <w:p>
            <w:pPr>
              <w:jc w:val="center"/>
            </w:pPr>
            <w:pPr>
              <w:jc w:val="left"/>
              <w:spacing w:before="200"/>
              <w:pStyle w:val="ImageCaption"/>
            </w:pPr>
            <w:r>
              <w:t xml:space="preserve">Figure 6</w:t>
            </w:r>
          </w:p>
          <w:bookmarkEnd w:id="159"/>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64" w:name="fig-particao"/>
          <w:p>
            <w:pPr>
              <w:pStyle w:val="Compact"/>
              <w:jc w:val="center"/>
            </w:pPr>
            <w:bookmarkStart w:id="163" w:name="fig-particao"/>
            <w:r>
              <w:drawing>
                <wp:inline>
                  <wp:extent cx="5943600" cy="4754880"/>
                  <wp:effectExtent b="0" l="0" r="0" t="0"/>
                  <wp:docPr descr="" title="" id="161" name="Picture"/>
                  <a:graphic>
                    <a:graphicData uri="http://schemas.openxmlformats.org/drawingml/2006/picture">
                      <pic:pic>
                        <pic:nvPicPr>
                          <pic:cNvPr descr="res/fig-painel_partição.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bookmarkEnd w:id="163"/>
          </w:p>
          <w:p>
            <w:pPr>
              <w:jc w:val="center"/>
            </w:pPr>
            <w:pPr>
              <w:jc w:val="left"/>
              <w:spacing w:before="200"/>
              <w:pStyle w:val="ImageCaption"/>
            </w:pPr>
            <w:r>
              <w:t xml:space="preserve">Figure 7</w:t>
            </w:r>
          </w:p>
          <w:bookmarkEnd w:id="164"/>
        </w:tc>
      </w:tr>
    </w:tbl>
    <w:bookmarkEnd w:id="165"/>
    <w:bookmarkStart w:id="17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6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6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6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67"/>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6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6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9"/>
        </w:tc>
      </w:tr>
    </w:tbl>
    <w:bookmarkEnd w:id="170"/>
    <w:bookmarkEnd w:id="171"/>
    <w:bookmarkStart w:id="172" w:name="apendices"/>
    <w:p>
      <w:pPr>
        <w:pStyle w:val="Heading1"/>
      </w:pPr>
      <w:r>
        <w:t xml:space="preserve">Apendices</w:t>
      </w:r>
    </w:p>
    <w:bookmarkEnd w:id="172"/>
    <w:bookmarkStart w:id="17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RStudio\RESOUR~1\app\bin\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7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73" Target="media/rId173.png" /><Relationship Type="http://schemas.openxmlformats.org/officeDocument/2006/relationships/image" Id="rId130" Target="media/rId130.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2026-10-02T15:25:29Z</dcterms:created>
  <dcterms:modified xsi:type="dcterms:W3CDTF">2026-10-02T15:25:29Z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Invalid Date</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