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png" ContentType="image/png"/>
  <Override PartName="/word/media/rId105.png" ContentType="image/png"/>
  <Override PartName="/word/media/rId120.png" ContentType="image/png"/>
  <Override PartName="/word/media/rId110.png" ContentType="image/png"/>
  <Override PartName="/word/media/rId115.png" ContentType="image/png"/>
  <Override PartName="/word/media/rId135.png" ContentType="image/png"/>
  <Override PartName="/word/media/rId125.png" ContentType="image/png"/>
  <Override PartName="/word/media/rId1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2026-09-30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bookmarkEnd w:id="14"/>
    <w:bookmarkStart w:id="15"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w:t>
      </w:r>
      <w:r>
        <w:t xml:space="preserve"> </w:t>
      </w:r>
      <w:r>
        <w:t xml:space="preserve"> </w:t>
      </w:r>
      <w:r>
        <w:t xml:space="preserve">The statistical significance of compositional differences among groups and spatial levels was evaluated using the Multi-Response Permutation Procedure (MRPP)</w:t>
      </w:r>
      <w:r>
        <w:t xml:space="preserve"> </w:t>
      </w:r>
      <w:r>
        <w:t xml:space="preserve">(Biondini et al., 1985; McCune &amp; Grace, 2002)</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w:t>
      </w:r>
      <w:r>
        <w:t xml:space="preserve"> </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04" w:name="references"/>
    <w:p>
      <w:pPr>
        <w:pStyle w:val="Heading1"/>
      </w:pPr>
      <w:r>
        <w:t xml:space="preserve">References</w:t>
      </w:r>
    </w:p>
    <w:bookmarkStart w:id="103" w:name="refs"/>
    <w:bookmarkStart w:id="30"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29">
        <w:r>
          <w:rPr>
            <w:rStyle w:val="Hyperlink"/>
          </w:rPr>
          <w:t xml:space="preserve">https://www.standardmethods.org/</w:t>
        </w:r>
      </w:hyperlink>
    </w:p>
    <w:bookmarkEnd w:id="30"/>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1">
        <w:r>
          <w:rPr>
            <w:rStyle w:val="Hyperlink"/>
          </w:rPr>
          <w:t xml:space="preserve">https://doi.org/10.5902/2316305410852</w:t>
        </w:r>
      </w:hyperlink>
    </w:p>
    <w:bookmarkEnd w:id="32"/>
    <w:bookmarkStart w:id="34"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3">
        <w:r>
          <w:rPr>
            <w:rStyle w:val="Hyperlink"/>
          </w:rPr>
          <w:t xml:space="preserve">https://doi.org/10.1007/s13157-011-0178-3</w:t>
        </w:r>
      </w:hyperlink>
    </w:p>
    <w:bookmarkEnd w:id="34"/>
    <w:bookmarkStart w:id="3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35">
        <w:r>
          <w:rPr>
            <w:rStyle w:val="Hyperlink"/>
          </w:rPr>
          <w:t xml:space="preserve">https://doi.org/10.1111/j.1466-8238.2009.00490.x</w:t>
        </w:r>
      </w:hyperlink>
    </w:p>
    <w:bookmarkEnd w:id="36"/>
    <w:bookmarkStart w:id="3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37">
        <w:r>
          <w:rPr>
            <w:rStyle w:val="Hyperlink"/>
          </w:rPr>
          <w:t xml:space="preserve">https://doi.org/10.1111/j.1466-8238.2011.00756.x</w:t>
        </w:r>
      </w:hyperlink>
    </w:p>
    <w:bookmarkEnd w:id="38"/>
    <w:bookmarkStart w:id="40" w:name="ref-biondini1985"/>
    <w:p>
      <w:pPr>
        <w:pStyle w:val="Bibliography"/>
      </w:pPr>
      <w:r>
        <w:t xml:space="preserve">Biondini, M. E., Bonham, C. D., &amp; Redente, E. F. (1985). Secondary successional patterns in a sagebrush (artemisia tridentata) community as they relate to soil disturbance and soil biological activity.</w:t>
      </w:r>
      <w:r>
        <w:t xml:space="preserve"> </w:t>
      </w:r>
      <w:r>
        <w:rPr>
          <w:i/>
          <w:iCs/>
        </w:rPr>
        <w:t xml:space="preserve">Vegetatio</w:t>
      </w:r>
      <w:r>
        <w:t xml:space="preserve">,</w:t>
      </w:r>
      <w:r>
        <w:t xml:space="preserve"> </w:t>
      </w:r>
      <w:r>
        <w:rPr>
          <w:i/>
          <w:iCs/>
        </w:rPr>
        <w:t xml:space="preserve">60</w:t>
      </w:r>
      <w:r>
        <w:t xml:space="preserve">(1), 25–36.</w:t>
      </w:r>
      <w:r>
        <w:t xml:space="preserve"> </w:t>
      </w:r>
      <w:hyperlink r:id="rId39">
        <w:r>
          <w:rPr>
            <w:rStyle w:val="Hyperlink"/>
          </w:rPr>
          <w:t xml:space="preserve">https://doi.org/10.1007/BF00053909</w:t>
        </w:r>
      </w:hyperlink>
    </w:p>
    <w:bookmarkEnd w:id="40"/>
    <w:bookmarkStart w:id="42"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1">
        <w:r>
          <w:rPr>
            <w:rStyle w:val="Hyperlink"/>
          </w:rPr>
          <w:t xml:space="preserve">https://publications.gc.ca/site/eng/9.836661/publication.html</w:t>
        </w:r>
      </w:hyperlink>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45">
        <w:r>
          <w:rPr>
            <w:rStyle w:val="Hyperlink"/>
          </w:rPr>
          <w:t xml:space="preserve">https://doi.org/10.1890/13-0133.1</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49">
        <w:r>
          <w:rPr>
            <w:rStyle w:val="Hyperlink"/>
          </w:rPr>
          <w:t xml:space="preserve">https://credit.niso.org/</w:t>
        </w:r>
      </w:hyperlink>
    </w:p>
    <w:bookmarkEnd w:id="50"/>
    <w:bookmarkStart w:id="52"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1">
        <w:r>
          <w:rPr>
            <w:rStyle w:val="Hyperlink"/>
          </w:rPr>
          <w:t xml:space="preserve">https://doi.org/10.1086/378901</w:t>
        </w:r>
      </w:hyperlink>
    </w:p>
    <w:bookmarkEnd w:id="52"/>
    <w:bookmarkStart w:id="54"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53">
        <w:r>
          <w:rPr>
            <w:rStyle w:val="Hyperlink"/>
          </w:rPr>
          <w:t xml:space="preserve">https://doi.org/10.1046/j.1523-1739.2003.01465.x</w:t>
        </w:r>
      </w:hyperlink>
    </w:p>
    <w:bookmarkEnd w:id="54"/>
    <w:bookmarkStart w:id="56"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5">
        <w:r>
          <w:rPr>
            <w:rStyle w:val="Hyperlink"/>
          </w:rPr>
          <w:t xml:space="preserve">https://doi.org/10.15560/13.5.581</w:t>
        </w:r>
      </w:hyperlink>
    </w:p>
    <w:bookmarkEnd w:id="56"/>
    <w:bookmarkStart w:id="58"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57">
        <w:r>
          <w:rPr>
            <w:rStyle w:val="Hyperlink"/>
          </w:rPr>
          <w:t xml:space="preserve">https://doi.org/10.4319/lo.1973.18.2.0331</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1"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1"/>
    <w:bookmarkStart w:id="62"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2"/>
    <w:bookmarkStart w:id="64"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63">
        <w:r>
          <w:rPr>
            <w:rStyle w:val="Hyperlink"/>
          </w:rPr>
          <w:t xml:space="preserve">https://doi.org/10.1111/j.1365-2427.2009.02291.x</w:t>
        </w:r>
      </w:hyperlink>
    </w:p>
    <w:bookmarkEnd w:id="64"/>
    <w:bookmarkStart w:id="65"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65"/>
    <w:bookmarkStart w:id="66" w:name="ref-magurran2013"/>
    <w:p>
      <w:pPr>
        <w:pStyle w:val="Bibliography"/>
      </w:pPr>
      <w:r>
        <w:t xml:space="preserve">Magurran, A. E. (2013).</w:t>
      </w:r>
      <w:r>
        <w:t xml:space="preserve"> </w:t>
      </w:r>
      <w:r>
        <w:rPr>
          <w:i/>
          <w:iCs/>
        </w:rPr>
        <w:t xml:space="preserve">Measuring biological diversity</w:t>
      </w:r>
      <w:r>
        <w:t xml:space="preserve">. Wiley-Blackwell.</w:t>
      </w:r>
    </w:p>
    <w:bookmarkEnd w:id="66"/>
    <w:bookmarkStart w:id="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67">
        <w:r>
          <w:rPr>
            <w:rStyle w:val="Hyperlink"/>
          </w:rPr>
          <w:t xml:space="preserve">https://doi.org/10.1007/978-94-011-7852-5</w:t>
        </w:r>
      </w:hyperlink>
    </w:p>
    <w:bookmarkEnd w:id="68"/>
    <w:bookmarkStart w:id="69"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69"/>
    <w:bookmarkStart w:id="7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70">
        <w:r>
          <w:rPr>
            <w:rStyle w:val="Hyperlink"/>
          </w:rPr>
          <w:t xml:space="preserve">https://doi.org/10.4013/5440</w:t>
        </w:r>
      </w:hyperlink>
    </w:p>
    <w:bookmarkEnd w:id="71"/>
    <w:bookmarkStart w:id="73"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72">
        <w:r>
          <w:rPr>
            <w:rStyle w:val="Hyperlink"/>
          </w:rPr>
          <w:t xml:space="preserve">https://doi.org/10.1016/j.watres.2026.126704</w:t>
        </w:r>
      </w:hyperlink>
    </w:p>
    <w:bookmarkEnd w:id="73"/>
    <w:bookmarkStart w:id="74" w:name="ref-miranda2012"/>
    <w:p>
      <w:pPr>
        <w:pStyle w:val="Bibliography"/>
      </w:pPr>
      <w:r>
        <w:t xml:space="preserve">Miranda, J. (2012). Ameaças aos peixes de riachos da mata atlântica.</w:t>
      </w:r>
      <w:r>
        <w:t xml:space="preserve"> </w:t>
      </w:r>
      <w:r>
        <w:rPr>
          <w:i/>
          <w:iCs/>
        </w:rPr>
        <w:t xml:space="preserve">Natureza On Line</w:t>
      </w:r>
      <w:r>
        <w:t xml:space="preserve">,</w:t>
      </w:r>
      <w:r>
        <w:t xml:space="preserve"> </w:t>
      </w:r>
      <w:r>
        <w:rPr>
          <w:i/>
          <w:iCs/>
        </w:rPr>
        <w:t xml:space="preserve">10</w:t>
      </w:r>
      <w:r>
        <w:t xml:space="preserve">, 136–139.</w:t>
      </w:r>
    </w:p>
    <w:bookmarkEnd w:id="74"/>
    <w:bookmarkStart w:id="75" w:name="ref-mma2003"/>
    <w:p>
      <w:pPr>
        <w:pStyle w:val="Bibliography"/>
      </w:pPr>
      <w:r>
        <w:t xml:space="preserve">MMA. (2003).</w:t>
      </w:r>
      <w:r>
        <w:t xml:space="preserve"> </w:t>
      </w:r>
      <w:r>
        <w:rPr>
          <w:i/>
          <w:iCs/>
        </w:rPr>
        <w:t xml:space="preserve">Plano de Manejo da Reserva Biológica Guaribas</w:t>
      </w:r>
      <w:r>
        <w:t xml:space="preserve">.</w:t>
      </w:r>
    </w:p>
    <w:bookmarkEnd w:id="75"/>
    <w:bookmarkStart w:id="77"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76">
        <w:r>
          <w:rPr>
            <w:rStyle w:val="Hyperlink"/>
          </w:rPr>
          <w:t xml:space="preserve">https://www.gov.br/icmbio/pt-br/centrais-de-conteudo/publicacoes/planos-de-manejo-integrado-do-fogo/Plano_de_Manejo_Integrado_do_Fogo_da_Reserva_Biologica_Guaribas.pdf</w:t>
        </w:r>
      </w:hyperlink>
    </w:p>
    <w:bookmarkEnd w:id="77"/>
    <w:bookmarkStart w:id="79"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78">
        <w:r>
          <w:rPr>
            <w:rStyle w:val="Hyperlink"/>
          </w:rPr>
          <w:t xml:space="preserve">https://doi.org/10.1007/s10750-006-0252-7</w:t>
        </w:r>
      </w:hyperlink>
    </w:p>
    <w:bookmarkEnd w:id="79"/>
    <w:bookmarkStart w:id="81"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80">
        <w:r>
          <w:rPr>
            <w:rStyle w:val="Hyperlink"/>
          </w:rPr>
          <w:t xml:space="preserve">https://doi.org/10.32614/CRAN.package.vegan</w:t>
        </w:r>
      </w:hyperlink>
    </w:p>
    <w:bookmarkEnd w:id="81"/>
    <w:bookmarkStart w:id="83"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2">
        <w:r>
          <w:rPr>
            <w:rStyle w:val="Hyperlink"/>
          </w:rPr>
          <w:t xml:space="preserve">https://doi.org/10.5194/hess-11-1633-2007</w:t>
        </w:r>
      </w:hyperlink>
    </w:p>
    <w:bookmarkEnd w:id="83"/>
    <w:bookmarkStart w:id="85"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84">
        <w:r>
          <w:rPr>
            <w:rStyle w:val="Hyperlink"/>
          </w:rPr>
          <w:t xml:space="preserve">https://doi.org/10.1016/j.biocon.2026.111958</w:t>
        </w:r>
      </w:hyperlink>
    </w:p>
    <w:bookmarkEnd w:id="85"/>
    <w:bookmarkStart w:id="86"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86"/>
    <w:bookmarkStart w:id="88"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87">
        <w:r>
          <w:rPr>
            <w:rStyle w:val="Hyperlink"/>
          </w:rPr>
          <w:t xml:space="preserve">https://doi.org/10.1017/9781139568173</w:t>
        </w:r>
      </w:hyperlink>
    </w:p>
    <w:bookmarkEnd w:id="88"/>
    <w:bookmarkStart w:id="90"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89">
        <w:r>
          <w:rPr>
            <w:rStyle w:val="Hyperlink"/>
          </w:rPr>
          <w:t xml:space="preserve">https://www.R-project.org/</w:t>
        </w:r>
      </w:hyperlink>
    </w:p>
    <w:bookmarkEnd w:id="90"/>
    <w:bookmarkStart w:id="92"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91">
        <w:r>
          <w:rPr>
            <w:rStyle w:val="Hyperlink"/>
          </w:rPr>
          <w:t xml:space="preserve">https://doi.org/10.1016/j.jaridenv.2012.04.001</w:t>
        </w:r>
      </w:hyperlink>
    </w:p>
    <w:bookmarkEnd w:id="92"/>
    <w:bookmarkStart w:id="94"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93">
        <w:r>
          <w:rPr>
            <w:rStyle w:val="Hyperlink"/>
          </w:rPr>
          <w:t xml:space="preserve">https://doi.org/10.1002/rra.3344</w:t>
        </w:r>
      </w:hyperlink>
    </w:p>
    <w:bookmarkEnd w:id="94"/>
    <w:bookmarkStart w:id="95"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95"/>
    <w:bookmarkStart w:id="96"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96"/>
    <w:bookmarkStart w:id="97"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97"/>
    <w:bookmarkStart w:id="99"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98">
        <w:r>
          <w:rPr>
            <w:rStyle w:val="Hyperlink"/>
          </w:rPr>
          <w:t xml:space="preserve">https://doi.org/10.1029/TR038i006p00913</w:t>
        </w:r>
      </w:hyperlink>
    </w:p>
    <w:bookmarkEnd w:id="99"/>
    <w:bookmarkStart w:id="101"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00">
        <w:r>
          <w:rPr>
            <w:rStyle w:val="Hyperlink"/>
          </w:rPr>
          <w:t xml:space="preserve">https://doi.org/10.1890/02-3127</w:t>
        </w:r>
      </w:hyperlink>
    </w:p>
    <w:bookmarkEnd w:id="101"/>
    <w:bookmarkStart w:id="102"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02"/>
    <w:bookmarkEnd w:id="103"/>
    <w:bookmarkEnd w:id="104"/>
    <w:bookmarkStart w:id="14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4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09" w:name="fig-mapa"/>
          <w:p>
            <w:pPr>
              <w:pStyle w:val="Compact"/>
              <w:jc w:val="center"/>
            </w:pPr>
            <w:bookmarkStart w:id="108" w:name="fig-mapa"/>
            <w:r>
              <w:drawing>
                <wp:inline>
                  <wp:extent cx="5943600" cy="4202583"/>
                  <wp:effectExtent b="0" l="0" r="0" t="0"/>
                  <wp:docPr descr="" title="" id="106" name="Picture"/>
                  <a:graphic>
                    <a:graphicData uri="http://schemas.openxmlformats.org/drawingml/2006/picture">
                      <pic:pic>
                        <pic:nvPicPr>
                          <pic:cNvPr descr="imagens/Uso%20de%20Solo%20Rebio_en.png" id="107" name="Picture"/>
                          <pic:cNvPicPr>
                            <a:picLocks noChangeArrowheads="1" noChangeAspect="1"/>
                          </pic:cNvPicPr>
                        </pic:nvPicPr>
                        <pic:blipFill>
                          <a:blip r:embed="rId105"/>
                          <a:stretch>
                            <a:fillRect/>
                          </a:stretch>
                        </pic:blipFill>
                        <pic:spPr bwMode="auto">
                          <a:xfrm>
                            <a:off x="0" y="0"/>
                            <a:ext cx="5943600" cy="4202583"/>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1</w:t>
            </w:r>
          </w:p>
          <w:bookmarkEnd w:id="109"/>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14" w:name="fig-hab_PCA_ref-site"/>
          <w:p>
            <w:pPr>
              <w:pStyle w:val="Compact"/>
              <w:jc w:val="center"/>
            </w:pPr>
            <w:bookmarkStart w:id="113" w:name="fig-hab_PCA_ref-site"/>
            <w:r>
              <w:drawing>
                <wp:inline>
                  <wp:extent cx="5943600" cy="3494706"/>
                  <wp:effectExtent b="0" l="0" r="0" t="0"/>
                  <wp:docPr descr="" title="" id="111" name="Picture"/>
                  <a:graphic>
                    <a:graphicData uri="http://schemas.openxmlformats.org/drawingml/2006/picture">
                      <pic:pic>
                        <pic:nvPicPr>
                          <pic:cNvPr descr="res/fig-hab_PCA_ref-site.png" id="112" name="Picture"/>
                          <pic:cNvPicPr>
                            <a:picLocks noChangeArrowheads="1" noChangeAspect="1"/>
                          </pic:cNvPicPr>
                        </pic:nvPicPr>
                        <pic:blipFill>
                          <a:blip r:embed="rId110"/>
                          <a:stretch>
                            <a:fillRect/>
                          </a:stretch>
                        </pic:blipFill>
                        <pic:spPr bwMode="auto">
                          <a:xfrm>
                            <a:off x="0" y="0"/>
                            <a:ext cx="5943600" cy="3494706"/>
                          </a:xfrm>
                          <a:prstGeom prst="rect">
                            <a:avLst/>
                          </a:prstGeom>
                          <a:noFill/>
                          <a:ln w="9525">
                            <a:noFill/>
                            <a:headEnd/>
                            <a:tailEnd/>
                          </a:ln>
                        </pic:spPr>
                      </pic:pic>
                    </a:graphicData>
                  </a:graphic>
                </wp:inline>
              </w:drawing>
            </w:r>
            <w:bookmarkEnd w:id="113"/>
          </w:p>
          <w:p>
            <w:pPr>
              <w:jc w:val="center"/>
            </w:pPr>
            <w:pPr>
              <w:jc w:val="left"/>
              <w:spacing w:before="200"/>
              <w:pStyle w:val="ImageCaption"/>
            </w:pPr>
            <w:r>
              <w:t xml:space="preserve">Figure 2</w:t>
            </w:r>
          </w:p>
          <w:bookmarkEnd w:id="114"/>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19" w:name="fig-hab_PCA_rio"/>
          <w:p>
            <w:pPr>
              <w:pStyle w:val="Compact"/>
              <w:jc w:val="center"/>
            </w:pPr>
            <w:bookmarkStart w:id="118" w:name="fig-hab_PCA_rio"/>
            <w:r>
              <w:drawing>
                <wp:inline>
                  <wp:extent cx="5943600" cy="4261203"/>
                  <wp:effectExtent b="0" l="0" r="0" t="0"/>
                  <wp:docPr descr="" title="" id="116" name="Picture"/>
                  <a:graphic>
                    <a:graphicData uri="http://schemas.openxmlformats.org/drawingml/2006/picture">
                      <pic:pic>
                        <pic:nvPicPr>
                          <pic:cNvPr descr="res/fig-hab_PCA_rio.png" id="117" name="Picture"/>
                          <pic:cNvPicPr>
                            <a:picLocks noChangeArrowheads="1" noChangeAspect="1"/>
                          </pic:cNvPicPr>
                        </pic:nvPicPr>
                        <pic:blipFill>
                          <a:blip r:embed="rId115"/>
                          <a:stretch>
                            <a:fillRect/>
                          </a:stretch>
                        </pic:blipFill>
                        <pic:spPr bwMode="auto">
                          <a:xfrm>
                            <a:off x="0" y="0"/>
                            <a:ext cx="5943600" cy="4261203"/>
                          </a:xfrm>
                          <a:prstGeom prst="rect">
                            <a:avLst/>
                          </a:prstGeom>
                          <a:noFill/>
                          <a:ln w="9525">
                            <a:noFill/>
                            <a:headEnd/>
                            <a:tailEnd/>
                          </a:ln>
                        </pic:spPr>
                      </pic:pic>
                    </a:graphicData>
                  </a:graphic>
                </wp:inline>
              </w:drawing>
            </w:r>
            <w:bookmarkEnd w:id="118"/>
          </w:p>
          <w:p>
            <w:pPr>
              <w:jc w:val="center"/>
            </w:pPr>
            <w:pPr>
              <w:jc w:val="left"/>
              <w:spacing w:before="200"/>
              <w:pStyle w:val="ImageCaption"/>
            </w:pPr>
            <w:r>
              <w:t xml:space="preserve">Figure 3</w:t>
            </w:r>
          </w:p>
          <w:bookmarkEnd w:id="119"/>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24" w:name="fig-hab_PCA_periodo"/>
          <w:p>
            <w:pPr>
              <w:pStyle w:val="Compact"/>
              <w:jc w:val="center"/>
            </w:pPr>
            <w:bookmarkStart w:id="123" w:name="fig-hab_PCA_periodo"/>
            <w:r>
              <w:drawing>
                <wp:inline>
                  <wp:extent cx="5943600" cy="4261203"/>
                  <wp:effectExtent b="0" l="0" r="0" t="0"/>
                  <wp:docPr descr="" title="" id="121" name="Picture"/>
                  <a:graphic>
                    <a:graphicData uri="http://schemas.openxmlformats.org/drawingml/2006/picture">
                      <pic:pic>
                        <pic:nvPicPr>
                          <pic:cNvPr descr="res/fig-hab_PCA_periodo.png" id="122" name="Picture"/>
                          <pic:cNvPicPr>
                            <a:picLocks noChangeArrowheads="1" noChangeAspect="1"/>
                          </pic:cNvPicPr>
                        </pic:nvPicPr>
                        <pic:blipFill>
                          <a:blip r:embed="rId120"/>
                          <a:stretch>
                            <a:fillRect/>
                          </a:stretch>
                        </pic:blipFill>
                        <pic:spPr bwMode="auto">
                          <a:xfrm>
                            <a:off x="0" y="0"/>
                            <a:ext cx="5943600" cy="4261203"/>
                          </a:xfrm>
                          <a:prstGeom prst="rect">
                            <a:avLst/>
                          </a:prstGeom>
                          <a:noFill/>
                          <a:ln w="9525">
                            <a:noFill/>
                            <a:headEnd/>
                            <a:tailEnd/>
                          </a:ln>
                        </pic:spPr>
                      </pic:pic>
                    </a:graphicData>
                  </a:graphic>
                </wp:inline>
              </w:drawing>
            </w:r>
            <w:bookmarkEnd w:id="123"/>
          </w:p>
          <w:p>
            <w:pPr>
              <w:jc w:val="center"/>
            </w:pPr>
            <w:pPr>
              <w:jc w:val="left"/>
              <w:spacing w:before="200"/>
              <w:pStyle w:val="ImageCaption"/>
            </w:pPr>
            <w:r>
              <w:t xml:space="preserve">Figure 4</w:t>
            </w:r>
          </w:p>
          <w:bookmarkEnd w:id="124"/>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29" w:name="fig-rare1"/>
          <w:p>
            <w:pPr>
              <w:pStyle w:val="Compact"/>
              <w:jc w:val="center"/>
            </w:pPr>
            <w:bookmarkStart w:id="128" w:name="fig-rare1"/>
            <w:r>
              <w:drawing>
                <wp:inline>
                  <wp:extent cx="5943600" cy="4457699"/>
                  <wp:effectExtent b="0" l="0" r="0" t="0"/>
                  <wp:docPr descr="" title="" id="126" name="Picture"/>
                  <a:graphic>
                    <a:graphicData uri="http://schemas.openxmlformats.org/drawingml/2006/picture">
                      <pic:pic>
                        <pic:nvPicPr>
                          <pic:cNvPr descr="res/fig-rare1.png" id="127" name="Picture"/>
                          <pic:cNvPicPr>
                            <a:picLocks noChangeArrowheads="1" noChangeAspect="1"/>
                          </pic:cNvPicPr>
                        </pic:nvPicPr>
                        <pic:blipFill>
                          <a:blip r:embed="rId125"/>
                          <a:stretch>
                            <a:fillRect/>
                          </a:stretch>
                        </pic:blipFill>
                        <pic:spPr bwMode="auto">
                          <a:xfrm>
                            <a:off x="0" y="0"/>
                            <a:ext cx="5943600" cy="4457699"/>
                          </a:xfrm>
                          <a:prstGeom prst="rect">
                            <a:avLst/>
                          </a:prstGeom>
                          <a:noFill/>
                          <a:ln w="9525">
                            <a:noFill/>
                            <a:headEnd/>
                            <a:tailEnd/>
                          </a:ln>
                        </pic:spPr>
                      </pic:pic>
                    </a:graphicData>
                  </a:graphic>
                </wp:inline>
              </w:drawing>
            </w:r>
            <w:bookmarkEnd w:id="128"/>
          </w:p>
          <w:p>
            <w:pPr>
              <w:jc w:val="center"/>
            </w:pPr>
            <w:pPr>
              <w:jc w:val="left"/>
              <w:spacing w:before="200"/>
              <w:pStyle w:val="ImageCaption"/>
            </w:pPr>
            <w:r>
              <w:t xml:space="preserve">Figure 5</w:t>
            </w:r>
          </w:p>
          <w:bookmarkEnd w:id="129"/>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34" w:name="fig-upgma"/>
          <w:p>
            <w:pPr>
              <w:pStyle w:val="Compact"/>
              <w:jc w:val="center"/>
            </w:pPr>
            <w:bookmarkStart w:id="133" w:name="fig-upgma"/>
            <w:r>
              <w:drawing>
                <wp:inline>
                  <wp:extent cx="5943600" cy="4862945"/>
                  <wp:effectExtent b="0" l="0" r="0" t="0"/>
                  <wp:docPr descr="" title="" id="131" name="Picture"/>
                  <a:graphic>
                    <a:graphicData uri="http://schemas.openxmlformats.org/drawingml/2006/picture">
                      <pic:pic>
                        <pic:nvPicPr>
                          <pic:cNvPr descr="res/fig-upgma.png" id="132" name="Picture"/>
                          <pic:cNvPicPr>
                            <a:picLocks noChangeArrowheads="1" noChangeAspect="1"/>
                          </pic:cNvPicPr>
                        </pic:nvPicPr>
                        <pic:blipFill>
                          <a:blip r:embed="rId130"/>
                          <a:stretch>
                            <a:fillRect/>
                          </a:stretch>
                        </pic:blipFill>
                        <pic:spPr bwMode="auto">
                          <a:xfrm>
                            <a:off x="0" y="0"/>
                            <a:ext cx="5943600" cy="4862945"/>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6</w:t>
            </w:r>
          </w:p>
          <w:bookmarkEnd w:id="134"/>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39" w:name="fig-particao"/>
          <w:p>
            <w:pPr>
              <w:pStyle w:val="Compact"/>
              <w:jc w:val="center"/>
            </w:pPr>
            <w:bookmarkStart w:id="138" w:name="fig-particao"/>
            <w:r>
              <w:drawing>
                <wp:inline>
                  <wp:extent cx="5943600" cy="4754880"/>
                  <wp:effectExtent b="0" l="0" r="0" t="0"/>
                  <wp:docPr descr="" title="" id="136" name="Picture"/>
                  <a:graphic>
                    <a:graphicData uri="http://schemas.openxmlformats.org/drawingml/2006/picture">
                      <pic:pic>
                        <pic:nvPicPr>
                          <pic:cNvPr descr="res/fig-painel_partição.png" id="137" name="Picture"/>
                          <pic:cNvPicPr>
                            <a:picLocks noChangeArrowheads="1" noChangeAspect="1"/>
                          </pic:cNvPicPr>
                        </pic:nvPicPr>
                        <pic:blipFill>
                          <a:blip r:embed="rId135"/>
                          <a:stretch>
                            <a:fillRect/>
                          </a:stretch>
                        </pic:blipFill>
                        <pic:spPr bwMode="auto">
                          <a:xfrm>
                            <a:off x="0" y="0"/>
                            <a:ext cx="5943600" cy="4754880"/>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7</w:t>
            </w:r>
          </w:p>
          <w:bookmarkEnd w:id="139"/>
        </w:tc>
      </w:tr>
    </w:tbl>
    <w:bookmarkEnd w:id="140"/>
    <w:bookmarkStart w:id="14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4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4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4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42"/>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43"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4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4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44"/>
        </w:tc>
      </w:tr>
    </w:tbl>
    <w:bookmarkEnd w:id="145"/>
    <w:bookmarkEnd w:id="146"/>
    <w:bookmarkStart w:id="147" w:name="apendices"/>
    <w:p>
      <w:pPr>
        <w:pStyle w:val="Heading1"/>
      </w:pPr>
      <w:r>
        <w:t xml:space="preserve">Apendices</w:t>
      </w:r>
    </w:p>
    <w:bookmarkEnd w:id="147"/>
    <w:bookmarkStart w:id="15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C:\PROGRA~1\RStudio\RESOUR~1\app\bin\quarto\share\formats\docx\warning.png" id="150" name="Picture"/>
                          <pic:cNvPicPr>
                            <a:picLocks noChangeArrowheads="1" noChangeAspect="1"/>
                          </pic:cNvPicPr>
                        </pic:nvPicPr>
                        <pic:blipFill>
                          <a:blip r:embed="rId1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48" Target="media/rId148.png" /><Relationship Type="http://schemas.openxmlformats.org/officeDocument/2006/relationships/image" Id="rId105" Target="media/rId105.png" /><Relationship Type="http://schemas.openxmlformats.org/officeDocument/2006/relationships/image" Id="rId120" Target="media/rId120.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35" Target="media/rId135.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49" Target="https://credit.niso.org/" TargetMode="External" /><Relationship Type="http://schemas.openxmlformats.org/officeDocument/2006/relationships/hyperlink" Id="rId93" Target="https://doi.org/10.1002/rra.3344" TargetMode="External" /><Relationship Type="http://schemas.openxmlformats.org/officeDocument/2006/relationships/hyperlink" Id="rId59" Target="https://doi.org/10.1007/978-3-319-58374-7_11" TargetMode="External" /><Relationship Type="http://schemas.openxmlformats.org/officeDocument/2006/relationships/hyperlink" Id="rId67" Target="https://doi.org/10.1007/978-94-011-7852-5" TargetMode="External" /><Relationship Type="http://schemas.openxmlformats.org/officeDocument/2006/relationships/hyperlink" Id="rId39" Target="https://doi.org/10.1007/BF00053909" TargetMode="External" /><Relationship Type="http://schemas.openxmlformats.org/officeDocument/2006/relationships/hyperlink" Id="rId78" Target="https://doi.org/10.1007/s10750-006-0252-7" TargetMode="External" /><Relationship Type="http://schemas.openxmlformats.org/officeDocument/2006/relationships/hyperlink" Id="rId33" Target="https://doi.org/10.1007/s13157-011-0178-3" TargetMode="External" /><Relationship Type="http://schemas.openxmlformats.org/officeDocument/2006/relationships/hyperlink" Id="rId84" Target="https://doi.org/10.1016/j.biocon.2026.111958" TargetMode="External" /><Relationship Type="http://schemas.openxmlformats.org/officeDocument/2006/relationships/hyperlink" Id="rId91" Target="https://doi.org/10.1016/j.jaridenv.2012.04.001" TargetMode="External" /><Relationship Type="http://schemas.openxmlformats.org/officeDocument/2006/relationships/hyperlink" Id="rId72" Target="https://doi.org/10.1016/j.watres.2026.126704" TargetMode="External" /><Relationship Type="http://schemas.openxmlformats.org/officeDocument/2006/relationships/hyperlink" Id="rId87" Target="https://doi.org/10.1017/9781139568173" TargetMode="External" /><Relationship Type="http://schemas.openxmlformats.org/officeDocument/2006/relationships/hyperlink" Id="rId98" Target="https://doi.org/10.1029/TR038i006p00913" TargetMode="External" /><Relationship Type="http://schemas.openxmlformats.org/officeDocument/2006/relationships/hyperlink" Id="rId53" Target="https://doi.org/10.1046/j.1523-1739.2003.01465.x" TargetMode="External" /><Relationship Type="http://schemas.openxmlformats.org/officeDocument/2006/relationships/hyperlink" Id="rId51" Target="https://doi.org/10.1086/378901" TargetMode="External" /><Relationship Type="http://schemas.openxmlformats.org/officeDocument/2006/relationships/hyperlink" Id="rId63"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55" Target="https://doi.org/10.15560/13.5.581" TargetMode="External" /><Relationship Type="http://schemas.openxmlformats.org/officeDocument/2006/relationships/hyperlink" Id="rId100" Target="https://doi.org/10.1890/02-3127" TargetMode="External" /><Relationship Type="http://schemas.openxmlformats.org/officeDocument/2006/relationships/hyperlink" Id="rId45" Target="https://doi.org/10.1890/13-0133.1" TargetMode="External" /><Relationship Type="http://schemas.openxmlformats.org/officeDocument/2006/relationships/hyperlink" Id="rId80" Target="https://doi.org/10.32614/CRAN.package.vegan" TargetMode="External" /><Relationship Type="http://schemas.openxmlformats.org/officeDocument/2006/relationships/hyperlink" Id="rId70" Target="https://doi.org/10.4013/5440" TargetMode="External" /><Relationship Type="http://schemas.openxmlformats.org/officeDocument/2006/relationships/hyperlink" Id="rId57" Target="https://doi.org/10.4319/lo.1973.18.2.0331" TargetMode="External" /><Relationship Type="http://schemas.openxmlformats.org/officeDocument/2006/relationships/hyperlink" Id="rId82"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41" Target="https://publications.gc.ca/site/eng/9.836661/publication.html" TargetMode="External" /><Relationship Type="http://schemas.openxmlformats.org/officeDocument/2006/relationships/hyperlink" Id="rId89" Target="https://www.R-project.org/" TargetMode="External" /><Relationship Type="http://schemas.openxmlformats.org/officeDocument/2006/relationships/hyperlink" Id="rId7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29"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49" Target="https://credit.niso.org/" TargetMode="External" /><Relationship Type="http://schemas.openxmlformats.org/officeDocument/2006/relationships/hyperlink" Id="rId93" Target="https://doi.org/10.1002/rra.3344" TargetMode="External" /><Relationship Type="http://schemas.openxmlformats.org/officeDocument/2006/relationships/hyperlink" Id="rId59" Target="https://doi.org/10.1007/978-3-319-58374-7_11" TargetMode="External" /><Relationship Type="http://schemas.openxmlformats.org/officeDocument/2006/relationships/hyperlink" Id="rId67" Target="https://doi.org/10.1007/978-94-011-7852-5" TargetMode="External" /><Relationship Type="http://schemas.openxmlformats.org/officeDocument/2006/relationships/hyperlink" Id="rId39" Target="https://doi.org/10.1007/BF00053909" TargetMode="External" /><Relationship Type="http://schemas.openxmlformats.org/officeDocument/2006/relationships/hyperlink" Id="rId78" Target="https://doi.org/10.1007/s10750-006-0252-7" TargetMode="External" /><Relationship Type="http://schemas.openxmlformats.org/officeDocument/2006/relationships/hyperlink" Id="rId33" Target="https://doi.org/10.1007/s13157-011-0178-3" TargetMode="External" /><Relationship Type="http://schemas.openxmlformats.org/officeDocument/2006/relationships/hyperlink" Id="rId84" Target="https://doi.org/10.1016/j.biocon.2026.111958" TargetMode="External" /><Relationship Type="http://schemas.openxmlformats.org/officeDocument/2006/relationships/hyperlink" Id="rId91" Target="https://doi.org/10.1016/j.jaridenv.2012.04.001" TargetMode="External" /><Relationship Type="http://schemas.openxmlformats.org/officeDocument/2006/relationships/hyperlink" Id="rId72" Target="https://doi.org/10.1016/j.watres.2026.126704" TargetMode="External" /><Relationship Type="http://schemas.openxmlformats.org/officeDocument/2006/relationships/hyperlink" Id="rId87" Target="https://doi.org/10.1017/9781139568173" TargetMode="External" /><Relationship Type="http://schemas.openxmlformats.org/officeDocument/2006/relationships/hyperlink" Id="rId98" Target="https://doi.org/10.1029/TR038i006p00913" TargetMode="External" /><Relationship Type="http://schemas.openxmlformats.org/officeDocument/2006/relationships/hyperlink" Id="rId53" Target="https://doi.org/10.1046/j.1523-1739.2003.01465.x" TargetMode="External" /><Relationship Type="http://schemas.openxmlformats.org/officeDocument/2006/relationships/hyperlink" Id="rId51" Target="https://doi.org/10.1086/378901" TargetMode="External" /><Relationship Type="http://schemas.openxmlformats.org/officeDocument/2006/relationships/hyperlink" Id="rId63" Target="https://doi.org/10.1111/j.1365-2427.2009.02291.x" TargetMode="External" /><Relationship Type="http://schemas.openxmlformats.org/officeDocument/2006/relationships/hyperlink" Id="rId35" Target="https://doi.org/10.1111/j.1466-8238.2009.00490.x" TargetMode="External" /><Relationship Type="http://schemas.openxmlformats.org/officeDocument/2006/relationships/hyperlink" Id="rId37" Target="https://doi.org/10.1111/j.1466-8238.2011.00756.x" TargetMode="External" /><Relationship Type="http://schemas.openxmlformats.org/officeDocument/2006/relationships/hyperlink" Id="rId55" Target="https://doi.org/10.15560/13.5.581" TargetMode="External" /><Relationship Type="http://schemas.openxmlformats.org/officeDocument/2006/relationships/hyperlink" Id="rId100" Target="https://doi.org/10.1890/02-3127" TargetMode="External" /><Relationship Type="http://schemas.openxmlformats.org/officeDocument/2006/relationships/hyperlink" Id="rId45" Target="https://doi.org/10.1890/13-0133.1" TargetMode="External" /><Relationship Type="http://schemas.openxmlformats.org/officeDocument/2006/relationships/hyperlink" Id="rId80" Target="https://doi.org/10.32614/CRAN.package.vegan" TargetMode="External" /><Relationship Type="http://schemas.openxmlformats.org/officeDocument/2006/relationships/hyperlink" Id="rId70" Target="https://doi.org/10.4013/5440" TargetMode="External" /><Relationship Type="http://schemas.openxmlformats.org/officeDocument/2006/relationships/hyperlink" Id="rId57" Target="https://doi.org/10.4319/lo.1973.18.2.0331" TargetMode="External" /><Relationship Type="http://schemas.openxmlformats.org/officeDocument/2006/relationships/hyperlink" Id="rId82" Target="https://doi.org/10.5194/hess-11-1633-2007" TargetMode="External" /><Relationship Type="http://schemas.openxmlformats.org/officeDocument/2006/relationships/hyperlink" Id="rId31" Target="https://doi.org/10.5902/2316305410852" TargetMode="External" /><Relationship Type="http://schemas.openxmlformats.org/officeDocument/2006/relationships/hyperlink" Id="rId41" Target="https://publications.gc.ca/site/eng/9.836661/publication.html" TargetMode="External" /><Relationship Type="http://schemas.openxmlformats.org/officeDocument/2006/relationships/hyperlink" Id="rId89" Target="https://www.R-project.org/" TargetMode="External" /><Relationship Type="http://schemas.openxmlformats.org/officeDocument/2006/relationships/hyperlink" Id="rId7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29"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2026-09-30T13:59:27Z</dcterms:created>
  <dcterms:modified xsi:type="dcterms:W3CDTF">2026-09-30T13:59:27Z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